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EA8B36" w14:textId="3D120DF3" w:rsidR="008A1A24" w:rsidRPr="00F439FB" w:rsidRDefault="00C648EB" w:rsidP="00406BD7">
      <w:pPr>
        <w:rPr>
          <w:rFonts w:cs="Arial"/>
          <w:b/>
          <w:color w:val="4F81BD" w:themeColor="accent1"/>
          <w:sz w:val="40"/>
          <w:szCs w:val="40"/>
        </w:rPr>
      </w:pPr>
      <w:bookmarkStart w:id="0" w:name="_GoBack"/>
      <w:bookmarkEnd w:id="0"/>
      <w:r>
        <w:rPr>
          <w:noProof/>
          <w:color w:val="4F81BD" w:themeColor="accent1"/>
          <w:lang w:val="en-AU" w:eastAsia="en-AU"/>
        </w:rPr>
        <mc:AlternateContent>
          <mc:Choice Requires="wps">
            <w:drawing>
              <wp:anchor distT="0" distB="0" distL="114300" distR="114300" simplePos="0" relativeHeight="251658241" behindDoc="0" locked="0" layoutInCell="1" allowOverlap="1" wp14:anchorId="11EAB242" wp14:editId="30D3813F">
                <wp:simplePos x="0" y="0"/>
                <wp:positionH relativeFrom="column">
                  <wp:posOffset>2491740</wp:posOffset>
                </wp:positionH>
                <wp:positionV relativeFrom="paragraph">
                  <wp:posOffset>-347345</wp:posOffset>
                </wp:positionV>
                <wp:extent cx="3213100" cy="292100"/>
                <wp:effectExtent l="0" t="0" r="0" b="0"/>
                <wp:wrapNone/>
                <wp:docPr id="248" name="Text Box 2" descr="Marine Monitoring Program" title="Marine Monitoring Program"/>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3100" cy="292100"/>
                        </a:xfrm>
                        <a:prstGeom prst="rect">
                          <a:avLst/>
                        </a:prstGeom>
                        <a:noFill/>
                        <a:ln w="9525">
                          <a:noFill/>
                          <a:miter lim="800000"/>
                          <a:headEnd/>
                          <a:tailEnd/>
                        </a:ln>
                      </wps:spPr>
                      <wps:txbx>
                        <w:txbxContent>
                          <w:p w14:paraId="11EAB39F" w14:textId="77777777" w:rsidR="00592A7D" w:rsidRPr="007E481A" w:rsidRDefault="00592A7D" w:rsidP="006B4E2B">
                            <w:pPr>
                              <w:rPr>
                                <w:rFonts w:ascii="Myriad Pro" w:hAnsi="Myriad Pro"/>
                                <w:color w:val="244061" w:themeColor="accent1" w:themeShade="80"/>
                                <w:sz w:val="24"/>
                                <w:szCs w:val="24"/>
                              </w:rPr>
                            </w:pPr>
                            <w:r w:rsidRPr="007E481A">
                              <w:rPr>
                                <w:rFonts w:ascii="Myriad Pro" w:hAnsi="Myriad Pro"/>
                                <w:color w:val="244061" w:themeColor="accent1" w:themeShade="80"/>
                                <w:sz w:val="24"/>
                                <w:szCs w:val="24"/>
                              </w:rPr>
                              <w:t>MARINE MONITORING PROGRAM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1EAB242" id="_x0000_t202" coordsize="21600,21600" o:spt="202" path="m,l,21600r21600,l21600,xe">
                <v:stroke joinstyle="miter"/>
                <v:path gradientshapeok="t" o:connecttype="rect"/>
              </v:shapetype>
              <v:shape id="Text Box 2" o:spid="_x0000_s1026" type="#_x0000_t202" alt="Title: Marine Monitoring Program - Description: Marine Monitoring Program" style="position:absolute;left:0;text-align:left;margin-left:196.2pt;margin-top:-27.35pt;width:253pt;height:2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" filled="f" stroked="f">
                <v:textbox>
                  <w:txbxContent>
                    <w:p w14:paraId="11EAB39F" w14:textId="77777777" w:rsidR="00592A7D" w:rsidRPr="007E481A" w:rsidRDefault="00592A7D" w:rsidP="006B4E2B">
                      <w:pPr>
                        <w:rPr>
                          <w:rFonts w:ascii="Myriad Pro" w:hAnsi="Myriad Pro"/>
                          <w:color w:val="244061" w:themeColor="accent1" w:themeShade="80"/>
                          <w:sz w:val="24"/>
                          <w:szCs w:val="24"/>
                        </w:rPr>
                      </w:pPr>
                      <w:r w:rsidRPr="007E481A">
                        <w:rPr>
                          <w:rFonts w:ascii="Myriad Pro" w:hAnsi="Myriad Pro"/>
                          <w:color w:val="244061" w:themeColor="accent1" w:themeShade="80"/>
                          <w:sz w:val="24"/>
                          <w:szCs w:val="24"/>
                        </w:rPr>
                        <w:t>MARINE MONITORING PROGRAM</w:t>
                      </w:r>
                    </w:p>
                  </w:txbxContent>
                </v:textbox>
              </v:shape>
            </w:pict>
          </mc:Fallback>
        </mc:AlternateContent>
      </w:r>
      <w:r>
        <w:rPr>
          <w:noProof/>
          <w:color w:val="4F81BD" w:themeColor="accent1"/>
          <w:lang w:val="en-AU" w:eastAsia="en-AU"/>
        </w:rPr>
        <mc:AlternateContent>
          <mc:Choice Requires="wps">
            <w:drawing>
              <wp:anchor distT="4294967295" distB="4294967295" distL="114300" distR="114300" simplePos="0" relativeHeight="251658248" behindDoc="0" locked="0" layoutInCell="1" allowOverlap="1" wp14:anchorId="11EAB243" wp14:editId="72F7CAC2">
                <wp:simplePos x="0" y="0"/>
                <wp:positionH relativeFrom="column">
                  <wp:posOffset>2588260</wp:posOffset>
                </wp:positionH>
                <wp:positionV relativeFrom="paragraph">
                  <wp:posOffset>-100331</wp:posOffset>
                </wp:positionV>
                <wp:extent cx="2984500" cy="0"/>
                <wp:effectExtent l="0" t="0" r="25400" b="19050"/>
                <wp:wrapNone/>
                <wp:docPr id="247" name="Straight Connector 2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984500" cy="0"/>
                        </a:xfrm>
                        <a:prstGeom prst="line">
                          <a:avLst/>
                        </a:prstGeom>
                        <a:ln>
                          <a:solidFill>
                            <a:schemeClr val="accent4">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00044147" id="Straight Connector 247" o:spid="_x0000_s1026" style="position:absolute;z-index:2516582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203.8pt,-7.9pt" to="438.8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" strokecolor="#ccc0d9 [1303]">
                <o:lock v:ext="edit" shapetype="f"/>
              </v:line>
            </w:pict>
          </mc:Fallback>
        </mc:AlternateContent>
      </w:r>
    </w:p>
    <w:p w14:paraId="11EA8B37" w14:textId="28D48947" w:rsidR="008A1A24" w:rsidRPr="00F439FB" w:rsidRDefault="00444FDE">
      <w:pPr>
        <w:rPr>
          <w:rFonts w:cs="Arial"/>
          <w:b/>
          <w:color w:val="4F81BD" w:themeColor="accent1"/>
          <w:sz w:val="40"/>
          <w:szCs w:val="40"/>
        </w:rPr>
      </w:pPr>
      <w:r>
        <w:rPr>
          <w:noProof/>
          <w:color w:val="4F81BD" w:themeColor="accent1"/>
          <w:lang w:val="en-AU" w:eastAsia="en-AU"/>
        </w:rPr>
        <mc:AlternateContent>
          <mc:Choice Requires="wps">
            <w:drawing>
              <wp:anchor distT="0" distB="0" distL="114300" distR="114300" simplePos="0" relativeHeight="251658244" behindDoc="0" locked="0" layoutInCell="1" allowOverlap="1" wp14:anchorId="11EAB248" wp14:editId="2CE6BC55">
                <wp:simplePos x="0" y="0"/>
                <wp:positionH relativeFrom="column">
                  <wp:posOffset>-615315</wp:posOffset>
                </wp:positionH>
                <wp:positionV relativeFrom="paragraph">
                  <wp:posOffset>8831580</wp:posOffset>
                </wp:positionV>
                <wp:extent cx="7035800" cy="469900"/>
                <wp:effectExtent l="0" t="0" r="0" b="63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35800" cy="469900"/>
                        </a:xfrm>
                        <a:prstGeom prst="rect">
                          <a:avLst/>
                        </a:prstGeom>
                        <a:noFill/>
                        <a:ln w="9525">
                          <a:noFill/>
                          <a:miter lim="800000"/>
                          <a:headEnd/>
                          <a:tailEnd/>
                        </a:ln>
                      </wps:spPr>
                      <wps:txbx>
                        <w:txbxContent>
                          <w:p w14:paraId="11EAB3A3" w14:textId="77777777" w:rsidR="00592A7D" w:rsidRPr="00CE625E" w:rsidRDefault="00592A7D" w:rsidP="008A1A24">
                            <w:pPr>
                              <w:rPr>
                                <w:rFonts w:cs="Arial"/>
                                <w:sz w:val="32"/>
                              </w:rPr>
                            </w:pPr>
                            <w:r w:rsidRPr="00CE625E">
                              <w:rPr>
                                <w:rFonts w:ascii="Verdana" w:hAnsi="Verdana"/>
                                <w:sz w:val="18"/>
                                <w:szCs w:val="18"/>
                              </w:rPr>
                              <w:t>Authors - Angus Thompson, Paul Costello, Johnston Davidson, Murray Logan,</w:t>
                            </w:r>
                            <w:r>
                              <w:rPr>
                                <w:rFonts w:ascii="Verdana" w:hAnsi="Verdana"/>
                                <w:sz w:val="18"/>
                                <w:szCs w:val="18"/>
                              </w:rPr>
                              <w:t xml:space="preserve"> Greg Coleman, </w:t>
                            </w:r>
                            <w:r w:rsidRPr="00CE625E">
                              <w:rPr>
                                <w:rFonts w:ascii="Verdana" w:hAnsi="Verdana"/>
                                <w:sz w:val="18"/>
                                <w:szCs w:val="18"/>
                              </w:rPr>
                              <w:t>Kevin Gunn, Britta Schaffelke</w:t>
                            </w:r>
                          </w:p>
                          <w:p w14:paraId="11EAB3A4" w14:textId="77777777" w:rsidR="00592A7D" w:rsidRPr="002450CE" w:rsidRDefault="00592A7D" w:rsidP="008A1A24">
                            <w:pPr>
                              <w:rPr>
                                <w:rFonts w:ascii="Verdana" w:hAnsi="Verdana"/>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EAB248" id="_x0000_s1027" type="#_x0000_t202" style="position:absolute;left:0;text-align:left;margin-left:-48.45pt;margin-top:695.4pt;width:554pt;height:37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" filled="f" stroked="f">
                <v:textbox>
                  <w:txbxContent>
                    <w:p w14:paraId="11EAB3A3" w14:textId="77777777" w:rsidR="00592A7D" w:rsidRPr="00CE625E" w:rsidRDefault="00592A7D" w:rsidP="008A1A24">
                      <w:pPr>
                        <w:rPr>
                          <w:rFonts w:cs="Arial"/>
                          <w:sz w:val="32"/>
                        </w:rPr>
                      </w:pPr>
                      <w:r w:rsidRPr="00CE625E">
                        <w:rPr>
                          <w:rFonts w:ascii="Verdana" w:hAnsi="Verdana"/>
                          <w:sz w:val="18"/>
                          <w:szCs w:val="18"/>
                        </w:rPr>
                        <w:t>Authors - Angus Thompson, Paul Costello, Johnston Davidson, Murray Logan,</w:t>
                      </w:r>
                      <w:r>
                        <w:rPr>
                          <w:rFonts w:ascii="Verdana" w:hAnsi="Verdana"/>
                          <w:sz w:val="18"/>
                          <w:szCs w:val="18"/>
                        </w:rPr>
                        <w:t xml:space="preserve"> Greg Coleman, </w:t>
                      </w:r>
                      <w:r w:rsidRPr="00CE625E">
                        <w:rPr>
                          <w:rFonts w:ascii="Verdana" w:hAnsi="Verdana"/>
                          <w:sz w:val="18"/>
                          <w:szCs w:val="18"/>
                        </w:rPr>
                        <w:t>Kevin Gunn, Britta Schaffelke</w:t>
                      </w:r>
                    </w:p>
                    <w:p w14:paraId="11EAB3A4" w14:textId="77777777" w:rsidR="00592A7D" w:rsidRPr="002450CE" w:rsidRDefault="00592A7D" w:rsidP="008A1A24">
                      <w:pPr>
                        <w:rPr>
                          <w:rFonts w:ascii="Verdana" w:hAnsi="Verdana"/>
                          <w:sz w:val="24"/>
                          <w:szCs w:val="24"/>
                        </w:rPr>
                      </w:pPr>
                    </w:p>
                  </w:txbxContent>
                </v:textbox>
              </v:shape>
            </w:pict>
          </mc:Fallback>
        </mc:AlternateContent>
      </w:r>
      <w:r w:rsidRPr="00F439FB">
        <w:rPr>
          <w:noProof/>
          <w:color w:val="4F81BD" w:themeColor="accent1"/>
          <w:lang w:val="en-AU" w:eastAsia="en-AU"/>
        </w:rPr>
        <w:drawing>
          <wp:anchor distT="0" distB="0" distL="114300" distR="114300" simplePos="0" relativeHeight="251658245" behindDoc="1" locked="0" layoutInCell="1" allowOverlap="1" wp14:anchorId="11EAB249" wp14:editId="6741C3CD">
            <wp:simplePos x="0" y="0"/>
            <wp:positionH relativeFrom="column">
              <wp:posOffset>-621665</wp:posOffset>
            </wp:positionH>
            <wp:positionV relativeFrom="paragraph">
              <wp:posOffset>2974340</wp:posOffset>
            </wp:positionV>
            <wp:extent cx="7044055" cy="5877560"/>
            <wp:effectExtent l="0" t="0" r="4445" b="8890"/>
            <wp:wrapNone/>
            <wp:docPr id="36" name="Picture 36" descr="Report cover photo of coral reef" title="Report cover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ubleCone Is S2 2m Extras 2014_015 BD.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044055" cy="5877560"/>
                    </a:xfrm>
                    <a:prstGeom prst="rect">
                      <a:avLst/>
                    </a:prstGeom>
                  </pic:spPr>
                </pic:pic>
              </a:graphicData>
            </a:graphic>
          </wp:anchor>
        </w:drawing>
      </w:r>
      <w:r w:rsidR="00C648EB">
        <w:rPr>
          <w:noProof/>
          <w:color w:val="4F81BD" w:themeColor="accent1"/>
          <w:lang w:val="en-AU" w:eastAsia="en-AU"/>
        </w:rPr>
        <mc:AlternateContent>
          <mc:Choice Requires="wps">
            <w:drawing>
              <wp:anchor distT="0" distB="0" distL="114300" distR="114300" simplePos="0" relativeHeight="251658242" behindDoc="0" locked="0" layoutInCell="1" allowOverlap="1" wp14:anchorId="11EAB244" wp14:editId="592CA34A">
                <wp:simplePos x="0" y="0"/>
                <wp:positionH relativeFrom="column">
                  <wp:posOffset>2611120</wp:posOffset>
                </wp:positionH>
                <wp:positionV relativeFrom="paragraph">
                  <wp:posOffset>2211705</wp:posOffset>
                </wp:positionV>
                <wp:extent cx="3260725" cy="647700"/>
                <wp:effectExtent l="0" t="0" r="0" b="0"/>
                <wp:wrapNone/>
                <wp:docPr id="244" name="Text Box 2" descr="2014-2015" title="Year of report"/>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0725" cy="647700"/>
                        </a:xfrm>
                        <a:prstGeom prst="rect">
                          <a:avLst/>
                        </a:prstGeom>
                        <a:noFill/>
                        <a:ln w="9525">
                          <a:noFill/>
                          <a:miter lim="800000"/>
                          <a:headEnd/>
                          <a:tailEnd/>
                        </a:ln>
                      </wps:spPr>
                      <wps:txbx>
                        <w:txbxContent>
                          <w:p w14:paraId="11EAB3A0" w14:textId="77777777" w:rsidR="00592A7D" w:rsidRPr="000610B6" w:rsidRDefault="00592A7D" w:rsidP="000610B6">
                            <w:pPr>
                              <w:jc w:val="left"/>
                              <w:rPr>
                                <w:rFonts w:ascii="Myriad Pro" w:hAnsi="Myriad Pro"/>
                                <w:color w:val="FFFFFF" w:themeColor="background1"/>
                                <w:sz w:val="64"/>
                                <w:szCs w:val="64"/>
                              </w:rPr>
                            </w:pPr>
                            <w:r w:rsidRPr="000610B6">
                              <w:rPr>
                                <w:rFonts w:ascii="Myriad Pro" w:hAnsi="Myriad Pro"/>
                                <w:color w:val="FFFFFF" w:themeColor="background1"/>
                                <w:sz w:val="64"/>
                                <w:szCs w:val="64"/>
                              </w:rPr>
                              <w:t>2015 - 2016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EAB244" id="_x0000_s1028" type="#_x0000_t202" alt="Title: Year of report - Description: 2014-2015" style="position:absolute;left:0;text-align:left;margin-left:205.6pt;margin-top:174.15pt;width:256.75pt;height:5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" filled="f" stroked="f">
                <v:textbox>
                  <w:txbxContent>
                    <w:p w14:paraId="11EAB3A0" w14:textId="77777777" w:rsidR="00592A7D" w:rsidRPr="000610B6" w:rsidRDefault="00592A7D" w:rsidP="000610B6">
                      <w:pPr>
                        <w:jc w:val="left"/>
                        <w:rPr>
                          <w:rFonts w:ascii="Myriad Pro" w:hAnsi="Myriad Pro"/>
                          <w:color w:val="FFFFFF" w:themeColor="background1"/>
                          <w:sz w:val="64"/>
                          <w:szCs w:val="64"/>
                        </w:rPr>
                      </w:pPr>
                      <w:r w:rsidRPr="000610B6">
                        <w:rPr>
                          <w:rFonts w:ascii="Myriad Pro" w:hAnsi="Myriad Pro"/>
                          <w:color w:val="FFFFFF" w:themeColor="background1"/>
                          <w:sz w:val="64"/>
                          <w:szCs w:val="64"/>
                        </w:rPr>
                        <w:t>2015 - 2016</w:t>
                      </w:r>
                    </w:p>
                  </w:txbxContent>
                </v:textbox>
              </v:shape>
            </w:pict>
          </mc:Fallback>
        </mc:AlternateContent>
      </w:r>
      <w:r w:rsidR="00C648EB">
        <w:rPr>
          <w:noProof/>
          <w:color w:val="4F81BD" w:themeColor="accent1"/>
          <w:lang w:val="en-AU" w:eastAsia="en-AU"/>
        </w:rPr>
        <mc:AlternateContent>
          <mc:Choice Requires="wps">
            <w:drawing>
              <wp:anchor distT="0" distB="0" distL="114300" distR="114300" simplePos="0" relativeHeight="251658247" behindDoc="0" locked="0" layoutInCell="1" allowOverlap="1" wp14:anchorId="11EAB245" wp14:editId="5546B4E2">
                <wp:simplePos x="0" y="0"/>
                <wp:positionH relativeFrom="column">
                  <wp:posOffset>2534285</wp:posOffset>
                </wp:positionH>
                <wp:positionV relativeFrom="paragraph">
                  <wp:posOffset>673735</wp:posOffset>
                </wp:positionV>
                <wp:extent cx="2303145" cy="1543050"/>
                <wp:effectExtent l="0" t="0" r="0" b="0"/>
                <wp:wrapNone/>
                <wp:docPr id="2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145" cy="1543050"/>
                        </a:xfrm>
                        <a:prstGeom prst="rect">
                          <a:avLst/>
                        </a:prstGeom>
                        <a:noFill/>
                        <a:ln w="9525">
                          <a:noFill/>
                          <a:miter lim="800000"/>
                          <a:headEnd/>
                          <a:tailEnd/>
                        </a:ln>
                      </wps:spPr>
                      <wps:txbx>
                        <w:txbxContent>
                          <w:p w14:paraId="11EAB3A1" w14:textId="5234C6CD" w:rsidR="00592A7D" w:rsidRPr="007E481A" w:rsidRDefault="00592A7D" w:rsidP="00F352CD">
                            <w:pPr>
                              <w:spacing w:line="192" w:lineRule="auto"/>
                              <w:jc w:val="left"/>
                              <w:rPr>
                                <w:rFonts w:ascii="Myriad Pro" w:hAnsi="Myriad Pro"/>
                                <w:sz w:val="52"/>
                                <w:szCs w:val="52"/>
                              </w:rPr>
                            </w:pPr>
                            <w:r w:rsidRPr="007E481A">
                              <w:rPr>
                                <w:rFonts w:ascii="Myriad Pro" w:hAnsi="Myriad Pro"/>
                                <w:color w:val="244061" w:themeColor="accent1" w:themeShade="80"/>
                                <w:sz w:val="52"/>
                                <w:szCs w:val="52"/>
                              </w:rPr>
                              <w:t>Annual Report</w:t>
                            </w:r>
                            <w:r w:rsidRPr="007E481A">
                              <w:rPr>
                                <w:rFonts w:ascii="Myriad Pro" w:hAnsi="Myriad Pro"/>
                                <w:color w:val="244061" w:themeColor="accent1" w:themeShade="80"/>
                                <w:sz w:val="52"/>
                                <w:szCs w:val="52"/>
                              </w:rPr>
                              <w:br/>
                              <w:t>for</w:t>
                            </w:r>
                            <w:r>
                              <w:rPr>
                                <w:rFonts w:ascii="Myriad Pro" w:hAnsi="Myriad Pro"/>
                                <w:color w:val="244061" w:themeColor="accent1" w:themeShade="80"/>
                                <w:sz w:val="52"/>
                                <w:szCs w:val="52"/>
                              </w:rPr>
                              <w:t xml:space="preserve"> </w:t>
                            </w:r>
                            <w:r>
                              <w:rPr>
                                <w:rFonts w:ascii="Myriad Pro" w:hAnsi="Myriad Pro"/>
                                <w:b/>
                                <w:color w:val="244061" w:themeColor="accent1" w:themeShade="80"/>
                                <w:sz w:val="52"/>
                                <w:szCs w:val="52"/>
                              </w:rPr>
                              <w:t xml:space="preserve">inshore </w:t>
                            </w:r>
                            <w:r w:rsidRPr="007E481A">
                              <w:rPr>
                                <w:rFonts w:ascii="Myriad Pro" w:hAnsi="Myriad Pro"/>
                                <w:b/>
                                <w:color w:val="244061" w:themeColor="accent1" w:themeShade="80"/>
                                <w:sz w:val="52"/>
                                <w:szCs w:val="52"/>
                              </w:rPr>
                              <w:t>coral reef</w:t>
                            </w:r>
                            <w:r w:rsidRPr="007E481A">
                              <w:rPr>
                                <w:rFonts w:ascii="Myriad Pro" w:hAnsi="Myriad Pro"/>
                                <w:b/>
                                <w:color w:val="244061" w:themeColor="accent1" w:themeShade="80"/>
                                <w:sz w:val="52"/>
                                <w:szCs w:val="52"/>
                              </w:rPr>
                              <w:br/>
                              <w:t>monitoring</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11EAB245" id="_x0000_s1029" type="#_x0000_t202" style="position:absolute;left:0;text-align:left;margin-left:199.55pt;margin-top:53.05pt;width:181.35pt;height:121.5pt;z-index:251658247;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" filled="f" stroked="f">
                <v:textbox>
                  <w:txbxContent>
                    <w:p w14:paraId="11EAB3A1" w14:textId="5234C6CD" w:rsidR="00592A7D" w:rsidRPr="007E481A" w:rsidRDefault="00592A7D" w:rsidP="00F352CD">
                      <w:pPr>
                        <w:spacing w:line="192" w:lineRule="auto"/>
                        <w:jc w:val="left"/>
                        <w:rPr>
                          <w:rFonts w:ascii="Myriad Pro" w:hAnsi="Myriad Pro"/>
                          <w:sz w:val="52"/>
                          <w:szCs w:val="52"/>
                        </w:rPr>
                      </w:pPr>
                      <w:r w:rsidRPr="007E481A">
                        <w:rPr>
                          <w:rFonts w:ascii="Myriad Pro" w:hAnsi="Myriad Pro"/>
                          <w:color w:val="244061" w:themeColor="accent1" w:themeShade="80"/>
                          <w:sz w:val="52"/>
                          <w:szCs w:val="52"/>
                        </w:rPr>
                        <w:t>Annual Report</w:t>
                      </w:r>
                      <w:r w:rsidRPr="007E481A">
                        <w:rPr>
                          <w:rFonts w:ascii="Myriad Pro" w:hAnsi="Myriad Pro"/>
                          <w:color w:val="244061" w:themeColor="accent1" w:themeShade="80"/>
                          <w:sz w:val="52"/>
                          <w:szCs w:val="52"/>
                        </w:rPr>
                        <w:br/>
                        <w:t>for</w:t>
                      </w:r>
                      <w:r>
                        <w:rPr>
                          <w:rFonts w:ascii="Myriad Pro" w:hAnsi="Myriad Pro"/>
                          <w:color w:val="244061" w:themeColor="accent1" w:themeShade="80"/>
                          <w:sz w:val="52"/>
                          <w:szCs w:val="52"/>
                        </w:rPr>
                        <w:t xml:space="preserve"> </w:t>
                      </w:r>
                      <w:r>
                        <w:rPr>
                          <w:rFonts w:ascii="Myriad Pro" w:hAnsi="Myriad Pro"/>
                          <w:b/>
                          <w:color w:val="244061" w:themeColor="accent1" w:themeShade="80"/>
                          <w:sz w:val="52"/>
                          <w:szCs w:val="52"/>
                        </w:rPr>
                        <w:t xml:space="preserve">inshore </w:t>
                      </w:r>
                      <w:r w:rsidRPr="007E481A">
                        <w:rPr>
                          <w:rFonts w:ascii="Myriad Pro" w:hAnsi="Myriad Pro"/>
                          <w:b/>
                          <w:color w:val="244061" w:themeColor="accent1" w:themeShade="80"/>
                          <w:sz w:val="52"/>
                          <w:szCs w:val="52"/>
                        </w:rPr>
                        <w:t>coral reef</w:t>
                      </w:r>
                      <w:r w:rsidRPr="007E481A">
                        <w:rPr>
                          <w:rFonts w:ascii="Myriad Pro" w:hAnsi="Myriad Pro"/>
                          <w:b/>
                          <w:color w:val="244061" w:themeColor="accent1" w:themeShade="80"/>
                          <w:sz w:val="52"/>
                          <w:szCs w:val="52"/>
                        </w:rPr>
                        <w:br/>
                        <w:t>monitoring</w:t>
                      </w:r>
                    </w:p>
                  </w:txbxContent>
                </v:textbox>
              </v:shape>
            </w:pict>
          </mc:Fallback>
        </mc:AlternateContent>
      </w:r>
      <w:r w:rsidR="00C648EB">
        <w:rPr>
          <w:noProof/>
          <w:color w:val="4F81BD" w:themeColor="accent1"/>
          <w:lang w:val="en-AU" w:eastAsia="en-AU"/>
        </w:rPr>
        <mc:AlternateContent>
          <mc:Choice Requires="wps">
            <w:drawing>
              <wp:anchor distT="4294967295" distB="4294967295" distL="114300" distR="114300" simplePos="0" relativeHeight="251658249" behindDoc="0" locked="0" layoutInCell="1" allowOverlap="1" wp14:anchorId="11EAB246" wp14:editId="2B36822B">
                <wp:simplePos x="0" y="0"/>
                <wp:positionH relativeFrom="column">
                  <wp:posOffset>-1448435</wp:posOffset>
                </wp:positionH>
                <wp:positionV relativeFrom="paragraph">
                  <wp:posOffset>9337039</wp:posOffset>
                </wp:positionV>
                <wp:extent cx="7044055" cy="0"/>
                <wp:effectExtent l="0" t="0" r="23495" b="19050"/>
                <wp:wrapNone/>
                <wp:docPr id="249" name="Straight Connector 2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044055" cy="0"/>
                        </a:xfrm>
                        <a:prstGeom prst="line">
                          <a:avLst/>
                        </a:prstGeom>
                        <a:ln>
                          <a:solidFill>
                            <a:schemeClr val="accent4">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01B68F77" id="Straight Connector 249" o:spid="_x0000_s1026" style="position:absolute;z-index:251658249;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4.05pt,735.2pt" to="440.6pt,73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" strokecolor="#ccc0d9 [1303]">
                <o:lock v:ext="edit" shapetype="f"/>
              </v:line>
            </w:pict>
          </mc:Fallback>
        </mc:AlternateContent>
      </w:r>
      <w:r w:rsidR="00C648EB">
        <w:rPr>
          <w:noProof/>
          <w:color w:val="4F81BD" w:themeColor="accent1"/>
          <w:lang w:val="en-AU" w:eastAsia="en-AU"/>
        </w:rPr>
        <mc:AlternateContent>
          <mc:Choice Requires="wps">
            <w:drawing>
              <wp:anchor distT="0" distB="0" distL="114300" distR="114300" simplePos="0" relativeHeight="251658240" behindDoc="0" locked="0" layoutInCell="1" allowOverlap="1" wp14:anchorId="11EAB247" wp14:editId="7CA32DF3">
                <wp:simplePos x="0" y="0"/>
                <wp:positionH relativeFrom="column">
                  <wp:posOffset>2610485</wp:posOffset>
                </wp:positionH>
                <wp:positionV relativeFrom="paragraph">
                  <wp:posOffset>2341245</wp:posOffset>
                </wp:positionV>
                <wp:extent cx="2965450" cy="406400"/>
                <wp:effectExtent l="0" t="0" r="25400" b="12700"/>
                <wp:wrapNone/>
                <wp:docPr id="246" name="Rectangle 2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65450" cy="406400"/>
                        </a:xfrm>
                        <a:prstGeom prst="rect">
                          <a:avLst/>
                        </a:prstGeom>
                        <a:solidFill>
                          <a:schemeClr val="accent4">
                            <a:lumMod val="40000"/>
                            <a:lumOff val="60000"/>
                          </a:schemeClr>
                        </a:solidFill>
                        <a:ln>
                          <a:solidFill>
                            <a:schemeClr val="accent4">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EAB3A2" w14:textId="77777777" w:rsidR="00592A7D" w:rsidRDefault="00592A7D" w:rsidP="00F8516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EAB247" id="Rectangle 246" o:spid="_x0000_s1030" style="position:absolute;left:0;text-align:left;margin-left:205.55pt;margin-top:184.35pt;width:233.5pt;height: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" fillcolor="#ccc0d9 [1303]" strokecolor="#ccc0d9 [1303]" strokeweight="2pt">
                <v:path arrowok="t"/>
                <v:textbox>
                  <w:txbxContent>
                    <w:p w14:paraId="11EAB3A2" w14:textId="77777777" w:rsidR="00592A7D" w:rsidRDefault="00592A7D" w:rsidP="00F85165">
                      <w:pPr>
                        <w:jc w:val="center"/>
                      </w:pPr>
                    </w:p>
                  </w:txbxContent>
                </v:textbox>
              </v:rect>
            </w:pict>
          </mc:Fallback>
        </mc:AlternateContent>
      </w:r>
      <w:r w:rsidR="0067214C" w:rsidRPr="00F439FB">
        <w:rPr>
          <w:noProof/>
          <w:color w:val="4F81BD" w:themeColor="accent1"/>
          <w:lang w:val="en-AU" w:eastAsia="en-AU"/>
        </w:rPr>
        <w:drawing>
          <wp:anchor distT="0" distB="0" distL="114300" distR="114300" simplePos="0" relativeHeight="251658246" behindDoc="0" locked="0" layoutInCell="1" allowOverlap="1" wp14:anchorId="11EAB24B" wp14:editId="11EAB24C">
            <wp:simplePos x="0" y="0"/>
            <wp:positionH relativeFrom="column">
              <wp:posOffset>-435610</wp:posOffset>
            </wp:positionH>
            <wp:positionV relativeFrom="paragraph">
              <wp:posOffset>-531495</wp:posOffset>
            </wp:positionV>
            <wp:extent cx="1136650" cy="2697480"/>
            <wp:effectExtent l="0" t="0" r="6350" b="7620"/>
            <wp:wrapSquare wrapText="bothSides"/>
            <wp:docPr id="34" name="Picture 34" descr="Title logos for GBRMPA and AI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N_AIMS Stacked.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136650" cy="2697480"/>
                    </a:xfrm>
                    <a:prstGeom prst="rect">
                      <a:avLst/>
                    </a:prstGeom>
                  </pic:spPr>
                </pic:pic>
              </a:graphicData>
            </a:graphic>
          </wp:anchor>
        </w:drawing>
      </w:r>
      <w:r w:rsidR="008A1A24" w:rsidRPr="00F439FB">
        <w:rPr>
          <w:rFonts w:cs="Arial"/>
          <w:b/>
          <w:color w:val="4F81BD" w:themeColor="accent1"/>
          <w:sz w:val="40"/>
          <w:szCs w:val="40"/>
        </w:rPr>
        <w:br w:type="page"/>
      </w:r>
    </w:p>
    <w:p w14:paraId="11EA8B38" w14:textId="77777777" w:rsidR="008A1A24" w:rsidRPr="00F439FB" w:rsidRDefault="008A1A24">
      <w:pPr>
        <w:jc w:val="center"/>
        <w:rPr>
          <w:rFonts w:cs="Arial"/>
          <w:b/>
          <w:color w:val="4F81BD" w:themeColor="accent1"/>
          <w:sz w:val="40"/>
          <w:szCs w:val="40"/>
        </w:rPr>
      </w:pPr>
    </w:p>
    <w:p w14:paraId="11EA8B39" w14:textId="77777777" w:rsidR="008A1A24" w:rsidRPr="00A2684A" w:rsidRDefault="008A1A24">
      <w:pPr>
        <w:jc w:val="center"/>
        <w:rPr>
          <w:rFonts w:cs="Arial"/>
          <w:b/>
          <w:color w:val="000000" w:themeColor="text1"/>
          <w:sz w:val="40"/>
          <w:szCs w:val="40"/>
        </w:rPr>
      </w:pPr>
      <w:r w:rsidRPr="00A2684A">
        <w:rPr>
          <w:rFonts w:cs="Arial"/>
          <w:b/>
          <w:color w:val="000000" w:themeColor="text1"/>
          <w:sz w:val="40"/>
          <w:szCs w:val="40"/>
        </w:rPr>
        <w:t>Marine Monitoring Program</w:t>
      </w:r>
    </w:p>
    <w:p w14:paraId="11EA8B3A" w14:textId="77777777" w:rsidR="008A1A24" w:rsidRPr="00A2684A" w:rsidRDefault="008A1A24">
      <w:pPr>
        <w:jc w:val="center"/>
        <w:rPr>
          <w:rFonts w:cs="Arial"/>
          <w:color w:val="000000" w:themeColor="text1"/>
          <w:szCs w:val="22"/>
        </w:rPr>
      </w:pPr>
    </w:p>
    <w:p w14:paraId="11EA8B3B" w14:textId="285BA7FB" w:rsidR="000A2218" w:rsidRPr="00A2684A" w:rsidRDefault="008A1A24" w:rsidP="000A2218">
      <w:pPr>
        <w:jc w:val="center"/>
        <w:rPr>
          <w:rFonts w:cs="Arial"/>
          <w:b/>
          <w:color w:val="000000" w:themeColor="text1"/>
          <w:sz w:val="32"/>
          <w:szCs w:val="32"/>
        </w:rPr>
      </w:pPr>
      <w:r w:rsidRPr="00A2684A">
        <w:rPr>
          <w:rFonts w:cs="Arial"/>
          <w:b/>
          <w:color w:val="000000" w:themeColor="text1"/>
          <w:sz w:val="32"/>
          <w:szCs w:val="32"/>
        </w:rPr>
        <w:t xml:space="preserve">Annual Report </w:t>
      </w:r>
      <w:r w:rsidR="000A2218" w:rsidRPr="00A2684A">
        <w:rPr>
          <w:rFonts w:cs="Arial"/>
          <w:b/>
          <w:color w:val="000000" w:themeColor="text1"/>
          <w:sz w:val="32"/>
          <w:szCs w:val="32"/>
        </w:rPr>
        <w:t xml:space="preserve">for </w:t>
      </w:r>
      <w:r w:rsidR="005E0E81">
        <w:rPr>
          <w:rFonts w:cs="Arial"/>
          <w:b/>
          <w:color w:val="000000" w:themeColor="text1"/>
          <w:sz w:val="32"/>
          <w:szCs w:val="32"/>
        </w:rPr>
        <w:t xml:space="preserve">Inshore </w:t>
      </w:r>
      <w:r w:rsidR="000A2218" w:rsidRPr="00A2684A">
        <w:rPr>
          <w:rFonts w:cs="Arial"/>
          <w:b/>
          <w:color w:val="000000" w:themeColor="text1"/>
          <w:sz w:val="32"/>
          <w:szCs w:val="32"/>
        </w:rPr>
        <w:t>Coral Reef Monitoring</w:t>
      </w:r>
    </w:p>
    <w:p w14:paraId="11EA8B3C" w14:textId="77777777" w:rsidR="008A1A24" w:rsidRPr="00A2684A" w:rsidRDefault="008A1A24">
      <w:pPr>
        <w:jc w:val="center"/>
        <w:rPr>
          <w:rFonts w:cs="Arial"/>
          <w:b/>
          <w:color w:val="000000" w:themeColor="text1"/>
          <w:sz w:val="32"/>
          <w:szCs w:val="32"/>
        </w:rPr>
      </w:pPr>
      <w:r w:rsidRPr="00A2684A">
        <w:rPr>
          <w:rFonts w:cs="Arial"/>
          <w:b/>
          <w:color w:val="000000" w:themeColor="text1"/>
          <w:sz w:val="32"/>
          <w:szCs w:val="32"/>
        </w:rPr>
        <w:t>201</w:t>
      </w:r>
      <w:r w:rsidR="00F742C4" w:rsidRPr="00A2684A">
        <w:rPr>
          <w:rFonts w:cs="Arial"/>
          <w:b/>
          <w:color w:val="000000" w:themeColor="text1"/>
          <w:sz w:val="32"/>
          <w:szCs w:val="32"/>
        </w:rPr>
        <w:t>5</w:t>
      </w:r>
      <w:r w:rsidR="006B4E2B" w:rsidRPr="00A2684A">
        <w:rPr>
          <w:rFonts w:cs="Arial"/>
          <w:b/>
          <w:color w:val="000000" w:themeColor="text1"/>
          <w:sz w:val="32"/>
          <w:szCs w:val="32"/>
        </w:rPr>
        <w:t xml:space="preserve"> </w:t>
      </w:r>
      <w:r w:rsidR="000A2218" w:rsidRPr="00A2684A">
        <w:rPr>
          <w:rFonts w:cs="Arial"/>
          <w:b/>
          <w:color w:val="000000" w:themeColor="text1"/>
          <w:sz w:val="32"/>
          <w:szCs w:val="32"/>
        </w:rPr>
        <w:t>-</w:t>
      </w:r>
      <w:r w:rsidR="006B4E2B" w:rsidRPr="00A2684A">
        <w:rPr>
          <w:rFonts w:cs="Arial"/>
          <w:b/>
          <w:color w:val="000000" w:themeColor="text1"/>
          <w:sz w:val="32"/>
          <w:szCs w:val="32"/>
        </w:rPr>
        <w:t xml:space="preserve"> 201</w:t>
      </w:r>
      <w:r w:rsidR="00F742C4" w:rsidRPr="00A2684A">
        <w:rPr>
          <w:rFonts w:cs="Arial"/>
          <w:b/>
          <w:color w:val="000000" w:themeColor="text1"/>
          <w:sz w:val="32"/>
          <w:szCs w:val="32"/>
        </w:rPr>
        <w:t>6</w:t>
      </w:r>
    </w:p>
    <w:p w14:paraId="11EA8B3D" w14:textId="77777777" w:rsidR="008A1A24" w:rsidRPr="00A2684A" w:rsidRDefault="008A1A24">
      <w:pPr>
        <w:jc w:val="center"/>
        <w:rPr>
          <w:rFonts w:cs="Arial"/>
          <w:b/>
          <w:color w:val="000000" w:themeColor="text1"/>
          <w:sz w:val="32"/>
          <w:szCs w:val="32"/>
        </w:rPr>
      </w:pPr>
    </w:p>
    <w:p w14:paraId="11EA8B3E" w14:textId="77777777" w:rsidR="00C33ABF" w:rsidRPr="00A2684A" w:rsidRDefault="00C33ABF">
      <w:pPr>
        <w:tabs>
          <w:tab w:val="left" w:pos="2520"/>
          <w:tab w:val="center" w:pos="4535"/>
        </w:tabs>
        <w:rPr>
          <w:rFonts w:cs="Arial"/>
          <w:b/>
          <w:color w:val="000000" w:themeColor="text1"/>
          <w:sz w:val="32"/>
          <w:szCs w:val="32"/>
        </w:rPr>
      </w:pPr>
    </w:p>
    <w:p w14:paraId="11EA8B3F" w14:textId="77777777" w:rsidR="008A1A24" w:rsidRPr="00A2684A" w:rsidRDefault="008A1A24">
      <w:pPr>
        <w:tabs>
          <w:tab w:val="left" w:pos="2520"/>
          <w:tab w:val="center" w:pos="4535"/>
        </w:tabs>
        <w:rPr>
          <w:rFonts w:cs="Arial"/>
          <w:b/>
          <w:color w:val="000000" w:themeColor="text1"/>
          <w:sz w:val="32"/>
          <w:szCs w:val="32"/>
        </w:rPr>
      </w:pPr>
      <w:r w:rsidRPr="00A2684A">
        <w:rPr>
          <w:noProof/>
          <w:color w:val="000000" w:themeColor="text1"/>
          <w:lang w:val="en-AU" w:eastAsia="en-AU"/>
        </w:rPr>
        <w:drawing>
          <wp:anchor distT="0" distB="0" distL="114300" distR="114300" simplePos="0" relativeHeight="251658243" behindDoc="0" locked="0" layoutInCell="1" allowOverlap="1" wp14:anchorId="11EAB24D" wp14:editId="11EAB24E">
            <wp:simplePos x="0" y="0"/>
            <wp:positionH relativeFrom="margin">
              <wp:posOffset>-9225280</wp:posOffset>
            </wp:positionH>
            <wp:positionV relativeFrom="margin">
              <wp:posOffset>-3159760</wp:posOffset>
            </wp:positionV>
            <wp:extent cx="7315200" cy="1307465"/>
            <wp:effectExtent l="0" t="0" r="0" b="0"/>
            <wp:wrapSquare wrapText="bothSides"/>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7315200" cy="1307465"/>
                    </a:xfrm>
                    <a:prstGeom prst="rect">
                      <a:avLst/>
                    </a:prstGeom>
                    <a:noFill/>
                    <a:ln>
                      <a:noFill/>
                    </a:ln>
                  </pic:spPr>
                </pic:pic>
              </a:graphicData>
            </a:graphic>
          </wp:anchor>
        </w:drawing>
      </w:r>
    </w:p>
    <w:p w14:paraId="11EA8B40" w14:textId="77777777" w:rsidR="008A1A24" w:rsidRPr="00A2684A" w:rsidRDefault="008C2ED4">
      <w:pPr>
        <w:spacing w:after="880"/>
        <w:jc w:val="center"/>
        <w:rPr>
          <w:rFonts w:cs="Arial"/>
          <w:color w:val="000000" w:themeColor="text1"/>
          <w:sz w:val="24"/>
          <w:szCs w:val="24"/>
        </w:rPr>
      </w:pPr>
      <w:r w:rsidRPr="00A2684A">
        <w:rPr>
          <w:color w:val="000000" w:themeColor="text1"/>
          <w:sz w:val="24"/>
          <w:szCs w:val="24"/>
        </w:rPr>
        <w:t>Angus Thompson,</w:t>
      </w:r>
      <w:r w:rsidR="008A1A24" w:rsidRPr="00A2684A">
        <w:rPr>
          <w:rFonts w:cs="Arial"/>
          <w:color w:val="000000" w:themeColor="text1"/>
          <w:sz w:val="24"/>
          <w:szCs w:val="24"/>
        </w:rPr>
        <w:t xml:space="preserve"> </w:t>
      </w:r>
      <w:r w:rsidR="008A1A24" w:rsidRPr="00A2684A">
        <w:rPr>
          <w:color w:val="000000" w:themeColor="text1"/>
          <w:sz w:val="24"/>
          <w:szCs w:val="24"/>
        </w:rPr>
        <w:t>Paul Costello, Johnston Davidson,</w:t>
      </w:r>
      <w:r w:rsidR="008A1A24" w:rsidRPr="00A2684A">
        <w:rPr>
          <w:rFonts w:cs="Arial"/>
          <w:color w:val="000000" w:themeColor="text1"/>
          <w:sz w:val="24"/>
          <w:szCs w:val="24"/>
        </w:rPr>
        <w:t xml:space="preserve"> </w:t>
      </w:r>
      <w:r w:rsidR="00C33ABF" w:rsidRPr="00A2684A">
        <w:rPr>
          <w:rFonts w:cs="Arial"/>
          <w:color w:val="000000" w:themeColor="text1"/>
          <w:sz w:val="24"/>
          <w:szCs w:val="24"/>
        </w:rPr>
        <w:br/>
      </w:r>
      <w:r w:rsidR="008A1A24" w:rsidRPr="00A2684A">
        <w:rPr>
          <w:rFonts w:cs="Arial"/>
          <w:color w:val="000000" w:themeColor="text1"/>
          <w:sz w:val="24"/>
          <w:szCs w:val="24"/>
        </w:rPr>
        <w:t>Murray Logan,</w:t>
      </w:r>
      <w:r w:rsidR="00C33ABF" w:rsidRPr="00A2684A">
        <w:rPr>
          <w:rFonts w:cs="Arial"/>
          <w:color w:val="000000" w:themeColor="text1"/>
          <w:sz w:val="24"/>
          <w:szCs w:val="24"/>
        </w:rPr>
        <w:t xml:space="preserve"> </w:t>
      </w:r>
      <w:r w:rsidR="00F742C4" w:rsidRPr="00A2684A">
        <w:rPr>
          <w:rFonts w:cs="Arial"/>
          <w:color w:val="000000" w:themeColor="text1"/>
          <w:sz w:val="24"/>
          <w:szCs w:val="24"/>
        </w:rPr>
        <w:t xml:space="preserve">Greg Coleman, </w:t>
      </w:r>
      <w:r w:rsidR="008A1A24" w:rsidRPr="00A2684A">
        <w:rPr>
          <w:rFonts w:cs="Arial"/>
          <w:color w:val="000000" w:themeColor="text1"/>
          <w:sz w:val="24"/>
          <w:szCs w:val="24"/>
        </w:rPr>
        <w:t>Kevin Gunn, Britta Schaffelke</w:t>
      </w:r>
    </w:p>
    <w:p w14:paraId="11EA8B41" w14:textId="77777777" w:rsidR="008A1A24" w:rsidRPr="00F439FB" w:rsidRDefault="008A1A24">
      <w:pPr>
        <w:jc w:val="center"/>
        <w:rPr>
          <w:rFonts w:cs="Arial"/>
          <w:color w:val="4F81BD" w:themeColor="accent1"/>
        </w:rPr>
      </w:pPr>
    </w:p>
    <w:p w14:paraId="11EA8B42" w14:textId="77777777" w:rsidR="008A1A24" w:rsidRPr="00F439FB" w:rsidRDefault="008A1A24">
      <w:pPr>
        <w:jc w:val="center"/>
        <w:rPr>
          <w:rFonts w:cs="Arial"/>
          <w:color w:val="4F81BD" w:themeColor="accent1"/>
        </w:rPr>
      </w:pPr>
    </w:p>
    <w:p w14:paraId="11EA8B43" w14:textId="77777777" w:rsidR="008A1A24" w:rsidRPr="00F439FB" w:rsidRDefault="008A1A24">
      <w:pPr>
        <w:rPr>
          <w:rFonts w:cs="Arial"/>
          <w:color w:val="4F81BD" w:themeColor="accent1"/>
        </w:rPr>
      </w:pPr>
    </w:p>
    <w:p w14:paraId="11EA8B44" w14:textId="77777777" w:rsidR="008A1A24" w:rsidRPr="00F439FB" w:rsidRDefault="008A1A24">
      <w:pPr>
        <w:rPr>
          <w:color w:val="4F81BD" w:themeColor="accent1"/>
        </w:rPr>
        <w:sectPr w:rsidR="008A1A24" w:rsidRPr="00F439FB" w:rsidSect="006608FC">
          <w:headerReference w:type="default" r:id="rId16"/>
          <w:footerReference w:type="even" r:id="rId17"/>
          <w:footerReference w:type="default" r:id="rId18"/>
          <w:headerReference w:type="first" r:id="rId19"/>
          <w:footerReference w:type="first" r:id="rId20"/>
          <w:pgSz w:w="11907" w:h="16840" w:code="9"/>
          <w:pgMar w:top="1418" w:right="1418" w:bottom="1418" w:left="1418" w:header="864" w:footer="720" w:gutter="0"/>
          <w:pgNumType w:fmt="lowerRoman" w:start="1"/>
          <w:cols w:space="720"/>
        </w:sectPr>
      </w:pPr>
    </w:p>
    <w:p w14:paraId="734974E0" w14:textId="05705AD5" w:rsidR="003E641A" w:rsidRDefault="003E641A" w:rsidP="003E641A">
      <w:pPr>
        <w:ind w:left="284" w:hanging="284"/>
        <w:rPr>
          <w:rFonts w:cs="Arial"/>
          <w:sz w:val="18"/>
          <w:szCs w:val="18"/>
          <w:lang w:val="en-AU"/>
        </w:rPr>
      </w:pPr>
      <w:r>
        <w:rPr>
          <w:rFonts w:cs="Arial"/>
          <w:sz w:val="18"/>
          <w:szCs w:val="18"/>
          <w:lang w:val="en-AU"/>
        </w:rPr>
        <w:lastRenderedPageBreak/>
        <w:t>© Commonwealth of Australia (Australian Institute of Marine Science)</w:t>
      </w:r>
      <w:r w:rsidR="0052417A">
        <w:rPr>
          <w:rFonts w:cs="Arial"/>
          <w:sz w:val="18"/>
          <w:szCs w:val="18"/>
          <w:lang w:val="en-AU"/>
        </w:rPr>
        <w:t>, 2017</w:t>
      </w:r>
    </w:p>
    <w:p w14:paraId="6415AD8F" w14:textId="77777777" w:rsidR="003E641A" w:rsidRDefault="003E641A" w:rsidP="003E641A">
      <w:pPr>
        <w:ind w:left="284" w:hanging="284"/>
        <w:rPr>
          <w:rFonts w:cs="Arial"/>
          <w:sz w:val="18"/>
          <w:szCs w:val="18"/>
          <w:lang w:val="en-AU"/>
        </w:rPr>
      </w:pPr>
      <w:r>
        <w:rPr>
          <w:rFonts w:cs="Arial"/>
          <w:sz w:val="18"/>
          <w:szCs w:val="18"/>
          <w:lang w:val="en-AU"/>
        </w:rPr>
        <w:t>Published by the Great Barrier Reef Marine Park Authority</w:t>
      </w:r>
    </w:p>
    <w:p w14:paraId="2EB02E47" w14:textId="77777777" w:rsidR="003E641A" w:rsidRDefault="003E641A" w:rsidP="003E641A">
      <w:pPr>
        <w:ind w:left="284" w:hanging="284"/>
        <w:rPr>
          <w:rFonts w:cs="Arial"/>
          <w:sz w:val="18"/>
          <w:szCs w:val="18"/>
          <w:lang w:val="en-AU"/>
        </w:rPr>
      </w:pPr>
      <w:r>
        <w:rPr>
          <w:rFonts w:cs="Arial"/>
          <w:sz w:val="18"/>
          <w:szCs w:val="18"/>
          <w:lang w:val="en-AU"/>
        </w:rPr>
        <w:t xml:space="preserve">ISBN: </w:t>
      </w:r>
      <w:r>
        <w:rPr>
          <w:bCs/>
          <w:sz w:val="18"/>
          <w:szCs w:val="18"/>
          <w:lang w:val="en-AU"/>
        </w:rPr>
        <w:t>2208-4118</w:t>
      </w:r>
    </w:p>
    <w:p w14:paraId="37EC1FC7" w14:textId="77777777" w:rsidR="003E641A" w:rsidRDefault="003E641A" w:rsidP="003E641A">
      <w:pPr>
        <w:ind w:left="284" w:hanging="284"/>
        <w:rPr>
          <w:rFonts w:cs="Arial"/>
          <w:sz w:val="18"/>
          <w:szCs w:val="18"/>
          <w:lang w:val="en-AU"/>
        </w:rPr>
      </w:pPr>
    </w:p>
    <w:p w14:paraId="788BE1CB" w14:textId="77777777" w:rsidR="003E641A" w:rsidRDefault="003E641A" w:rsidP="003E641A">
      <w:pPr>
        <w:spacing w:after="0"/>
        <w:jc w:val="left"/>
        <w:rPr>
          <w:rFonts w:cs="Arial"/>
          <w:sz w:val="18"/>
          <w:szCs w:val="18"/>
        </w:rPr>
      </w:pPr>
      <w:r>
        <w:rPr>
          <w:rFonts w:cs="Arial"/>
          <w:i/>
          <w:color w:val="000000"/>
          <w:sz w:val="18"/>
          <w:szCs w:val="18"/>
          <w:lang w:val="en-US"/>
        </w:rPr>
        <w:t>Marine Monitoring Program: Annual report for inshore coral monitoring 2015-2016</w:t>
      </w:r>
      <w:r>
        <w:rPr>
          <w:rFonts w:cs="Arial"/>
          <w:color w:val="000000"/>
          <w:sz w:val="18"/>
          <w:szCs w:val="18"/>
          <w:lang w:val="en-US"/>
        </w:rPr>
        <w:t xml:space="preserve"> </w:t>
      </w:r>
      <w:r>
        <w:rPr>
          <w:rFonts w:cs="Arial"/>
          <w:sz w:val="18"/>
          <w:szCs w:val="18"/>
        </w:rPr>
        <w:t xml:space="preserve">is licensed for use under a Creative Commons By Attribution 4.0 International licence with the exception of the Coat of Arms of the Commonwealth of Australia, the logos of the Great Barrier Reef Marine Park Authority and Australian </w:t>
      </w:r>
      <w:r>
        <w:rPr>
          <w:rFonts w:cs="Arial"/>
          <w:sz w:val="18"/>
          <w:szCs w:val="18"/>
          <w:lang w:val="en-AU"/>
        </w:rPr>
        <w:t>Institute of Marine Science</w:t>
      </w:r>
      <w:r>
        <w:rPr>
          <w:rFonts w:cs="Arial"/>
          <w:sz w:val="18"/>
          <w:szCs w:val="18"/>
        </w:rPr>
        <w:t xml:space="preserve"> any other material protected by a trademark, content supplied by third parties and any photographs. For licence conditions see: </w:t>
      </w:r>
      <w:hyperlink r:id="rId21" w:history="1">
        <w:r>
          <w:rPr>
            <w:rStyle w:val="Hyperlink"/>
            <w:rFonts w:eastAsia="SimSun" w:cs="Arial"/>
            <w:sz w:val="18"/>
            <w:szCs w:val="18"/>
          </w:rPr>
          <w:t>http://creativecommons.org/licences/by/4.0</w:t>
        </w:r>
      </w:hyperlink>
      <w:r>
        <w:rPr>
          <w:rFonts w:cs="Arial"/>
          <w:sz w:val="18"/>
          <w:szCs w:val="18"/>
        </w:rPr>
        <w:t xml:space="preserve"> </w:t>
      </w:r>
    </w:p>
    <w:p w14:paraId="2962140C" w14:textId="0B9D8715" w:rsidR="003E641A" w:rsidRDefault="003E641A" w:rsidP="003E641A">
      <w:pPr>
        <w:ind w:left="284" w:hanging="284"/>
        <w:rPr>
          <w:rFonts w:cs="Arial"/>
          <w:sz w:val="18"/>
          <w:szCs w:val="18"/>
          <w:lang w:val="en-AU"/>
        </w:rPr>
      </w:pPr>
      <w:r>
        <w:rPr>
          <w:rFonts w:ascii="Times New Roman" w:eastAsiaTheme="minorEastAsia" w:hAnsi="Times New Roman" w:cs="Arial"/>
          <w:noProof/>
          <w:sz w:val="18"/>
          <w:szCs w:val="18"/>
          <w:lang w:val="en-AU" w:eastAsia="en-AU"/>
        </w:rPr>
        <w:drawing>
          <wp:inline distT="0" distB="0" distL="0" distR="0" wp14:anchorId="35F47710" wp14:editId="19FCA047">
            <wp:extent cx="1228725" cy="428625"/>
            <wp:effectExtent l="0" t="0" r="9525" b="9525"/>
            <wp:docPr id="7" name="Picture 7" descr="Title: Creative Commons BY licence information - Description: This work is licensed under the Creative Commons Attribution 3.0 Australia License. To view a copy of this license, visit http://creativecommons.org/licenses/by/3.0/au/ or send a letter to Creative Commons, 444 Castro Street, Suite 900, Mountain View, California, 94041, USA.">
              <a:hlinkClick xmlns:a="http://schemas.openxmlformats.org/drawingml/2006/main" r:id="rId22"/>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 descr="Title: Creative Commons BY licence information - Description: This work is licensed under the Creative Commons Attribution 3.0 Australia License. To view a copy of this license, visit http://creativecommons.org/licenses/by/3.0/au/ or send a letter to Creative Commons, 444 Castro Street, Suite 900, Mountain View, California, 94041, USA.">
                      <a:hlinkClick r:id="rId22"/>
                    </pic:cNvPr>
                    <pic:cNvPicPr>
                      <a:picLocks noChangeArrowheads="1"/>
                    </pic:cNvPicPr>
                  </pic:nvPicPr>
                  <pic:blipFill>
                    <a:blip r:embed="rId23">
                      <a:extLst>
                        <a:ext uri="{28A0092B-C50C-407E-A947-70E740481C1C}">
                          <a14:useLocalDpi xmlns:a14="http://schemas.microsoft.com/office/drawing/2010/main" val="0"/>
                        </a:ext>
                      </a:extLst>
                    </a:blip>
                    <a:srcRect r="-259" b="-446"/>
                    <a:stretch>
                      <a:fillRect/>
                    </a:stretch>
                  </pic:blipFill>
                  <pic:spPr bwMode="auto">
                    <a:xfrm>
                      <a:off x="0" y="0"/>
                      <a:ext cx="1228725" cy="428625"/>
                    </a:xfrm>
                    <a:prstGeom prst="rect">
                      <a:avLst/>
                    </a:prstGeom>
                    <a:noFill/>
                    <a:ln>
                      <a:noFill/>
                    </a:ln>
                  </pic:spPr>
                </pic:pic>
              </a:graphicData>
            </a:graphic>
          </wp:inline>
        </w:drawing>
      </w:r>
    </w:p>
    <w:p w14:paraId="32A7C808" w14:textId="77777777" w:rsidR="003E641A" w:rsidRDefault="003E641A" w:rsidP="003E641A">
      <w:pPr>
        <w:ind w:left="284" w:hanging="284"/>
        <w:rPr>
          <w:rFonts w:cs="Arial"/>
          <w:sz w:val="18"/>
          <w:szCs w:val="18"/>
          <w:lang w:val="en-AU"/>
        </w:rPr>
      </w:pPr>
    </w:p>
    <w:p w14:paraId="69B1B32B" w14:textId="77777777" w:rsidR="003E641A" w:rsidRDefault="003E641A" w:rsidP="003E641A">
      <w:pPr>
        <w:pStyle w:val="Infopage"/>
        <w:rPr>
          <w:rFonts w:ascii="Arial" w:hAnsi="Arial" w:cs="Arial"/>
          <w:b/>
          <w:sz w:val="18"/>
          <w:szCs w:val="18"/>
          <w:lang w:val="en-AU"/>
        </w:rPr>
      </w:pPr>
      <w:r>
        <w:rPr>
          <w:rFonts w:ascii="Arial" w:hAnsi="Arial" w:cs="Arial"/>
          <w:b/>
          <w:sz w:val="18"/>
          <w:szCs w:val="18"/>
          <w:lang w:val="en-AU"/>
        </w:rPr>
        <w:t xml:space="preserve">This publication should be cited as: </w:t>
      </w:r>
    </w:p>
    <w:p w14:paraId="613377C6" w14:textId="6DA668C6" w:rsidR="003E641A" w:rsidRDefault="003E641A" w:rsidP="003E641A">
      <w:pPr>
        <w:pStyle w:val="Infopage"/>
        <w:spacing w:after="200"/>
        <w:rPr>
          <w:rFonts w:ascii="Arial" w:hAnsi="Arial" w:cs="Arial"/>
          <w:color w:val="4F81BD" w:themeColor="accent1"/>
          <w:sz w:val="18"/>
          <w:szCs w:val="18"/>
        </w:rPr>
      </w:pPr>
      <w:r>
        <w:rPr>
          <w:rFonts w:ascii="Arial" w:hAnsi="Arial" w:cs="Arial"/>
          <w:color w:val="000000" w:themeColor="text1"/>
          <w:sz w:val="18"/>
          <w:szCs w:val="18"/>
        </w:rPr>
        <w:t xml:space="preserve">Thompson, A., Costello, P., Davidson, J., Logan, M., Coleman, G., Gunn, K., Schaffelke, B., 2017, </w:t>
      </w:r>
      <w:r>
        <w:rPr>
          <w:rFonts w:ascii="Arial" w:hAnsi="Arial" w:cs="Arial"/>
          <w:i/>
          <w:color w:val="000000" w:themeColor="text1"/>
          <w:sz w:val="18"/>
          <w:szCs w:val="18"/>
        </w:rPr>
        <w:t>Marine Monitoring Program. Annual Report for inshore coral reef monitoring: 2015 to 2016</w:t>
      </w:r>
      <w:r>
        <w:rPr>
          <w:rFonts w:ascii="Arial" w:hAnsi="Arial" w:cs="Arial"/>
          <w:color w:val="000000" w:themeColor="text1"/>
          <w:sz w:val="18"/>
          <w:szCs w:val="18"/>
        </w:rPr>
        <w:t xml:space="preserve">. </w:t>
      </w:r>
      <w:r>
        <w:rPr>
          <w:rFonts w:ascii="Arial" w:hAnsi="Arial" w:cs="Arial"/>
          <w:i/>
          <w:color w:val="000000"/>
          <w:sz w:val="18"/>
          <w:szCs w:val="18"/>
        </w:rPr>
        <w:t xml:space="preserve">Report </w:t>
      </w:r>
      <w:r>
        <w:rPr>
          <w:rFonts w:ascii="Arial" w:hAnsi="Arial" w:cs="Arial"/>
          <w:i/>
          <w:sz w:val="18"/>
          <w:szCs w:val="18"/>
        </w:rPr>
        <w:t>for the Great Barrier Reef Marine Park Authority</w:t>
      </w:r>
      <w:r>
        <w:rPr>
          <w:rFonts w:ascii="Arial" w:hAnsi="Arial" w:cs="Arial"/>
          <w:sz w:val="18"/>
          <w:szCs w:val="18"/>
          <w:lang w:val="en-AU"/>
        </w:rPr>
        <w:t xml:space="preserve">, </w:t>
      </w:r>
      <w:r>
        <w:rPr>
          <w:rFonts w:ascii="Arial" w:hAnsi="Arial" w:cs="Arial"/>
          <w:sz w:val="18"/>
          <w:szCs w:val="18"/>
        </w:rPr>
        <w:t>Great Barrier Reef Marine Park Authority</w:t>
      </w:r>
      <w:r>
        <w:rPr>
          <w:rFonts w:ascii="Arial" w:hAnsi="Arial" w:cs="Arial"/>
          <w:sz w:val="18"/>
          <w:szCs w:val="18"/>
          <w:lang w:val="en-AU"/>
        </w:rPr>
        <w:t xml:space="preserve">, </w:t>
      </w:r>
      <w:r>
        <w:rPr>
          <w:rFonts w:ascii="Arial" w:hAnsi="Arial" w:cs="Arial"/>
          <w:sz w:val="18"/>
          <w:szCs w:val="18"/>
        </w:rPr>
        <w:t>Townsville.133 pp.</w:t>
      </w:r>
    </w:p>
    <w:p w14:paraId="0E86CA23" w14:textId="77777777" w:rsidR="003E641A" w:rsidRDefault="003E641A" w:rsidP="003E641A">
      <w:pPr>
        <w:pStyle w:val="Infopage"/>
        <w:rPr>
          <w:rFonts w:ascii="Arial" w:hAnsi="Arial" w:cs="Arial"/>
          <w:sz w:val="18"/>
          <w:szCs w:val="18"/>
          <w:lang w:val="en-AU"/>
        </w:rPr>
      </w:pPr>
    </w:p>
    <w:p w14:paraId="64056712" w14:textId="77777777" w:rsidR="003E641A" w:rsidRDefault="003E641A" w:rsidP="003E641A">
      <w:pPr>
        <w:spacing w:after="0"/>
        <w:rPr>
          <w:rFonts w:cs="Arial"/>
          <w:b/>
          <w:sz w:val="18"/>
          <w:szCs w:val="18"/>
        </w:rPr>
      </w:pPr>
      <w:r>
        <w:rPr>
          <w:rFonts w:cs="Arial"/>
          <w:b/>
          <w:sz w:val="18"/>
          <w:szCs w:val="18"/>
        </w:rPr>
        <w:t>A catalogue record for this publication is available from the National Library of Australia</w:t>
      </w:r>
    </w:p>
    <w:p w14:paraId="3E500CE2" w14:textId="77777777" w:rsidR="003E641A" w:rsidRDefault="003E641A" w:rsidP="003E641A">
      <w:pPr>
        <w:ind w:left="284" w:hanging="284"/>
        <w:rPr>
          <w:rFonts w:cs="Arial"/>
          <w:sz w:val="18"/>
          <w:szCs w:val="18"/>
          <w:lang w:val="en-AU"/>
        </w:rPr>
      </w:pPr>
    </w:p>
    <w:p w14:paraId="200B10CC" w14:textId="0E0A168A" w:rsidR="003E641A" w:rsidRDefault="003E641A" w:rsidP="003E641A">
      <w:pPr>
        <w:pStyle w:val="Infopage"/>
        <w:spacing w:after="480"/>
        <w:rPr>
          <w:rFonts w:ascii="Arial" w:hAnsi="Arial" w:cs="Arial"/>
          <w:sz w:val="18"/>
          <w:szCs w:val="18"/>
        </w:rPr>
      </w:pPr>
      <w:r>
        <w:rPr>
          <w:rFonts w:ascii="Arial" w:hAnsi="Arial" w:cs="Arial"/>
          <w:sz w:val="18"/>
          <w:szCs w:val="18"/>
        </w:rPr>
        <w:t>Front cover image: The reef-flat coral community at Double Cone Island, Central Great Barrier Reef. Photographe</w:t>
      </w:r>
      <w:r w:rsidR="0052417A">
        <w:rPr>
          <w:rFonts w:ascii="Arial" w:hAnsi="Arial" w:cs="Arial"/>
          <w:sz w:val="18"/>
          <w:szCs w:val="18"/>
        </w:rPr>
        <w:t>r Johnston Davidson © AIMS 2014.</w:t>
      </w:r>
    </w:p>
    <w:p w14:paraId="63901BA7" w14:textId="77777777" w:rsidR="003E641A" w:rsidRDefault="003E641A" w:rsidP="003E641A">
      <w:pPr>
        <w:rPr>
          <w:rFonts w:eastAsia="MS Mincho" w:cs="Arial"/>
          <w:sz w:val="18"/>
          <w:szCs w:val="18"/>
          <w:lang w:val="en-AU" w:eastAsia="ja-JP"/>
        </w:rPr>
      </w:pPr>
    </w:p>
    <w:p w14:paraId="2A81C2B1" w14:textId="77777777" w:rsidR="003E641A" w:rsidRDefault="003E641A" w:rsidP="003E641A">
      <w:pPr>
        <w:rPr>
          <w:rFonts w:eastAsia="MS Mincho" w:cs="Arial"/>
          <w:b/>
          <w:sz w:val="18"/>
          <w:szCs w:val="18"/>
          <w:lang w:val="en-AU" w:eastAsia="ja-JP"/>
        </w:rPr>
      </w:pPr>
      <w:r>
        <w:rPr>
          <w:rFonts w:eastAsia="MS Mincho" w:cs="Arial"/>
          <w:b/>
          <w:sz w:val="18"/>
          <w:szCs w:val="18"/>
          <w:lang w:val="en-AU" w:eastAsia="ja-JP"/>
        </w:rPr>
        <w:t>DISCLAIMER</w:t>
      </w:r>
    </w:p>
    <w:p w14:paraId="4F16BECA" w14:textId="77777777" w:rsidR="003E641A" w:rsidRDefault="003E641A" w:rsidP="003E641A">
      <w:pPr>
        <w:rPr>
          <w:rFonts w:eastAsia="MS Mincho" w:cs="Arial"/>
          <w:sz w:val="18"/>
          <w:szCs w:val="18"/>
          <w:lang w:val="en-AU" w:eastAsia="ja-JP"/>
        </w:rPr>
      </w:pPr>
      <w:r>
        <w:rPr>
          <w:rFonts w:eastAsia="MS Mincho" w:cs="Arial"/>
          <w:sz w:val="18"/>
          <w:szCs w:val="18"/>
          <w:lang w:val="en-AU" w:eastAsia="ja-JP"/>
        </w:rPr>
        <w:t>While reasonable efforts have been made to ensure that the contents of this document are factually correct, AIMS do not make any representation or give any warranty regarding the accuracy, completeness, currency or suitability for any particular purpose of the information or statements contained in this document. To the extent permitted by law AIMS shall not be liable for any loss, damage, cost or expense that may be occasioned directly or indirectly through the use of or reliance on the contents of this document.</w:t>
      </w:r>
    </w:p>
    <w:p w14:paraId="36A237F4" w14:textId="77777777" w:rsidR="003E641A" w:rsidRDefault="003E641A" w:rsidP="003E641A">
      <w:pPr>
        <w:ind w:left="284" w:hanging="284"/>
        <w:rPr>
          <w:rFonts w:cs="Arial"/>
          <w:sz w:val="18"/>
          <w:szCs w:val="18"/>
          <w:lang w:val="en-AU"/>
        </w:rPr>
      </w:pPr>
    </w:p>
    <w:p w14:paraId="08496D0D" w14:textId="77777777" w:rsidR="003E641A" w:rsidRDefault="003E641A" w:rsidP="003E641A">
      <w:pPr>
        <w:rPr>
          <w:rFonts w:cs="Arial"/>
          <w:sz w:val="18"/>
          <w:szCs w:val="18"/>
        </w:rPr>
      </w:pPr>
      <w:r>
        <w:rPr>
          <w:rFonts w:cs="Arial"/>
          <w:sz w:val="18"/>
          <w:szCs w:val="18"/>
        </w:rPr>
        <w:t>Comments and questions regarding this document are welcome and should be addressed to:</w:t>
      </w:r>
    </w:p>
    <w:p w14:paraId="03E9444C" w14:textId="03EC1104" w:rsidR="003E641A" w:rsidRDefault="003E641A" w:rsidP="003E641A">
      <w:pPr>
        <w:spacing w:after="0"/>
        <w:ind w:left="284" w:hanging="284"/>
        <w:rPr>
          <w:rFonts w:cs="Arial"/>
          <w:sz w:val="18"/>
          <w:szCs w:val="18"/>
          <w:lang w:val="en-AU"/>
        </w:rPr>
      </w:pPr>
      <w:r>
        <w:rPr>
          <w:noProof/>
          <w:lang w:val="en-AU" w:eastAsia="en-AU"/>
        </w:rPr>
        <mc:AlternateContent>
          <mc:Choice Requires="wps">
            <w:drawing>
              <wp:anchor distT="0" distB="0" distL="114300" distR="114300" simplePos="0" relativeHeight="251658250" behindDoc="0" locked="0" layoutInCell="1" allowOverlap="1" wp14:anchorId="3F04CB35" wp14:editId="7090F3F6">
                <wp:simplePos x="0" y="0"/>
                <wp:positionH relativeFrom="column">
                  <wp:posOffset>238125</wp:posOffset>
                </wp:positionH>
                <wp:positionV relativeFrom="paragraph">
                  <wp:posOffset>9867900</wp:posOffset>
                </wp:positionV>
                <wp:extent cx="7112000" cy="695325"/>
                <wp:effectExtent l="0" t="0" r="0" b="0"/>
                <wp:wrapNone/>
                <wp:docPr id="8" name="Text Box 8" descr="Front cover rectangle design feature" title="Rectang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2000" cy="695325"/>
                        </a:xfrm>
                        <a:prstGeom prst="rect">
                          <a:avLst/>
                        </a:prstGeom>
                        <a:noFill/>
                        <a:ln w="9525">
                          <a:noFill/>
                          <a:miter lim="800000"/>
                          <a:headEnd/>
                          <a:tailEnd/>
                        </a:ln>
                      </wps:spPr>
                      <wps:txbx>
                        <w:txbxContent>
                          <w:p w14:paraId="7E886D3C" w14:textId="77777777" w:rsidR="00592A7D" w:rsidRDefault="00592A7D" w:rsidP="003E641A">
                            <w:pPr>
                              <w:jc w:val="center"/>
                              <w:rPr>
                                <w:rFonts w:cs="Arial"/>
                              </w:rPr>
                            </w:pPr>
                            <w:r>
                              <w:rPr>
                                <w:rFonts w:cs="Arial"/>
                                <w:lang w:val="en-AU"/>
                              </w:rPr>
                              <w:t>Jane Waterhouse, Christian Lønborg, Richard Brinkman, Paul Costello, Eduardo da Silva, Johnston Davidson, Kevin Gunn,Stephen Lewis, Murray Logan, Caroline Petus, Britta Schaffelke, Michele Skuza, Hemerson Tonin, Dieter Tracey, Margaret Wright, Irena Zagorskis</w:t>
                            </w:r>
                          </w:p>
                          <w:p w14:paraId="52D3A17D" w14:textId="77777777" w:rsidR="00592A7D" w:rsidRDefault="00592A7D" w:rsidP="003E641A">
                            <w:pPr>
                              <w:rPr>
                                <w:rFonts w:ascii="Verdana" w:hAnsi="Verdana"/>
                                <w:sz w:val="24"/>
                                <w:szCs w:val="24"/>
                              </w:rPr>
                            </w:pPr>
                          </w:p>
                          <w:p w14:paraId="1BE71AA5" w14:textId="77777777" w:rsidR="00592A7D" w:rsidRDefault="00592A7D" w:rsidP="003E641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04CB35" id="Text Box 8" o:spid="_x0000_s1031" type="#_x0000_t202" alt="Title: Rectangle - Description: Front cover rectangle design feature" style="position:absolute;left:0;text-align:left;margin-left:18.75pt;margin-top:777pt;width:560pt;height:54.7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" filled="f" stroked="f">
                <v:textbox>
                  <w:txbxContent>
                    <w:p w14:paraId="7E886D3C" w14:textId="77777777" w:rsidR="00592A7D" w:rsidRDefault="00592A7D" w:rsidP="003E641A">
                      <w:pPr>
                        <w:jc w:val="center"/>
                        <w:rPr>
                          <w:rFonts w:cs="Arial"/>
                        </w:rPr>
                      </w:pPr>
                      <w:r>
                        <w:rPr>
                          <w:rFonts w:cs="Arial"/>
                          <w:lang w:val="en-AU"/>
                        </w:rPr>
                        <w:t>Jane Waterhouse, Christian Lønborg, Richard Brinkman, Paul Costello, Eduardo da Silva, Johnston Davidson, Kevin Gunn,Stephen Lewis, Murray Logan, Caroline Petus, Britta Schaffelke, Michele Skuza, Hemerson Tonin, Dieter Tracey, Margaret Wright, Irena Zagorskis</w:t>
                      </w:r>
                    </w:p>
                    <w:p w14:paraId="52D3A17D" w14:textId="77777777" w:rsidR="00592A7D" w:rsidRDefault="00592A7D" w:rsidP="003E641A">
                      <w:pPr>
                        <w:rPr>
                          <w:rFonts w:ascii="Verdana" w:hAnsi="Verdana"/>
                          <w:sz w:val="24"/>
                          <w:szCs w:val="24"/>
                        </w:rPr>
                      </w:pPr>
                    </w:p>
                    <w:p w14:paraId="1BE71AA5" w14:textId="77777777" w:rsidR="00592A7D" w:rsidRDefault="00592A7D" w:rsidP="003E641A"/>
                  </w:txbxContent>
                </v:textbox>
              </v:shape>
            </w:pict>
          </mc:Fallback>
        </mc:AlternateContent>
      </w:r>
      <w:r>
        <w:rPr>
          <w:rFonts w:cs="Arial"/>
          <w:sz w:val="18"/>
          <w:szCs w:val="18"/>
          <w:lang w:val="en-AU"/>
        </w:rPr>
        <w:t>Australian Institute of Marine Science</w:t>
      </w:r>
    </w:p>
    <w:p w14:paraId="26EDD068" w14:textId="77777777" w:rsidR="003E641A" w:rsidRDefault="003E641A" w:rsidP="003E641A">
      <w:pPr>
        <w:pStyle w:val="Infopage"/>
        <w:tabs>
          <w:tab w:val="left" w:pos="2700"/>
          <w:tab w:val="left" w:pos="5040"/>
        </w:tabs>
        <w:spacing w:after="0"/>
        <w:rPr>
          <w:rFonts w:ascii="Arial" w:hAnsi="Arial" w:cs="Arial"/>
          <w:sz w:val="18"/>
          <w:szCs w:val="18"/>
          <w:lang w:val="en-AU"/>
        </w:rPr>
      </w:pPr>
      <w:r>
        <w:rPr>
          <w:rFonts w:ascii="Arial" w:hAnsi="Arial" w:cs="Arial"/>
          <w:sz w:val="18"/>
          <w:szCs w:val="18"/>
          <w:lang w:val="en-AU"/>
        </w:rPr>
        <w:t>PMB No 3</w:t>
      </w:r>
    </w:p>
    <w:p w14:paraId="0C60F37C" w14:textId="77777777" w:rsidR="003E641A" w:rsidRDefault="003E641A" w:rsidP="003E641A">
      <w:pPr>
        <w:pStyle w:val="Infopage"/>
        <w:tabs>
          <w:tab w:val="left" w:pos="2700"/>
          <w:tab w:val="left" w:pos="5040"/>
        </w:tabs>
        <w:spacing w:after="0"/>
        <w:rPr>
          <w:rFonts w:ascii="Arial" w:hAnsi="Arial" w:cs="Arial"/>
          <w:sz w:val="18"/>
          <w:szCs w:val="18"/>
          <w:lang w:val="en-AU"/>
        </w:rPr>
      </w:pPr>
      <w:r>
        <w:rPr>
          <w:rFonts w:ascii="Arial" w:hAnsi="Arial" w:cs="Arial"/>
          <w:sz w:val="18"/>
          <w:szCs w:val="18"/>
          <w:lang w:val="en-AU"/>
        </w:rPr>
        <w:t>Townsville MC, Qld  4810</w:t>
      </w:r>
    </w:p>
    <w:p w14:paraId="7E699D62" w14:textId="77777777" w:rsidR="003E641A" w:rsidRDefault="003E641A" w:rsidP="003E641A">
      <w:pPr>
        <w:pStyle w:val="Infopage"/>
        <w:rPr>
          <w:rFonts w:ascii="Arial" w:hAnsi="Arial" w:cs="Arial"/>
          <w:sz w:val="18"/>
          <w:szCs w:val="18"/>
          <w:lang w:val="en-AU"/>
        </w:rPr>
      </w:pPr>
    </w:p>
    <w:p w14:paraId="34C7A16D" w14:textId="77777777" w:rsidR="003E641A" w:rsidRDefault="003E641A" w:rsidP="003E641A">
      <w:pPr>
        <w:spacing w:before="100" w:beforeAutospacing="1" w:after="100" w:afterAutospacing="1"/>
        <w:rPr>
          <w:rFonts w:cs="Arial"/>
          <w:i/>
          <w:iCs/>
          <w:sz w:val="18"/>
          <w:szCs w:val="18"/>
          <w:lang w:val="en-US"/>
        </w:rPr>
      </w:pPr>
      <w:r>
        <w:rPr>
          <w:rFonts w:cs="Arial"/>
          <w:i/>
          <w:iCs/>
          <w:sz w:val="18"/>
          <w:szCs w:val="18"/>
          <w:lang w:val="en-US"/>
        </w:rPr>
        <w:t xml:space="preserve">This project is supported by the Great Barrier Reef Marine Park Authority through funding from the Australian Government Reef Program, the </w:t>
      </w:r>
      <w:r>
        <w:rPr>
          <w:rFonts w:cs="Arial"/>
          <w:i/>
          <w:iCs/>
          <w:sz w:val="18"/>
          <w:szCs w:val="18"/>
        </w:rPr>
        <w:t>Reef 2050 Integrated Monitoring, and Reporting Program and AIMS.</w:t>
      </w:r>
    </w:p>
    <w:p w14:paraId="11EA8B71" w14:textId="0891665E" w:rsidR="008A1A24" w:rsidRPr="00614B36" w:rsidRDefault="008A1A24">
      <w:pPr>
        <w:spacing w:before="120"/>
        <w:rPr>
          <w:rFonts w:ascii="Arial Narrow" w:eastAsia="MS Mincho" w:hAnsi="Arial Narrow" w:cs="Arial"/>
          <w:color w:val="000000" w:themeColor="text1"/>
          <w:szCs w:val="22"/>
          <w:lang w:eastAsia="ja-JP"/>
        </w:rPr>
      </w:pPr>
    </w:p>
    <w:p w14:paraId="11EA8B72" w14:textId="77777777" w:rsidR="008A1A24" w:rsidRPr="00F439FB" w:rsidRDefault="008A1A24">
      <w:pPr>
        <w:spacing w:after="1100"/>
        <w:rPr>
          <w:b/>
          <w:caps/>
          <w:color w:val="4F81BD" w:themeColor="accent1"/>
        </w:rPr>
        <w:sectPr w:rsidR="008A1A24" w:rsidRPr="00F439FB" w:rsidSect="006608FC">
          <w:headerReference w:type="even" r:id="rId24"/>
          <w:headerReference w:type="default" r:id="rId25"/>
          <w:headerReference w:type="first" r:id="rId26"/>
          <w:pgSz w:w="11907" w:h="16840" w:code="9"/>
          <w:pgMar w:top="1418" w:right="1418" w:bottom="1418" w:left="1418" w:header="1008" w:footer="720" w:gutter="0"/>
          <w:pgNumType w:fmt="lowerRoman" w:start="1"/>
          <w:cols w:space="720"/>
        </w:sectPr>
      </w:pPr>
    </w:p>
    <w:p w14:paraId="11EA8B73" w14:textId="77777777" w:rsidR="001F75A1" w:rsidRPr="001C3FA7" w:rsidRDefault="008A1A24" w:rsidP="001C3FA7">
      <w:pPr>
        <w:spacing w:after="360"/>
        <w:jc w:val="left"/>
        <w:rPr>
          <w:rFonts w:ascii="Century Gothic" w:hAnsi="Century Gothic"/>
          <w:b/>
          <w:color w:val="000000" w:themeColor="text1"/>
          <w:sz w:val="36"/>
          <w:szCs w:val="36"/>
        </w:rPr>
      </w:pPr>
      <w:r w:rsidRPr="001C3FA7">
        <w:rPr>
          <w:rFonts w:ascii="Century Gothic" w:hAnsi="Century Gothic"/>
          <w:b/>
          <w:color w:val="000000" w:themeColor="text1"/>
          <w:sz w:val="36"/>
          <w:szCs w:val="36"/>
        </w:rPr>
        <w:lastRenderedPageBreak/>
        <w:t>Contents</w:t>
      </w:r>
    </w:p>
    <w:p w14:paraId="3A2AAD69" w14:textId="77777777" w:rsidR="002B194A" w:rsidRDefault="003E02BD">
      <w:pPr>
        <w:pStyle w:val="TOC1"/>
        <w:rPr>
          <w:rFonts w:asciiTheme="minorHAnsi" w:eastAsiaTheme="minorEastAsia" w:hAnsiTheme="minorHAnsi" w:cstheme="minorBidi"/>
          <w:szCs w:val="22"/>
          <w:lang w:val="en-AU" w:eastAsia="en-AU"/>
        </w:rPr>
      </w:pPr>
      <w:r>
        <w:rPr>
          <w:szCs w:val="22"/>
        </w:rPr>
        <w:fldChar w:fldCharType="begin"/>
      </w:r>
      <w:r>
        <w:rPr>
          <w:szCs w:val="22"/>
        </w:rPr>
        <w:instrText xml:space="preserve"> TOC \o "1-3" \u </w:instrText>
      </w:r>
      <w:r>
        <w:rPr>
          <w:szCs w:val="22"/>
        </w:rPr>
        <w:fldChar w:fldCharType="separate"/>
      </w:r>
      <w:r w:rsidR="002B194A">
        <w:t>1</w:t>
      </w:r>
      <w:r w:rsidR="002B194A">
        <w:rPr>
          <w:rFonts w:asciiTheme="minorHAnsi" w:eastAsiaTheme="minorEastAsia" w:hAnsiTheme="minorHAnsi" w:cstheme="minorBidi"/>
          <w:szCs w:val="22"/>
          <w:lang w:val="en-AU" w:eastAsia="en-AU"/>
        </w:rPr>
        <w:tab/>
      </w:r>
      <w:r w:rsidR="002B194A">
        <w:t>Executive Summary</w:t>
      </w:r>
      <w:r w:rsidR="002B194A">
        <w:tab/>
      </w:r>
      <w:r w:rsidR="002B194A">
        <w:fldChar w:fldCharType="begin"/>
      </w:r>
      <w:r w:rsidR="002B194A">
        <w:instrText xml:space="preserve"> PAGEREF _Toc493153289 \h </w:instrText>
      </w:r>
      <w:r w:rsidR="002B194A">
        <w:fldChar w:fldCharType="separate"/>
      </w:r>
      <w:r w:rsidR="00D806F2">
        <w:t>1</w:t>
      </w:r>
      <w:r w:rsidR="002B194A">
        <w:fldChar w:fldCharType="end"/>
      </w:r>
    </w:p>
    <w:p w14:paraId="124B68EB" w14:textId="77777777" w:rsidR="002B194A" w:rsidRDefault="002B194A">
      <w:pPr>
        <w:pStyle w:val="TOC1"/>
        <w:rPr>
          <w:rFonts w:asciiTheme="minorHAnsi" w:eastAsiaTheme="minorEastAsia" w:hAnsiTheme="minorHAnsi" w:cstheme="minorBidi"/>
          <w:szCs w:val="22"/>
          <w:lang w:val="en-AU" w:eastAsia="en-AU"/>
        </w:rPr>
      </w:pPr>
      <w:r>
        <w:t>2</w:t>
      </w:r>
      <w:r>
        <w:rPr>
          <w:rFonts w:asciiTheme="minorHAnsi" w:eastAsiaTheme="minorEastAsia" w:hAnsiTheme="minorHAnsi" w:cstheme="minorBidi"/>
          <w:szCs w:val="22"/>
          <w:lang w:val="en-AU" w:eastAsia="en-AU"/>
        </w:rPr>
        <w:tab/>
      </w:r>
      <w:r>
        <w:t>Preface</w:t>
      </w:r>
      <w:r>
        <w:tab/>
      </w:r>
      <w:r>
        <w:fldChar w:fldCharType="begin"/>
      </w:r>
      <w:r>
        <w:instrText xml:space="preserve"> PAGEREF _Toc493153290 \h </w:instrText>
      </w:r>
      <w:r>
        <w:fldChar w:fldCharType="separate"/>
      </w:r>
      <w:r w:rsidR="00D806F2">
        <w:t>5</w:t>
      </w:r>
      <w:r>
        <w:fldChar w:fldCharType="end"/>
      </w:r>
    </w:p>
    <w:p w14:paraId="7204B5B1" w14:textId="77777777" w:rsidR="002B194A" w:rsidRDefault="002B194A">
      <w:pPr>
        <w:pStyle w:val="TOC1"/>
        <w:rPr>
          <w:rFonts w:asciiTheme="minorHAnsi" w:eastAsiaTheme="minorEastAsia" w:hAnsiTheme="minorHAnsi" w:cstheme="minorBidi"/>
          <w:szCs w:val="22"/>
          <w:lang w:val="en-AU" w:eastAsia="en-AU"/>
        </w:rPr>
      </w:pPr>
      <w:r>
        <w:t>3</w:t>
      </w:r>
      <w:r>
        <w:rPr>
          <w:rFonts w:asciiTheme="minorHAnsi" w:eastAsiaTheme="minorEastAsia" w:hAnsiTheme="minorHAnsi" w:cstheme="minorBidi"/>
          <w:szCs w:val="22"/>
          <w:lang w:val="en-AU" w:eastAsia="en-AU"/>
        </w:rPr>
        <w:tab/>
      </w:r>
      <w:r>
        <w:t>Introduction</w:t>
      </w:r>
      <w:r>
        <w:tab/>
      </w:r>
      <w:r>
        <w:fldChar w:fldCharType="begin"/>
      </w:r>
      <w:r>
        <w:instrText xml:space="preserve"> PAGEREF _Toc493153291 \h </w:instrText>
      </w:r>
      <w:r>
        <w:fldChar w:fldCharType="separate"/>
      </w:r>
      <w:r w:rsidR="00D806F2">
        <w:t>6</w:t>
      </w:r>
      <w:r>
        <w:fldChar w:fldCharType="end"/>
      </w:r>
    </w:p>
    <w:p w14:paraId="39BB3B97" w14:textId="77777777" w:rsidR="002B194A" w:rsidRDefault="002B194A">
      <w:pPr>
        <w:pStyle w:val="TOC1"/>
        <w:rPr>
          <w:rFonts w:asciiTheme="minorHAnsi" w:eastAsiaTheme="minorEastAsia" w:hAnsiTheme="minorHAnsi" w:cstheme="minorBidi"/>
          <w:szCs w:val="22"/>
          <w:lang w:val="en-AU" w:eastAsia="en-AU"/>
        </w:rPr>
      </w:pPr>
      <w:r>
        <w:t>4</w:t>
      </w:r>
      <w:r>
        <w:rPr>
          <w:rFonts w:asciiTheme="minorHAnsi" w:eastAsiaTheme="minorEastAsia" w:hAnsiTheme="minorHAnsi" w:cstheme="minorBidi"/>
          <w:szCs w:val="22"/>
          <w:lang w:val="en-AU" w:eastAsia="en-AU"/>
        </w:rPr>
        <w:tab/>
      </w:r>
      <w:r>
        <w:t>Methods</w:t>
      </w:r>
      <w:r>
        <w:tab/>
      </w:r>
      <w:r>
        <w:fldChar w:fldCharType="begin"/>
      </w:r>
      <w:r>
        <w:instrText xml:space="preserve"> PAGEREF _Toc493153292 \h </w:instrText>
      </w:r>
      <w:r>
        <w:fldChar w:fldCharType="separate"/>
      </w:r>
      <w:r w:rsidR="00D806F2">
        <w:t>9</w:t>
      </w:r>
      <w:r>
        <w:fldChar w:fldCharType="end"/>
      </w:r>
    </w:p>
    <w:p w14:paraId="5EE9E619" w14:textId="77777777" w:rsidR="002B194A" w:rsidRDefault="002B194A">
      <w:pPr>
        <w:pStyle w:val="TOC2"/>
        <w:rPr>
          <w:rFonts w:asciiTheme="minorHAnsi" w:eastAsiaTheme="minorEastAsia" w:hAnsiTheme="minorHAnsi" w:cstheme="minorBidi"/>
          <w:noProof/>
          <w:szCs w:val="22"/>
          <w:lang w:val="en-AU" w:eastAsia="en-AU"/>
        </w:rPr>
      </w:pPr>
      <w:r w:rsidRPr="003A2C32">
        <w:rPr>
          <w:rFonts w:eastAsia="SimSun"/>
          <w:noProof/>
        </w:rPr>
        <w:t>4.1 Sampling design</w:t>
      </w:r>
      <w:r>
        <w:rPr>
          <w:noProof/>
        </w:rPr>
        <w:tab/>
      </w:r>
      <w:r>
        <w:rPr>
          <w:noProof/>
        </w:rPr>
        <w:fldChar w:fldCharType="begin"/>
      </w:r>
      <w:r>
        <w:rPr>
          <w:noProof/>
        </w:rPr>
        <w:instrText xml:space="preserve"> PAGEREF _Toc493153293 \h </w:instrText>
      </w:r>
      <w:r>
        <w:rPr>
          <w:noProof/>
        </w:rPr>
      </w:r>
      <w:r>
        <w:rPr>
          <w:noProof/>
        </w:rPr>
        <w:fldChar w:fldCharType="separate"/>
      </w:r>
      <w:r w:rsidR="00D806F2">
        <w:rPr>
          <w:noProof/>
        </w:rPr>
        <w:t>9</w:t>
      </w:r>
      <w:r>
        <w:rPr>
          <w:noProof/>
        </w:rPr>
        <w:fldChar w:fldCharType="end"/>
      </w:r>
    </w:p>
    <w:p w14:paraId="4E2D298B" w14:textId="77777777" w:rsidR="002B194A" w:rsidRDefault="002B194A">
      <w:pPr>
        <w:pStyle w:val="TOC3"/>
        <w:rPr>
          <w:rFonts w:asciiTheme="minorHAnsi" w:eastAsiaTheme="minorEastAsia" w:hAnsiTheme="minorHAnsi" w:cstheme="minorBidi"/>
          <w:color w:val="auto"/>
          <w:szCs w:val="22"/>
          <w:lang w:val="en-AU" w:eastAsia="en-AU"/>
        </w:rPr>
      </w:pPr>
      <w:r>
        <w:t>4.1.1 Site Selection</w:t>
      </w:r>
      <w:r>
        <w:tab/>
      </w:r>
      <w:r>
        <w:fldChar w:fldCharType="begin"/>
      </w:r>
      <w:r>
        <w:instrText xml:space="preserve"> PAGEREF _Toc493153294 \h </w:instrText>
      </w:r>
      <w:r>
        <w:fldChar w:fldCharType="separate"/>
      </w:r>
      <w:r w:rsidR="00D806F2">
        <w:t>9</w:t>
      </w:r>
      <w:r>
        <w:fldChar w:fldCharType="end"/>
      </w:r>
    </w:p>
    <w:p w14:paraId="359F98E1" w14:textId="77777777" w:rsidR="002B194A" w:rsidRDefault="002B194A">
      <w:pPr>
        <w:pStyle w:val="TOC3"/>
        <w:rPr>
          <w:rFonts w:asciiTheme="minorHAnsi" w:eastAsiaTheme="minorEastAsia" w:hAnsiTheme="minorHAnsi" w:cstheme="minorBidi"/>
          <w:color w:val="auto"/>
          <w:szCs w:val="22"/>
          <w:lang w:val="en-AU" w:eastAsia="en-AU"/>
        </w:rPr>
      </w:pPr>
      <w:r>
        <w:t>4.1.2 Depth Selection</w:t>
      </w:r>
      <w:r>
        <w:tab/>
      </w:r>
      <w:r>
        <w:fldChar w:fldCharType="begin"/>
      </w:r>
      <w:r>
        <w:instrText xml:space="preserve"> PAGEREF _Toc493153295 \h </w:instrText>
      </w:r>
      <w:r>
        <w:fldChar w:fldCharType="separate"/>
      </w:r>
      <w:r w:rsidR="00D806F2">
        <w:t>11</w:t>
      </w:r>
      <w:r>
        <w:fldChar w:fldCharType="end"/>
      </w:r>
    </w:p>
    <w:p w14:paraId="46B8D258" w14:textId="77777777" w:rsidR="002B194A" w:rsidRDefault="002B194A">
      <w:pPr>
        <w:pStyle w:val="TOC3"/>
        <w:rPr>
          <w:rFonts w:asciiTheme="minorHAnsi" w:eastAsiaTheme="minorEastAsia" w:hAnsiTheme="minorHAnsi" w:cstheme="minorBidi"/>
          <w:color w:val="auto"/>
          <w:szCs w:val="22"/>
          <w:lang w:val="en-AU" w:eastAsia="en-AU"/>
        </w:rPr>
      </w:pPr>
      <w:r>
        <w:t>4.1.3 Site marking</w:t>
      </w:r>
      <w:r>
        <w:tab/>
      </w:r>
      <w:r>
        <w:fldChar w:fldCharType="begin"/>
      </w:r>
      <w:r>
        <w:instrText xml:space="preserve"> PAGEREF _Toc493153296 \h </w:instrText>
      </w:r>
      <w:r>
        <w:fldChar w:fldCharType="separate"/>
      </w:r>
      <w:r w:rsidR="00D806F2">
        <w:t>11</w:t>
      </w:r>
      <w:r>
        <w:fldChar w:fldCharType="end"/>
      </w:r>
    </w:p>
    <w:p w14:paraId="3B6A554F" w14:textId="77777777" w:rsidR="002B194A" w:rsidRDefault="002B194A">
      <w:pPr>
        <w:pStyle w:val="TOC3"/>
        <w:rPr>
          <w:rFonts w:asciiTheme="minorHAnsi" w:eastAsiaTheme="minorEastAsia" w:hAnsiTheme="minorHAnsi" w:cstheme="minorBidi"/>
          <w:color w:val="auto"/>
          <w:szCs w:val="22"/>
          <w:lang w:val="en-AU" w:eastAsia="en-AU"/>
        </w:rPr>
      </w:pPr>
      <w:r>
        <w:t>4.1.4 Sampling timing and frequency</w:t>
      </w:r>
      <w:r>
        <w:tab/>
      </w:r>
      <w:r>
        <w:fldChar w:fldCharType="begin"/>
      </w:r>
      <w:r>
        <w:instrText xml:space="preserve"> PAGEREF _Toc493153297 \h </w:instrText>
      </w:r>
      <w:r>
        <w:fldChar w:fldCharType="separate"/>
      </w:r>
      <w:r w:rsidR="00D806F2">
        <w:t>11</w:t>
      </w:r>
      <w:r>
        <w:fldChar w:fldCharType="end"/>
      </w:r>
    </w:p>
    <w:p w14:paraId="79577B48" w14:textId="77777777" w:rsidR="002B194A" w:rsidRDefault="002B194A">
      <w:pPr>
        <w:pStyle w:val="TOC2"/>
        <w:rPr>
          <w:rFonts w:asciiTheme="minorHAnsi" w:eastAsiaTheme="minorEastAsia" w:hAnsiTheme="minorHAnsi" w:cstheme="minorBidi"/>
          <w:noProof/>
          <w:szCs w:val="22"/>
          <w:lang w:val="en-AU" w:eastAsia="en-AU"/>
        </w:rPr>
      </w:pPr>
      <w:r>
        <w:rPr>
          <w:noProof/>
        </w:rPr>
        <w:t>4.3 Environmental pressures</w:t>
      </w:r>
      <w:r>
        <w:rPr>
          <w:noProof/>
        </w:rPr>
        <w:tab/>
      </w:r>
      <w:r>
        <w:rPr>
          <w:noProof/>
        </w:rPr>
        <w:fldChar w:fldCharType="begin"/>
      </w:r>
      <w:r>
        <w:rPr>
          <w:noProof/>
        </w:rPr>
        <w:instrText xml:space="preserve"> PAGEREF _Toc493153298 \h </w:instrText>
      </w:r>
      <w:r>
        <w:rPr>
          <w:noProof/>
        </w:rPr>
      </w:r>
      <w:r>
        <w:rPr>
          <w:noProof/>
        </w:rPr>
        <w:fldChar w:fldCharType="separate"/>
      </w:r>
      <w:r w:rsidR="00D806F2">
        <w:rPr>
          <w:noProof/>
        </w:rPr>
        <w:t>13</w:t>
      </w:r>
      <w:r>
        <w:rPr>
          <w:noProof/>
        </w:rPr>
        <w:fldChar w:fldCharType="end"/>
      </w:r>
    </w:p>
    <w:p w14:paraId="2C217337" w14:textId="77777777" w:rsidR="002B194A" w:rsidRDefault="002B194A">
      <w:pPr>
        <w:pStyle w:val="TOC3"/>
        <w:tabs>
          <w:tab w:val="left" w:pos="1440"/>
        </w:tabs>
        <w:rPr>
          <w:rFonts w:asciiTheme="minorHAnsi" w:eastAsiaTheme="minorEastAsia" w:hAnsiTheme="minorHAnsi" w:cstheme="minorBidi"/>
          <w:color w:val="auto"/>
          <w:szCs w:val="22"/>
          <w:lang w:val="en-AU" w:eastAsia="en-AU"/>
        </w:rPr>
      </w:pPr>
      <w:r>
        <w:t>4.3.1</w:t>
      </w:r>
      <w:r>
        <w:rPr>
          <w:rFonts w:asciiTheme="minorHAnsi" w:eastAsiaTheme="minorEastAsia" w:hAnsiTheme="minorHAnsi" w:cstheme="minorBidi"/>
          <w:color w:val="auto"/>
          <w:szCs w:val="22"/>
          <w:lang w:val="en-AU" w:eastAsia="en-AU"/>
        </w:rPr>
        <w:tab/>
      </w:r>
      <w:r>
        <w:t>Water quality</w:t>
      </w:r>
      <w:r>
        <w:tab/>
      </w:r>
      <w:r>
        <w:fldChar w:fldCharType="begin"/>
      </w:r>
      <w:r>
        <w:instrText xml:space="preserve"> PAGEREF _Toc493153299 \h </w:instrText>
      </w:r>
      <w:r>
        <w:fldChar w:fldCharType="separate"/>
      </w:r>
      <w:r w:rsidR="00D806F2">
        <w:t>13</w:t>
      </w:r>
      <w:r>
        <w:fldChar w:fldCharType="end"/>
      </w:r>
    </w:p>
    <w:p w14:paraId="1A4DDAC7" w14:textId="77777777" w:rsidR="002B194A" w:rsidRDefault="002B194A">
      <w:pPr>
        <w:pStyle w:val="TOC3"/>
        <w:rPr>
          <w:rFonts w:asciiTheme="minorHAnsi" w:eastAsiaTheme="minorEastAsia" w:hAnsiTheme="minorHAnsi" w:cstheme="minorBidi"/>
          <w:color w:val="auto"/>
          <w:szCs w:val="22"/>
          <w:lang w:val="en-AU" w:eastAsia="en-AU"/>
        </w:rPr>
      </w:pPr>
      <w:r>
        <w:t>4.3.2 Sea temperature</w:t>
      </w:r>
      <w:r>
        <w:tab/>
      </w:r>
      <w:r>
        <w:fldChar w:fldCharType="begin"/>
      </w:r>
      <w:r>
        <w:instrText xml:space="preserve"> PAGEREF _Toc493153300 \h </w:instrText>
      </w:r>
      <w:r>
        <w:fldChar w:fldCharType="separate"/>
      </w:r>
      <w:r w:rsidR="00D806F2">
        <w:t>13</w:t>
      </w:r>
      <w:r>
        <w:fldChar w:fldCharType="end"/>
      </w:r>
    </w:p>
    <w:p w14:paraId="37CEB6F2" w14:textId="77777777" w:rsidR="002B194A" w:rsidRDefault="002B194A">
      <w:pPr>
        <w:pStyle w:val="TOC3"/>
        <w:rPr>
          <w:rFonts w:asciiTheme="minorHAnsi" w:eastAsiaTheme="minorEastAsia" w:hAnsiTheme="minorHAnsi" w:cstheme="minorBidi"/>
          <w:color w:val="auto"/>
          <w:szCs w:val="22"/>
          <w:lang w:val="en-AU" w:eastAsia="en-AU"/>
        </w:rPr>
      </w:pPr>
      <w:r>
        <w:t>4.3.3 River discharge, DIN and TSS loads</w:t>
      </w:r>
      <w:r>
        <w:tab/>
      </w:r>
      <w:r>
        <w:fldChar w:fldCharType="begin"/>
      </w:r>
      <w:r>
        <w:instrText xml:space="preserve"> PAGEREF _Toc493153301 \h </w:instrText>
      </w:r>
      <w:r>
        <w:fldChar w:fldCharType="separate"/>
      </w:r>
      <w:r w:rsidR="00D806F2">
        <w:t>14</w:t>
      </w:r>
      <w:r>
        <w:fldChar w:fldCharType="end"/>
      </w:r>
    </w:p>
    <w:p w14:paraId="104D33AA" w14:textId="77777777" w:rsidR="002B194A" w:rsidRDefault="002B194A">
      <w:pPr>
        <w:pStyle w:val="TOC3"/>
        <w:rPr>
          <w:rFonts w:asciiTheme="minorHAnsi" w:eastAsiaTheme="minorEastAsia" w:hAnsiTheme="minorHAnsi" w:cstheme="minorBidi"/>
          <w:color w:val="auto"/>
          <w:szCs w:val="22"/>
          <w:lang w:val="en-AU" w:eastAsia="en-AU"/>
        </w:rPr>
      </w:pPr>
      <w:r>
        <w:t>4.3.4 Sediment sampling</w:t>
      </w:r>
      <w:r>
        <w:tab/>
      </w:r>
      <w:r>
        <w:fldChar w:fldCharType="begin"/>
      </w:r>
      <w:r>
        <w:instrText xml:space="preserve"> PAGEREF _Toc493153302 \h </w:instrText>
      </w:r>
      <w:r>
        <w:fldChar w:fldCharType="separate"/>
      </w:r>
      <w:r w:rsidR="00D806F2">
        <w:t>14</w:t>
      </w:r>
      <w:r>
        <w:fldChar w:fldCharType="end"/>
      </w:r>
    </w:p>
    <w:p w14:paraId="7CC3BAC0" w14:textId="77777777" w:rsidR="002B194A" w:rsidRDefault="002B194A">
      <w:pPr>
        <w:pStyle w:val="TOC3"/>
        <w:rPr>
          <w:rFonts w:asciiTheme="minorHAnsi" w:eastAsiaTheme="minorEastAsia" w:hAnsiTheme="minorHAnsi" w:cstheme="minorBidi"/>
          <w:color w:val="auto"/>
          <w:szCs w:val="22"/>
          <w:lang w:val="en-AU" w:eastAsia="en-AU"/>
        </w:rPr>
      </w:pPr>
      <w:r>
        <w:t>4.3.5 SCUBA search transects</w:t>
      </w:r>
      <w:r>
        <w:tab/>
      </w:r>
      <w:r>
        <w:fldChar w:fldCharType="begin"/>
      </w:r>
      <w:r>
        <w:instrText xml:space="preserve"> PAGEREF _Toc493153303 \h </w:instrText>
      </w:r>
      <w:r>
        <w:fldChar w:fldCharType="separate"/>
      </w:r>
      <w:r w:rsidR="00D806F2">
        <w:t>14</w:t>
      </w:r>
      <w:r>
        <w:fldChar w:fldCharType="end"/>
      </w:r>
    </w:p>
    <w:p w14:paraId="7BE04837" w14:textId="77777777" w:rsidR="002B194A" w:rsidRDefault="002B194A">
      <w:pPr>
        <w:pStyle w:val="TOC2"/>
        <w:rPr>
          <w:rFonts w:asciiTheme="minorHAnsi" w:eastAsiaTheme="minorEastAsia" w:hAnsiTheme="minorHAnsi" w:cstheme="minorBidi"/>
          <w:noProof/>
          <w:szCs w:val="22"/>
          <w:lang w:val="en-AU" w:eastAsia="en-AU"/>
        </w:rPr>
      </w:pPr>
      <w:r>
        <w:rPr>
          <w:noProof/>
        </w:rPr>
        <w:t>4.4 Pressure presentation</w:t>
      </w:r>
      <w:r>
        <w:rPr>
          <w:noProof/>
        </w:rPr>
        <w:tab/>
      </w:r>
      <w:r>
        <w:rPr>
          <w:noProof/>
        </w:rPr>
        <w:fldChar w:fldCharType="begin"/>
      </w:r>
      <w:r>
        <w:rPr>
          <w:noProof/>
        </w:rPr>
        <w:instrText xml:space="preserve"> PAGEREF _Toc493153304 \h </w:instrText>
      </w:r>
      <w:r>
        <w:rPr>
          <w:noProof/>
        </w:rPr>
      </w:r>
      <w:r>
        <w:rPr>
          <w:noProof/>
        </w:rPr>
        <w:fldChar w:fldCharType="separate"/>
      </w:r>
      <w:r w:rsidR="00D806F2">
        <w:rPr>
          <w:noProof/>
        </w:rPr>
        <w:t>17</w:t>
      </w:r>
      <w:r>
        <w:rPr>
          <w:noProof/>
        </w:rPr>
        <w:fldChar w:fldCharType="end"/>
      </w:r>
    </w:p>
    <w:p w14:paraId="663F588B" w14:textId="77777777" w:rsidR="002B194A" w:rsidRDefault="002B194A">
      <w:pPr>
        <w:pStyle w:val="TOC2"/>
        <w:rPr>
          <w:rFonts w:asciiTheme="minorHAnsi" w:eastAsiaTheme="minorEastAsia" w:hAnsiTheme="minorHAnsi" w:cstheme="minorBidi"/>
          <w:noProof/>
          <w:szCs w:val="22"/>
          <w:lang w:val="en-AU" w:eastAsia="en-AU"/>
        </w:rPr>
      </w:pPr>
      <w:r>
        <w:rPr>
          <w:noProof/>
        </w:rPr>
        <w:t>4.5 Coral community sampling</w:t>
      </w:r>
      <w:r>
        <w:rPr>
          <w:noProof/>
        </w:rPr>
        <w:tab/>
      </w:r>
      <w:r>
        <w:rPr>
          <w:noProof/>
        </w:rPr>
        <w:fldChar w:fldCharType="begin"/>
      </w:r>
      <w:r>
        <w:rPr>
          <w:noProof/>
        </w:rPr>
        <w:instrText xml:space="preserve"> PAGEREF _Toc493153305 \h </w:instrText>
      </w:r>
      <w:r>
        <w:rPr>
          <w:noProof/>
        </w:rPr>
      </w:r>
      <w:r>
        <w:rPr>
          <w:noProof/>
        </w:rPr>
        <w:fldChar w:fldCharType="separate"/>
      </w:r>
      <w:r w:rsidR="00D806F2">
        <w:rPr>
          <w:noProof/>
        </w:rPr>
        <w:t>18</w:t>
      </w:r>
      <w:r>
        <w:rPr>
          <w:noProof/>
        </w:rPr>
        <w:fldChar w:fldCharType="end"/>
      </w:r>
    </w:p>
    <w:p w14:paraId="2734C25C" w14:textId="77777777" w:rsidR="002B194A" w:rsidRDefault="002B194A">
      <w:pPr>
        <w:pStyle w:val="TOC3"/>
        <w:rPr>
          <w:rFonts w:asciiTheme="minorHAnsi" w:eastAsiaTheme="minorEastAsia" w:hAnsiTheme="minorHAnsi" w:cstheme="minorBidi"/>
          <w:color w:val="auto"/>
          <w:szCs w:val="22"/>
          <w:lang w:val="en-AU" w:eastAsia="en-AU"/>
        </w:rPr>
      </w:pPr>
      <w:r>
        <w:t>4.5.1 Photo point intercept transects</w:t>
      </w:r>
      <w:r>
        <w:tab/>
      </w:r>
      <w:r>
        <w:fldChar w:fldCharType="begin"/>
      </w:r>
      <w:r>
        <w:instrText xml:space="preserve"> PAGEREF _Toc493153306 \h </w:instrText>
      </w:r>
      <w:r>
        <w:fldChar w:fldCharType="separate"/>
      </w:r>
      <w:r w:rsidR="00D806F2">
        <w:t>18</w:t>
      </w:r>
      <w:r>
        <w:fldChar w:fldCharType="end"/>
      </w:r>
    </w:p>
    <w:p w14:paraId="2E11128C" w14:textId="77777777" w:rsidR="002B194A" w:rsidRDefault="002B194A">
      <w:pPr>
        <w:pStyle w:val="TOC3"/>
        <w:rPr>
          <w:rFonts w:asciiTheme="minorHAnsi" w:eastAsiaTheme="minorEastAsia" w:hAnsiTheme="minorHAnsi" w:cstheme="minorBidi"/>
          <w:color w:val="auto"/>
          <w:szCs w:val="22"/>
          <w:lang w:val="en-AU" w:eastAsia="en-AU"/>
        </w:rPr>
      </w:pPr>
      <w:r>
        <w:t>4.5.2 Juvenile coral surveys</w:t>
      </w:r>
      <w:r>
        <w:tab/>
      </w:r>
      <w:r>
        <w:fldChar w:fldCharType="begin"/>
      </w:r>
      <w:r>
        <w:instrText xml:space="preserve"> PAGEREF _Toc493153307 \h </w:instrText>
      </w:r>
      <w:r>
        <w:fldChar w:fldCharType="separate"/>
      </w:r>
      <w:r w:rsidR="00D806F2">
        <w:t>18</w:t>
      </w:r>
      <w:r>
        <w:fldChar w:fldCharType="end"/>
      </w:r>
    </w:p>
    <w:p w14:paraId="60015781" w14:textId="77777777" w:rsidR="002B194A" w:rsidRDefault="002B194A">
      <w:pPr>
        <w:pStyle w:val="TOC2"/>
        <w:rPr>
          <w:rFonts w:asciiTheme="minorHAnsi" w:eastAsiaTheme="minorEastAsia" w:hAnsiTheme="minorHAnsi" w:cstheme="minorBidi"/>
          <w:noProof/>
          <w:szCs w:val="22"/>
          <w:lang w:val="en-AU" w:eastAsia="en-AU"/>
        </w:rPr>
      </w:pPr>
      <w:r>
        <w:rPr>
          <w:noProof/>
        </w:rPr>
        <w:t>4.6 Coral reef data analysis and presentation</w:t>
      </w:r>
      <w:r>
        <w:rPr>
          <w:noProof/>
        </w:rPr>
        <w:tab/>
      </w:r>
      <w:r>
        <w:rPr>
          <w:noProof/>
        </w:rPr>
        <w:fldChar w:fldCharType="begin"/>
      </w:r>
      <w:r>
        <w:rPr>
          <w:noProof/>
        </w:rPr>
        <w:instrText xml:space="preserve"> PAGEREF _Toc493153308 \h </w:instrText>
      </w:r>
      <w:r>
        <w:rPr>
          <w:noProof/>
        </w:rPr>
      </w:r>
      <w:r>
        <w:rPr>
          <w:noProof/>
        </w:rPr>
        <w:fldChar w:fldCharType="separate"/>
      </w:r>
      <w:r w:rsidR="00D806F2">
        <w:rPr>
          <w:noProof/>
        </w:rPr>
        <w:t>19</w:t>
      </w:r>
      <w:r>
        <w:rPr>
          <w:noProof/>
        </w:rPr>
        <w:fldChar w:fldCharType="end"/>
      </w:r>
    </w:p>
    <w:p w14:paraId="2E86D71E" w14:textId="77777777" w:rsidR="002B194A" w:rsidRDefault="002B194A">
      <w:pPr>
        <w:pStyle w:val="TOC3"/>
        <w:rPr>
          <w:rFonts w:asciiTheme="minorHAnsi" w:eastAsiaTheme="minorEastAsia" w:hAnsiTheme="minorHAnsi" w:cstheme="minorBidi"/>
          <w:color w:val="auto"/>
          <w:szCs w:val="22"/>
          <w:lang w:val="en-AU" w:eastAsia="en-AU"/>
        </w:rPr>
      </w:pPr>
      <w:r>
        <w:t>4.6.1 Variation in index and metric scores among Regions and depths</w:t>
      </w:r>
      <w:r>
        <w:tab/>
      </w:r>
      <w:r>
        <w:fldChar w:fldCharType="begin"/>
      </w:r>
      <w:r>
        <w:instrText xml:space="preserve"> PAGEREF _Toc493153309 \h </w:instrText>
      </w:r>
      <w:r>
        <w:fldChar w:fldCharType="separate"/>
      </w:r>
      <w:r w:rsidR="00D806F2">
        <w:t>19</w:t>
      </w:r>
      <w:r>
        <w:fldChar w:fldCharType="end"/>
      </w:r>
    </w:p>
    <w:p w14:paraId="05F758EB" w14:textId="77777777" w:rsidR="002B194A" w:rsidRDefault="002B194A">
      <w:pPr>
        <w:pStyle w:val="TOC3"/>
        <w:rPr>
          <w:rFonts w:asciiTheme="minorHAnsi" w:eastAsiaTheme="minorEastAsia" w:hAnsiTheme="minorHAnsi" w:cstheme="minorBidi"/>
          <w:color w:val="auto"/>
          <w:szCs w:val="22"/>
          <w:lang w:val="en-AU" w:eastAsia="en-AU"/>
        </w:rPr>
      </w:pPr>
      <w:r>
        <w:t>4.6.2 Variation in index and metric scores to gradients in water quality</w:t>
      </w:r>
      <w:r>
        <w:tab/>
      </w:r>
      <w:r>
        <w:fldChar w:fldCharType="begin"/>
      </w:r>
      <w:r>
        <w:instrText xml:space="preserve"> PAGEREF _Toc493153310 \h </w:instrText>
      </w:r>
      <w:r>
        <w:fldChar w:fldCharType="separate"/>
      </w:r>
      <w:r w:rsidR="00D806F2">
        <w:t>20</w:t>
      </w:r>
      <w:r>
        <w:fldChar w:fldCharType="end"/>
      </w:r>
    </w:p>
    <w:p w14:paraId="7D1AD9A1" w14:textId="5E172C3C" w:rsidR="002B194A" w:rsidRDefault="002B194A">
      <w:pPr>
        <w:pStyle w:val="TOC3"/>
        <w:rPr>
          <w:rFonts w:asciiTheme="minorHAnsi" w:eastAsiaTheme="minorEastAsia" w:hAnsiTheme="minorHAnsi" w:cstheme="minorBidi"/>
          <w:color w:val="auto"/>
          <w:szCs w:val="22"/>
          <w:lang w:val="en-AU" w:eastAsia="en-AU"/>
        </w:rPr>
      </w:pPr>
      <w:r>
        <w:t>4.6.3 Relationship between index and metric scores and regional discharge</w:t>
      </w:r>
      <w:r>
        <w:tab/>
      </w:r>
      <w:r>
        <w:fldChar w:fldCharType="begin"/>
      </w:r>
      <w:r>
        <w:instrText xml:space="preserve"> PAGEREF _Toc493153311 \h </w:instrText>
      </w:r>
      <w:r>
        <w:fldChar w:fldCharType="separate"/>
      </w:r>
      <w:r w:rsidR="00D806F2">
        <w:t>20</w:t>
      </w:r>
      <w:r>
        <w:fldChar w:fldCharType="end"/>
      </w:r>
    </w:p>
    <w:p w14:paraId="0A1BE06A" w14:textId="77777777" w:rsidR="002B194A" w:rsidRDefault="002B194A">
      <w:pPr>
        <w:pStyle w:val="TOC3"/>
        <w:rPr>
          <w:rFonts w:asciiTheme="minorHAnsi" w:eastAsiaTheme="minorEastAsia" w:hAnsiTheme="minorHAnsi" w:cstheme="minorBidi"/>
          <w:color w:val="auto"/>
          <w:szCs w:val="22"/>
          <w:lang w:val="en-AU" w:eastAsia="en-AU"/>
        </w:rPr>
      </w:pPr>
      <w:r>
        <w:t>4.6.4 Temporal trends in coral index, indicators and measured water quality.</w:t>
      </w:r>
      <w:r>
        <w:tab/>
      </w:r>
      <w:r>
        <w:fldChar w:fldCharType="begin"/>
      </w:r>
      <w:r>
        <w:instrText xml:space="preserve"> PAGEREF _Toc493153312 \h </w:instrText>
      </w:r>
      <w:r>
        <w:fldChar w:fldCharType="separate"/>
      </w:r>
      <w:r w:rsidR="00D806F2">
        <w:t>20</w:t>
      </w:r>
      <w:r>
        <w:fldChar w:fldCharType="end"/>
      </w:r>
    </w:p>
    <w:p w14:paraId="6A7CFDC6" w14:textId="77777777" w:rsidR="002B194A" w:rsidRDefault="002B194A">
      <w:pPr>
        <w:pStyle w:val="TOC3"/>
        <w:rPr>
          <w:rFonts w:asciiTheme="minorHAnsi" w:eastAsiaTheme="minorEastAsia" w:hAnsiTheme="minorHAnsi" w:cstheme="minorBidi"/>
          <w:color w:val="auto"/>
          <w:szCs w:val="22"/>
          <w:lang w:val="en-AU" w:eastAsia="en-AU"/>
        </w:rPr>
      </w:pPr>
      <w:r>
        <w:t>4.6.5 Analysis of change in index and metric scores</w:t>
      </w:r>
      <w:r>
        <w:tab/>
      </w:r>
      <w:r>
        <w:fldChar w:fldCharType="begin"/>
      </w:r>
      <w:r>
        <w:instrText xml:space="preserve"> PAGEREF _Toc493153313 \h </w:instrText>
      </w:r>
      <w:r>
        <w:fldChar w:fldCharType="separate"/>
      </w:r>
      <w:r w:rsidR="00D806F2">
        <w:t>21</w:t>
      </w:r>
      <w:r>
        <w:fldChar w:fldCharType="end"/>
      </w:r>
    </w:p>
    <w:p w14:paraId="582088C5" w14:textId="77777777" w:rsidR="002B194A" w:rsidRDefault="002B194A">
      <w:pPr>
        <w:pStyle w:val="TOC2"/>
        <w:rPr>
          <w:rFonts w:asciiTheme="minorHAnsi" w:eastAsiaTheme="minorEastAsia" w:hAnsiTheme="minorHAnsi" w:cstheme="minorBidi"/>
          <w:noProof/>
          <w:szCs w:val="22"/>
          <w:lang w:val="en-AU" w:eastAsia="en-AU"/>
        </w:rPr>
      </w:pPr>
      <w:r>
        <w:rPr>
          <w:noProof/>
        </w:rPr>
        <w:t>4.7 The Coral Index</w:t>
      </w:r>
      <w:r>
        <w:rPr>
          <w:noProof/>
        </w:rPr>
        <w:tab/>
      </w:r>
      <w:r>
        <w:rPr>
          <w:noProof/>
        </w:rPr>
        <w:fldChar w:fldCharType="begin"/>
      </w:r>
      <w:r>
        <w:rPr>
          <w:noProof/>
        </w:rPr>
        <w:instrText xml:space="preserve"> PAGEREF _Toc493153314 \h </w:instrText>
      </w:r>
      <w:r>
        <w:rPr>
          <w:noProof/>
        </w:rPr>
      </w:r>
      <w:r>
        <w:rPr>
          <w:noProof/>
        </w:rPr>
        <w:fldChar w:fldCharType="separate"/>
      </w:r>
      <w:r w:rsidR="00D806F2">
        <w:rPr>
          <w:noProof/>
        </w:rPr>
        <w:t>21</w:t>
      </w:r>
      <w:r>
        <w:rPr>
          <w:noProof/>
        </w:rPr>
        <w:fldChar w:fldCharType="end"/>
      </w:r>
    </w:p>
    <w:p w14:paraId="732BC05C" w14:textId="03113D28" w:rsidR="002B194A" w:rsidRDefault="002B194A">
      <w:pPr>
        <w:pStyle w:val="TOC3"/>
        <w:rPr>
          <w:rFonts w:asciiTheme="minorHAnsi" w:eastAsiaTheme="minorEastAsia" w:hAnsiTheme="minorHAnsi" w:cstheme="minorBidi"/>
          <w:color w:val="auto"/>
          <w:szCs w:val="22"/>
          <w:lang w:val="en-AU" w:eastAsia="en-AU"/>
        </w:rPr>
      </w:pPr>
      <w:r>
        <w:t>4.7.1 Coral Cover metric</w:t>
      </w:r>
      <w:r>
        <w:tab/>
      </w:r>
      <w:r>
        <w:fldChar w:fldCharType="begin"/>
      </w:r>
      <w:r>
        <w:instrText xml:space="preserve"> PAGEREF _Toc493153315 \h </w:instrText>
      </w:r>
      <w:r>
        <w:fldChar w:fldCharType="separate"/>
      </w:r>
      <w:r w:rsidR="00D806F2">
        <w:t>21</w:t>
      </w:r>
      <w:r>
        <w:fldChar w:fldCharType="end"/>
      </w:r>
    </w:p>
    <w:p w14:paraId="707F7E9B" w14:textId="4623E982" w:rsidR="002B194A" w:rsidRDefault="002B194A">
      <w:pPr>
        <w:pStyle w:val="TOC3"/>
        <w:rPr>
          <w:rFonts w:asciiTheme="minorHAnsi" w:eastAsiaTheme="minorEastAsia" w:hAnsiTheme="minorHAnsi" w:cstheme="minorBidi"/>
          <w:color w:val="auto"/>
          <w:szCs w:val="22"/>
          <w:lang w:val="en-AU" w:eastAsia="en-AU"/>
        </w:rPr>
      </w:pPr>
      <w:r>
        <w:t>4.7.2 Macroalgae metric</w:t>
      </w:r>
      <w:r>
        <w:tab/>
      </w:r>
      <w:r>
        <w:fldChar w:fldCharType="begin"/>
      </w:r>
      <w:r>
        <w:instrText xml:space="preserve"> PAGEREF _Toc493153316 \h </w:instrText>
      </w:r>
      <w:r>
        <w:fldChar w:fldCharType="separate"/>
      </w:r>
      <w:r w:rsidR="00D806F2">
        <w:t>22</w:t>
      </w:r>
      <w:r>
        <w:fldChar w:fldCharType="end"/>
      </w:r>
    </w:p>
    <w:p w14:paraId="662903CE" w14:textId="6AC1EDC6" w:rsidR="002B194A" w:rsidRDefault="002B194A">
      <w:pPr>
        <w:pStyle w:val="TOC3"/>
        <w:rPr>
          <w:rFonts w:asciiTheme="minorHAnsi" w:eastAsiaTheme="minorEastAsia" w:hAnsiTheme="minorHAnsi" w:cstheme="minorBidi"/>
          <w:color w:val="auto"/>
          <w:szCs w:val="22"/>
          <w:lang w:val="en-AU" w:eastAsia="en-AU"/>
        </w:rPr>
      </w:pPr>
      <w:r>
        <w:t>4.7.3 Density of juvenile hard corals metric</w:t>
      </w:r>
      <w:r>
        <w:tab/>
      </w:r>
      <w:r>
        <w:fldChar w:fldCharType="begin"/>
      </w:r>
      <w:r>
        <w:instrText xml:space="preserve"> PAGEREF _Toc493153317 \h </w:instrText>
      </w:r>
      <w:r>
        <w:fldChar w:fldCharType="separate"/>
      </w:r>
      <w:r w:rsidR="00D806F2">
        <w:t>23</w:t>
      </w:r>
      <w:r>
        <w:fldChar w:fldCharType="end"/>
      </w:r>
    </w:p>
    <w:p w14:paraId="4E83EDA5" w14:textId="2CCBC50F" w:rsidR="002B194A" w:rsidRDefault="002B194A">
      <w:pPr>
        <w:pStyle w:val="TOC3"/>
        <w:rPr>
          <w:rFonts w:asciiTheme="minorHAnsi" w:eastAsiaTheme="minorEastAsia" w:hAnsiTheme="minorHAnsi" w:cstheme="minorBidi"/>
          <w:color w:val="auto"/>
          <w:szCs w:val="22"/>
          <w:lang w:val="en-AU" w:eastAsia="en-AU"/>
        </w:rPr>
      </w:pPr>
      <w:r w:rsidRPr="003A2C32">
        <w:t xml:space="preserve">4.7.4 </w:t>
      </w:r>
      <w:r>
        <w:t>Cover Change metric</w:t>
      </w:r>
      <w:r>
        <w:tab/>
      </w:r>
      <w:r>
        <w:fldChar w:fldCharType="begin"/>
      </w:r>
      <w:r>
        <w:instrText xml:space="preserve"> PAGEREF _Toc493153318 \h </w:instrText>
      </w:r>
      <w:r>
        <w:fldChar w:fldCharType="separate"/>
      </w:r>
      <w:r w:rsidR="00D806F2">
        <w:t>24</w:t>
      </w:r>
      <w:r>
        <w:fldChar w:fldCharType="end"/>
      </w:r>
    </w:p>
    <w:p w14:paraId="3640BDCA" w14:textId="20539B28" w:rsidR="002B194A" w:rsidRDefault="002B194A">
      <w:pPr>
        <w:pStyle w:val="TOC3"/>
        <w:rPr>
          <w:rFonts w:asciiTheme="minorHAnsi" w:eastAsiaTheme="minorEastAsia" w:hAnsiTheme="minorHAnsi" w:cstheme="minorBidi"/>
          <w:color w:val="auto"/>
          <w:szCs w:val="22"/>
          <w:lang w:val="en-AU" w:eastAsia="en-AU"/>
        </w:rPr>
      </w:pPr>
      <w:r>
        <w:t>4.7.5 Community Composition metric</w:t>
      </w:r>
      <w:r>
        <w:tab/>
      </w:r>
      <w:r>
        <w:fldChar w:fldCharType="begin"/>
      </w:r>
      <w:r>
        <w:instrText xml:space="preserve"> PAGEREF _Toc493153319 \h </w:instrText>
      </w:r>
      <w:r>
        <w:fldChar w:fldCharType="separate"/>
      </w:r>
      <w:r w:rsidR="00D806F2">
        <w:t>26</w:t>
      </w:r>
      <w:r>
        <w:fldChar w:fldCharType="end"/>
      </w:r>
    </w:p>
    <w:p w14:paraId="6CBDC8F8" w14:textId="427404AE" w:rsidR="002B194A" w:rsidRDefault="002B194A">
      <w:pPr>
        <w:pStyle w:val="TOC3"/>
        <w:rPr>
          <w:rFonts w:asciiTheme="minorHAnsi" w:eastAsiaTheme="minorEastAsia" w:hAnsiTheme="minorHAnsi" w:cstheme="minorBidi"/>
          <w:color w:val="auto"/>
          <w:szCs w:val="22"/>
          <w:lang w:val="en-AU" w:eastAsia="en-AU"/>
        </w:rPr>
      </w:pPr>
      <w:r>
        <w:t>4.7.6 Aggregating indicator scores to regional scale assessments</w:t>
      </w:r>
      <w:r>
        <w:tab/>
      </w:r>
      <w:r>
        <w:fldChar w:fldCharType="begin"/>
      </w:r>
      <w:r>
        <w:instrText xml:space="preserve"> PAGEREF _Toc493153320 \h </w:instrText>
      </w:r>
      <w:r>
        <w:fldChar w:fldCharType="separate"/>
      </w:r>
      <w:r w:rsidR="00D806F2">
        <w:t>27</w:t>
      </w:r>
      <w:r>
        <w:fldChar w:fldCharType="end"/>
      </w:r>
    </w:p>
    <w:p w14:paraId="47D3C316" w14:textId="77E4550F" w:rsidR="002B194A" w:rsidRDefault="002B194A">
      <w:pPr>
        <w:pStyle w:val="TOC1"/>
        <w:rPr>
          <w:rFonts w:asciiTheme="minorHAnsi" w:eastAsiaTheme="minorEastAsia" w:hAnsiTheme="minorHAnsi" w:cstheme="minorBidi"/>
          <w:szCs w:val="22"/>
          <w:lang w:val="en-AU" w:eastAsia="en-AU"/>
        </w:rPr>
      </w:pPr>
      <w:r>
        <w:t>5</w:t>
      </w:r>
      <w:r>
        <w:rPr>
          <w:rFonts w:asciiTheme="minorHAnsi" w:eastAsiaTheme="minorEastAsia" w:hAnsiTheme="minorHAnsi" w:cstheme="minorBidi"/>
          <w:szCs w:val="22"/>
          <w:lang w:val="en-AU" w:eastAsia="en-AU"/>
        </w:rPr>
        <w:tab/>
      </w:r>
      <w:r w:rsidRPr="003A2C32">
        <w:rPr>
          <w:lang w:val="en-AU" w:eastAsia="en-AU"/>
        </w:rPr>
        <w:t>Results</w:t>
      </w:r>
      <w:r>
        <w:tab/>
      </w:r>
      <w:r>
        <w:fldChar w:fldCharType="begin"/>
      </w:r>
      <w:r>
        <w:instrText xml:space="preserve"> PAGEREF _Toc493153321 \h </w:instrText>
      </w:r>
      <w:r>
        <w:fldChar w:fldCharType="separate"/>
      </w:r>
      <w:r w:rsidR="00D806F2">
        <w:t>29</w:t>
      </w:r>
      <w:r>
        <w:fldChar w:fldCharType="end"/>
      </w:r>
    </w:p>
    <w:p w14:paraId="21EFF989" w14:textId="0DA01617" w:rsidR="002B194A" w:rsidRDefault="002B194A">
      <w:pPr>
        <w:pStyle w:val="TOC2"/>
        <w:rPr>
          <w:rFonts w:asciiTheme="minorHAnsi" w:eastAsiaTheme="minorEastAsia" w:hAnsiTheme="minorHAnsi" w:cstheme="minorBidi"/>
          <w:noProof/>
          <w:szCs w:val="22"/>
          <w:lang w:val="en-AU" w:eastAsia="en-AU"/>
        </w:rPr>
      </w:pPr>
      <w:r>
        <w:rPr>
          <w:noProof/>
        </w:rPr>
        <w:t>5.1 Variation of coral index and indicator scores observed in 2016</w:t>
      </w:r>
      <w:r>
        <w:rPr>
          <w:noProof/>
        </w:rPr>
        <w:tab/>
      </w:r>
      <w:r>
        <w:rPr>
          <w:noProof/>
        </w:rPr>
        <w:fldChar w:fldCharType="begin"/>
      </w:r>
      <w:r>
        <w:rPr>
          <w:noProof/>
        </w:rPr>
        <w:instrText xml:space="preserve"> PAGEREF _Toc493153322 \h </w:instrText>
      </w:r>
      <w:r>
        <w:rPr>
          <w:noProof/>
        </w:rPr>
      </w:r>
      <w:r>
        <w:rPr>
          <w:noProof/>
        </w:rPr>
        <w:fldChar w:fldCharType="separate"/>
      </w:r>
      <w:r w:rsidR="00D806F2">
        <w:rPr>
          <w:noProof/>
        </w:rPr>
        <w:t>29</w:t>
      </w:r>
      <w:r>
        <w:rPr>
          <w:noProof/>
        </w:rPr>
        <w:fldChar w:fldCharType="end"/>
      </w:r>
    </w:p>
    <w:p w14:paraId="0E44CEBF" w14:textId="517C2AB9" w:rsidR="002B194A" w:rsidRDefault="002B194A">
      <w:pPr>
        <w:pStyle w:val="TOC3"/>
        <w:rPr>
          <w:rFonts w:asciiTheme="minorHAnsi" w:eastAsiaTheme="minorEastAsia" w:hAnsiTheme="minorHAnsi" w:cstheme="minorBidi"/>
          <w:color w:val="auto"/>
          <w:szCs w:val="22"/>
          <w:lang w:val="en-AU" w:eastAsia="en-AU"/>
        </w:rPr>
      </w:pPr>
      <w:r>
        <w:t>5.1.1 Regional differences</w:t>
      </w:r>
      <w:r>
        <w:tab/>
      </w:r>
      <w:r>
        <w:fldChar w:fldCharType="begin"/>
      </w:r>
      <w:r>
        <w:instrText xml:space="preserve"> PAGEREF _Toc493153323 \h </w:instrText>
      </w:r>
      <w:r>
        <w:fldChar w:fldCharType="separate"/>
      </w:r>
      <w:r w:rsidR="00D806F2">
        <w:t>29</w:t>
      </w:r>
      <w:r>
        <w:fldChar w:fldCharType="end"/>
      </w:r>
    </w:p>
    <w:p w14:paraId="00BC1DED" w14:textId="237FE828" w:rsidR="002B194A" w:rsidRDefault="002B194A">
      <w:pPr>
        <w:pStyle w:val="TOC3"/>
        <w:rPr>
          <w:rFonts w:asciiTheme="minorHAnsi" w:eastAsiaTheme="minorEastAsia" w:hAnsiTheme="minorHAnsi" w:cstheme="minorBidi"/>
          <w:color w:val="auto"/>
          <w:szCs w:val="22"/>
          <w:lang w:val="en-AU" w:eastAsia="en-AU"/>
        </w:rPr>
      </w:pPr>
      <w:r>
        <w:t>5.1.2 Effect of depth</w:t>
      </w:r>
      <w:r>
        <w:tab/>
      </w:r>
      <w:r>
        <w:fldChar w:fldCharType="begin"/>
      </w:r>
      <w:r>
        <w:instrText xml:space="preserve"> PAGEREF _Toc493153324 \h </w:instrText>
      </w:r>
      <w:r>
        <w:fldChar w:fldCharType="separate"/>
      </w:r>
      <w:r w:rsidR="00D806F2">
        <w:t>30</w:t>
      </w:r>
      <w:r>
        <w:fldChar w:fldCharType="end"/>
      </w:r>
    </w:p>
    <w:p w14:paraId="4BD4CAD7" w14:textId="7CF9FE0D" w:rsidR="002B194A" w:rsidRDefault="002B194A">
      <w:pPr>
        <w:pStyle w:val="TOC3"/>
        <w:rPr>
          <w:rFonts w:asciiTheme="minorHAnsi" w:eastAsiaTheme="minorEastAsia" w:hAnsiTheme="minorHAnsi" w:cstheme="minorBidi"/>
          <w:color w:val="auto"/>
          <w:szCs w:val="22"/>
          <w:lang w:val="en-AU" w:eastAsia="en-AU"/>
        </w:rPr>
      </w:pPr>
      <w:r>
        <w:t>5.1.3 Response to environmental gradients</w:t>
      </w:r>
      <w:r>
        <w:tab/>
      </w:r>
      <w:r>
        <w:fldChar w:fldCharType="begin"/>
      </w:r>
      <w:r>
        <w:instrText xml:space="preserve"> PAGEREF _Toc493153325 \h </w:instrText>
      </w:r>
      <w:r>
        <w:fldChar w:fldCharType="separate"/>
      </w:r>
      <w:r w:rsidR="00D806F2">
        <w:t>31</w:t>
      </w:r>
      <w:r>
        <w:fldChar w:fldCharType="end"/>
      </w:r>
    </w:p>
    <w:p w14:paraId="3D76675C" w14:textId="1D94296B" w:rsidR="002B194A" w:rsidRDefault="002B194A">
      <w:pPr>
        <w:pStyle w:val="TOC3"/>
        <w:rPr>
          <w:rFonts w:asciiTheme="minorHAnsi" w:eastAsiaTheme="minorEastAsia" w:hAnsiTheme="minorHAnsi" w:cstheme="minorBidi"/>
          <w:color w:val="auto"/>
          <w:szCs w:val="22"/>
          <w:lang w:val="en-AU" w:eastAsia="en-AU"/>
        </w:rPr>
      </w:pPr>
      <w:r>
        <w:t>5.1.4 Influence of discharge and catchment loads</w:t>
      </w:r>
      <w:r>
        <w:tab/>
      </w:r>
      <w:r>
        <w:fldChar w:fldCharType="begin"/>
      </w:r>
      <w:r>
        <w:instrText xml:space="preserve"> PAGEREF _Toc493153326 \h </w:instrText>
      </w:r>
      <w:r>
        <w:fldChar w:fldCharType="separate"/>
      </w:r>
      <w:r w:rsidR="00D806F2">
        <w:t>33</w:t>
      </w:r>
      <w:r>
        <w:fldChar w:fldCharType="end"/>
      </w:r>
    </w:p>
    <w:p w14:paraId="0267FDC8" w14:textId="5805A88A" w:rsidR="002B194A" w:rsidRDefault="002B194A">
      <w:pPr>
        <w:pStyle w:val="TOC2"/>
        <w:rPr>
          <w:rFonts w:asciiTheme="minorHAnsi" w:eastAsiaTheme="minorEastAsia" w:hAnsiTheme="minorHAnsi" w:cstheme="minorBidi"/>
          <w:noProof/>
          <w:szCs w:val="22"/>
          <w:lang w:val="en-AU" w:eastAsia="en-AU"/>
        </w:rPr>
      </w:pPr>
      <w:r>
        <w:rPr>
          <w:noProof/>
        </w:rPr>
        <w:t>5.2 Regional condition of coral communities</w:t>
      </w:r>
      <w:r>
        <w:rPr>
          <w:noProof/>
        </w:rPr>
        <w:tab/>
      </w:r>
      <w:r>
        <w:rPr>
          <w:noProof/>
        </w:rPr>
        <w:fldChar w:fldCharType="begin"/>
      </w:r>
      <w:r>
        <w:rPr>
          <w:noProof/>
        </w:rPr>
        <w:instrText xml:space="preserve"> PAGEREF _Toc493153327 \h </w:instrText>
      </w:r>
      <w:r>
        <w:rPr>
          <w:noProof/>
        </w:rPr>
      </w:r>
      <w:r>
        <w:rPr>
          <w:noProof/>
        </w:rPr>
        <w:fldChar w:fldCharType="separate"/>
      </w:r>
      <w:r w:rsidR="00D806F2">
        <w:rPr>
          <w:noProof/>
        </w:rPr>
        <w:t>35</w:t>
      </w:r>
      <w:r>
        <w:rPr>
          <w:noProof/>
        </w:rPr>
        <w:fldChar w:fldCharType="end"/>
      </w:r>
    </w:p>
    <w:p w14:paraId="6A7F8E76" w14:textId="6C1F9896" w:rsidR="002B194A" w:rsidRDefault="002B194A">
      <w:pPr>
        <w:pStyle w:val="TOC3"/>
        <w:rPr>
          <w:rFonts w:asciiTheme="minorHAnsi" w:eastAsiaTheme="minorEastAsia" w:hAnsiTheme="minorHAnsi" w:cstheme="minorBidi"/>
          <w:color w:val="auto"/>
          <w:szCs w:val="22"/>
          <w:lang w:val="en-AU" w:eastAsia="en-AU"/>
        </w:rPr>
      </w:pPr>
      <w:r>
        <w:t>5.2.1 Wet Tropics Region: Barron Daintree sub-region</w:t>
      </w:r>
      <w:r>
        <w:tab/>
      </w:r>
      <w:r>
        <w:fldChar w:fldCharType="begin"/>
      </w:r>
      <w:r>
        <w:instrText xml:space="preserve"> PAGEREF _Toc493153328 \h </w:instrText>
      </w:r>
      <w:r>
        <w:fldChar w:fldCharType="separate"/>
      </w:r>
      <w:r w:rsidR="00D806F2">
        <w:t>35</w:t>
      </w:r>
      <w:r>
        <w:fldChar w:fldCharType="end"/>
      </w:r>
    </w:p>
    <w:p w14:paraId="3A893689" w14:textId="132DA642" w:rsidR="002B194A" w:rsidRDefault="002B194A">
      <w:pPr>
        <w:pStyle w:val="TOC3"/>
        <w:rPr>
          <w:rFonts w:asciiTheme="minorHAnsi" w:eastAsiaTheme="minorEastAsia" w:hAnsiTheme="minorHAnsi" w:cstheme="minorBidi"/>
          <w:color w:val="auto"/>
          <w:szCs w:val="22"/>
          <w:lang w:val="en-AU" w:eastAsia="en-AU"/>
        </w:rPr>
      </w:pPr>
      <w:r>
        <w:t>5.2.2 Wet Tropics Region: Johnstone Russell-Mulgrave sub-region</w:t>
      </w:r>
      <w:r>
        <w:tab/>
      </w:r>
      <w:r>
        <w:fldChar w:fldCharType="begin"/>
      </w:r>
      <w:r>
        <w:instrText xml:space="preserve"> PAGEREF _Toc493153329 \h </w:instrText>
      </w:r>
      <w:r>
        <w:fldChar w:fldCharType="separate"/>
      </w:r>
      <w:r w:rsidR="00D806F2">
        <w:t>39</w:t>
      </w:r>
      <w:r>
        <w:fldChar w:fldCharType="end"/>
      </w:r>
    </w:p>
    <w:p w14:paraId="3CFE054E" w14:textId="594FFDE1" w:rsidR="002B194A" w:rsidRDefault="002B194A">
      <w:pPr>
        <w:pStyle w:val="TOC3"/>
        <w:rPr>
          <w:rFonts w:asciiTheme="minorHAnsi" w:eastAsiaTheme="minorEastAsia" w:hAnsiTheme="minorHAnsi" w:cstheme="minorBidi"/>
          <w:color w:val="auto"/>
          <w:szCs w:val="22"/>
          <w:lang w:val="en-AU" w:eastAsia="en-AU"/>
        </w:rPr>
      </w:pPr>
      <w:r>
        <w:t>5.2.3 Wet Tropics Region: Herbert Tully sub-region</w:t>
      </w:r>
      <w:r>
        <w:tab/>
      </w:r>
      <w:r>
        <w:fldChar w:fldCharType="begin"/>
      </w:r>
      <w:r>
        <w:instrText xml:space="preserve"> PAGEREF _Toc493153330 \h </w:instrText>
      </w:r>
      <w:r>
        <w:fldChar w:fldCharType="separate"/>
      </w:r>
      <w:r w:rsidR="00D806F2">
        <w:t>43</w:t>
      </w:r>
      <w:r>
        <w:fldChar w:fldCharType="end"/>
      </w:r>
    </w:p>
    <w:p w14:paraId="781E4B83" w14:textId="6CCB7AA6" w:rsidR="002B194A" w:rsidRDefault="002B194A">
      <w:pPr>
        <w:pStyle w:val="TOC3"/>
        <w:rPr>
          <w:rFonts w:asciiTheme="minorHAnsi" w:eastAsiaTheme="minorEastAsia" w:hAnsiTheme="minorHAnsi" w:cstheme="minorBidi"/>
          <w:color w:val="auto"/>
          <w:szCs w:val="22"/>
          <w:lang w:val="en-AU" w:eastAsia="en-AU"/>
        </w:rPr>
      </w:pPr>
      <w:r>
        <w:t>5.2.4 Burdekin Region</w:t>
      </w:r>
      <w:r>
        <w:tab/>
      </w:r>
      <w:r>
        <w:fldChar w:fldCharType="begin"/>
      </w:r>
      <w:r>
        <w:instrText xml:space="preserve"> PAGEREF _Toc493153331 \h </w:instrText>
      </w:r>
      <w:r>
        <w:fldChar w:fldCharType="separate"/>
      </w:r>
      <w:r w:rsidR="00D806F2">
        <w:t>46</w:t>
      </w:r>
      <w:r>
        <w:fldChar w:fldCharType="end"/>
      </w:r>
    </w:p>
    <w:p w14:paraId="3D43DA0D" w14:textId="552D314F" w:rsidR="002B194A" w:rsidRDefault="002B194A">
      <w:pPr>
        <w:pStyle w:val="TOC3"/>
        <w:rPr>
          <w:rFonts w:asciiTheme="minorHAnsi" w:eastAsiaTheme="minorEastAsia" w:hAnsiTheme="minorHAnsi" w:cstheme="minorBidi"/>
          <w:color w:val="auto"/>
          <w:szCs w:val="22"/>
          <w:lang w:val="en-AU" w:eastAsia="en-AU"/>
        </w:rPr>
      </w:pPr>
      <w:r>
        <w:t>5.2.5 Mackay Whitsunday Region</w:t>
      </w:r>
      <w:r>
        <w:tab/>
      </w:r>
      <w:r>
        <w:fldChar w:fldCharType="begin"/>
      </w:r>
      <w:r>
        <w:instrText xml:space="preserve"> PAGEREF _Toc493153332 \h </w:instrText>
      </w:r>
      <w:r>
        <w:fldChar w:fldCharType="separate"/>
      </w:r>
      <w:r w:rsidR="00D806F2">
        <w:t>50</w:t>
      </w:r>
      <w:r>
        <w:fldChar w:fldCharType="end"/>
      </w:r>
    </w:p>
    <w:p w14:paraId="6F10E921" w14:textId="378DC381" w:rsidR="003F01A3" w:rsidRDefault="002B194A">
      <w:pPr>
        <w:pStyle w:val="TOC3"/>
      </w:pPr>
      <w:r>
        <w:t>5.2.6 Fitzroy Region</w:t>
      </w:r>
      <w:r>
        <w:tab/>
      </w:r>
      <w:r>
        <w:fldChar w:fldCharType="begin"/>
      </w:r>
      <w:r>
        <w:instrText xml:space="preserve"> PAGEREF _Toc493153333 \h </w:instrText>
      </w:r>
      <w:r>
        <w:fldChar w:fldCharType="separate"/>
      </w:r>
      <w:r w:rsidR="00D806F2">
        <w:t>54</w:t>
      </w:r>
      <w:r>
        <w:fldChar w:fldCharType="end"/>
      </w:r>
    </w:p>
    <w:p w14:paraId="5491F3B8" w14:textId="77777777" w:rsidR="003F01A3" w:rsidRDefault="003F01A3">
      <w:pPr>
        <w:jc w:val="left"/>
        <w:rPr>
          <w:rFonts w:eastAsia="SimSun"/>
          <w:noProof/>
          <w:color w:val="000000" w:themeColor="text1"/>
        </w:rPr>
      </w:pPr>
      <w:r>
        <w:br w:type="page"/>
      </w:r>
    </w:p>
    <w:p w14:paraId="6BE12678" w14:textId="77777777" w:rsidR="002B194A" w:rsidRDefault="002B194A">
      <w:pPr>
        <w:pStyle w:val="TOC3"/>
        <w:rPr>
          <w:rFonts w:asciiTheme="minorHAnsi" w:eastAsiaTheme="minorEastAsia" w:hAnsiTheme="minorHAnsi" w:cstheme="minorBidi"/>
          <w:color w:val="auto"/>
          <w:szCs w:val="22"/>
          <w:lang w:val="en-AU" w:eastAsia="en-AU"/>
        </w:rPr>
      </w:pPr>
    </w:p>
    <w:p w14:paraId="76CC90F8" w14:textId="69357090" w:rsidR="002B194A" w:rsidRDefault="002B194A">
      <w:pPr>
        <w:pStyle w:val="TOC1"/>
        <w:rPr>
          <w:rFonts w:asciiTheme="minorHAnsi" w:eastAsiaTheme="minorEastAsia" w:hAnsiTheme="minorHAnsi" w:cstheme="minorBidi"/>
          <w:szCs w:val="22"/>
          <w:lang w:val="en-AU" w:eastAsia="en-AU"/>
        </w:rPr>
      </w:pPr>
      <w:r w:rsidRPr="003A2C32">
        <w:rPr>
          <w:lang w:val="en-AU"/>
        </w:rPr>
        <w:t>6</w:t>
      </w:r>
      <w:r>
        <w:rPr>
          <w:rFonts w:asciiTheme="minorHAnsi" w:eastAsiaTheme="minorEastAsia" w:hAnsiTheme="minorHAnsi" w:cstheme="minorBidi"/>
          <w:szCs w:val="22"/>
          <w:lang w:val="en-AU" w:eastAsia="en-AU"/>
        </w:rPr>
        <w:tab/>
      </w:r>
      <w:r>
        <w:t>Discussion</w:t>
      </w:r>
      <w:r>
        <w:tab/>
      </w:r>
      <w:r>
        <w:fldChar w:fldCharType="begin"/>
      </w:r>
      <w:r>
        <w:instrText xml:space="preserve"> PAGEREF _Toc493153334 \h </w:instrText>
      </w:r>
      <w:r>
        <w:fldChar w:fldCharType="separate"/>
      </w:r>
      <w:r w:rsidR="00D806F2">
        <w:t>58</w:t>
      </w:r>
      <w:r>
        <w:fldChar w:fldCharType="end"/>
      </w:r>
    </w:p>
    <w:p w14:paraId="20E26F35" w14:textId="422C2EC9" w:rsidR="002B194A" w:rsidRDefault="002B194A">
      <w:pPr>
        <w:pStyle w:val="TOC2"/>
        <w:rPr>
          <w:rFonts w:asciiTheme="minorHAnsi" w:eastAsiaTheme="minorEastAsia" w:hAnsiTheme="minorHAnsi" w:cstheme="minorBidi"/>
          <w:noProof/>
          <w:szCs w:val="22"/>
          <w:lang w:val="en-AU" w:eastAsia="en-AU"/>
        </w:rPr>
      </w:pPr>
      <w:r>
        <w:rPr>
          <w:noProof/>
        </w:rPr>
        <w:t>6.1 Pressures</w:t>
      </w:r>
      <w:r>
        <w:rPr>
          <w:noProof/>
        </w:rPr>
        <w:tab/>
      </w:r>
      <w:r>
        <w:rPr>
          <w:noProof/>
        </w:rPr>
        <w:fldChar w:fldCharType="begin"/>
      </w:r>
      <w:r>
        <w:rPr>
          <w:noProof/>
        </w:rPr>
        <w:instrText xml:space="preserve"> PAGEREF _Toc493153335 \h </w:instrText>
      </w:r>
      <w:r>
        <w:rPr>
          <w:noProof/>
        </w:rPr>
      </w:r>
      <w:r>
        <w:rPr>
          <w:noProof/>
        </w:rPr>
        <w:fldChar w:fldCharType="separate"/>
      </w:r>
      <w:r w:rsidR="00D806F2">
        <w:rPr>
          <w:noProof/>
        </w:rPr>
        <w:t>58</w:t>
      </w:r>
      <w:r>
        <w:rPr>
          <w:noProof/>
        </w:rPr>
        <w:fldChar w:fldCharType="end"/>
      </w:r>
    </w:p>
    <w:p w14:paraId="29D11A80" w14:textId="340BB321" w:rsidR="002B194A" w:rsidRDefault="002B194A">
      <w:pPr>
        <w:pStyle w:val="TOC3"/>
        <w:rPr>
          <w:rFonts w:asciiTheme="minorHAnsi" w:eastAsiaTheme="minorEastAsia" w:hAnsiTheme="minorHAnsi" w:cstheme="minorBidi"/>
          <w:color w:val="auto"/>
          <w:szCs w:val="22"/>
          <w:lang w:val="en-AU" w:eastAsia="en-AU"/>
        </w:rPr>
      </w:pPr>
      <w:r>
        <w:t>Acute disturbances</w:t>
      </w:r>
      <w:r>
        <w:tab/>
      </w:r>
      <w:r>
        <w:fldChar w:fldCharType="begin"/>
      </w:r>
      <w:r>
        <w:instrText xml:space="preserve"> PAGEREF _Toc493153336 \h </w:instrText>
      </w:r>
      <w:r>
        <w:fldChar w:fldCharType="separate"/>
      </w:r>
      <w:r w:rsidR="00D806F2">
        <w:t>58</w:t>
      </w:r>
      <w:r>
        <w:fldChar w:fldCharType="end"/>
      </w:r>
    </w:p>
    <w:p w14:paraId="55F25699" w14:textId="3FE3D839" w:rsidR="002B194A" w:rsidRDefault="002B194A">
      <w:pPr>
        <w:pStyle w:val="TOC3"/>
        <w:rPr>
          <w:rFonts w:asciiTheme="minorHAnsi" w:eastAsiaTheme="minorEastAsia" w:hAnsiTheme="minorHAnsi" w:cstheme="minorBidi"/>
          <w:color w:val="auto"/>
          <w:szCs w:val="22"/>
          <w:lang w:val="en-AU" w:eastAsia="en-AU"/>
        </w:rPr>
      </w:pPr>
      <w:r>
        <w:t>Chronic conditions - water quality</w:t>
      </w:r>
      <w:r>
        <w:tab/>
      </w:r>
      <w:r>
        <w:fldChar w:fldCharType="begin"/>
      </w:r>
      <w:r>
        <w:instrText xml:space="preserve"> PAGEREF _Toc493153337 \h </w:instrText>
      </w:r>
      <w:r>
        <w:fldChar w:fldCharType="separate"/>
      </w:r>
      <w:r w:rsidR="00D806F2">
        <w:t>59</w:t>
      </w:r>
      <w:r>
        <w:fldChar w:fldCharType="end"/>
      </w:r>
    </w:p>
    <w:p w14:paraId="4CF10AF7" w14:textId="22EAD761" w:rsidR="002B194A" w:rsidRDefault="002B194A">
      <w:pPr>
        <w:pStyle w:val="TOC2"/>
        <w:rPr>
          <w:rFonts w:asciiTheme="minorHAnsi" w:eastAsiaTheme="minorEastAsia" w:hAnsiTheme="minorHAnsi" w:cstheme="minorBidi"/>
          <w:noProof/>
          <w:szCs w:val="22"/>
          <w:lang w:val="en-AU" w:eastAsia="en-AU"/>
        </w:rPr>
      </w:pPr>
      <w:r>
        <w:rPr>
          <w:noProof/>
        </w:rPr>
        <w:t>6.2 Ecosystem State</w:t>
      </w:r>
      <w:r>
        <w:rPr>
          <w:noProof/>
        </w:rPr>
        <w:tab/>
      </w:r>
      <w:r>
        <w:rPr>
          <w:noProof/>
        </w:rPr>
        <w:fldChar w:fldCharType="begin"/>
      </w:r>
      <w:r>
        <w:rPr>
          <w:noProof/>
        </w:rPr>
        <w:instrText xml:space="preserve"> PAGEREF _Toc493153338 \h </w:instrText>
      </w:r>
      <w:r>
        <w:rPr>
          <w:noProof/>
        </w:rPr>
      </w:r>
      <w:r>
        <w:rPr>
          <w:noProof/>
        </w:rPr>
        <w:fldChar w:fldCharType="separate"/>
      </w:r>
      <w:r w:rsidR="00D806F2">
        <w:rPr>
          <w:noProof/>
        </w:rPr>
        <w:t>59</w:t>
      </w:r>
      <w:r>
        <w:rPr>
          <w:noProof/>
        </w:rPr>
        <w:fldChar w:fldCharType="end"/>
      </w:r>
    </w:p>
    <w:p w14:paraId="563E8856" w14:textId="26556175" w:rsidR="002B194A" w:rsidRDefault="002B194A">
      <w:pPr>
        <w:pStyle w:val="TOC3"/>
        <w:rPr>
          <w:rFonts w:asciiTheme="minorHAnsi" w:eastAsiaTheme="minorEastAsia" w:hAnsiTheme="minorHAnsi" w:cstheme="minorBidi"/>
          <w:color w:val="auto"/>
          <w:szCs w:val="22"/>
          <w:lang w:val="en-AU" w:eastAsia="en-AU"/>
        </w:rPr>
      </w:pPr>
      <w:r>
        <w:t>Coral index</w:t>
      </w:r>
      <w:r>
        <w:tab/>
      </w:r>
      <w:r>
        <w:fldChar w:fldCharType="begin"/>
      </w:r>
      <w:r>
        <w:instrText xml:space="preserve"> PAGEREF _Toc493153339 \h </w:instrText>
      </w:r>
      <w:r>
        <w:fldChar w:fldCharType="separate"/>
      </w:r>
      <w:r w:rsidR="00D806F2">
        <w:t>59</w:t>
      </w:r>
      <w:r>
        <w:fldChar w:fldCharType="end"/>
      </w:r>
    </w:p>
    <w:p w14:paraId="38012695" w14:textId="34888857" w:rsidR="002B194A" w:rsidRDefault="002B194A">
      <w:pPr>
        <w:pStyle w:val="TOC3"/>
        <w:rPr>
          <w:rFonts w:asciiTheme="minorHAnsi" w:eastAsiaTheme="minorEastAsia" w:hAnsiTheme="minorHAnsi" w:cstheme="minorBidi"/>
          <w:color w:val="auto"/>
          <w:szCs w:val="22"/>
          <w:lang w:val="en-AU" w:eastAsia="en-AU"/>
        </w:rPr>
      </w:pPr>
      <w:r>
        <w:t>Coral cover</w:t>
      </w:r>
      <w:r>
        <w:tab/>
      </w:r>
      <w:r>
        <w:fldChar w:fldCharType="begin"/>
      </w:r>
      <w:r>
        <w:instrText xml:space="preserve"> PAGEREF _Toc493153340 \h </w:instrText>
      </w:r>
      <w:r>
        <w:fldChar w:fldCharType="separate"/>
      </w:r>
      <w:r w:rsidR="00D806F2">
        <w:t>61</w:t>
      </w:r>
      <w:r>
        <w:fldChar w:fldCharType="end"/>
      </w:r>
    </w:p>
    <w:p w14:paraId="1F31E5B7" w14:textId="74E34C57" w:rsidR="002B194A" w:rsidRDefault="002B194A">
      <w:pPr>
        <w:pStyle w:val="TOC3"/>
        <w:rPr>
          <w:rFonts w:asciiTheme="minorHAnsi" w:eastAsiaTheme="minorEastAsia" w:hAnsiTheme="minorHAnsi" w:cstheme="minorBidi"/>
          <w:color w:val="auto"/>
          <w:szCs w:val="22"/>
          <w:lang w:val="en-AU" w:eastAsia="en-AU"/>
        </w:rPr>
      </w:pPr>
      <w:r>
        <w:t>Rate of change in coral cover</w:t>
      </w:r>
      <w:r>
        <w:tab/>
      </w:r>
      <w:r>
        <w:fldChar w:fldCharType="begin"/>
      </w:r>
      <w:r>
        <w:instrText xml:space="preserve"> PAGEREF _Toc493153341 \h </w:instrText>
      </w:r>
      <w:r>
        <w:fldChar w:fldCharType="separate"/>
      </w:r>
      <w:r w:rsidR="00D806F2">
        <w:t>61</w:t>
      </w:r>
      <w:r>
        <w:fldChar w:fldCharType="end"/>
      </w:r>
    </w:p>
    <w:p w14:paraId="5846712D" w14:textId="4EF4A489" w:rsidR="002B194A" w:rsidRDefault="002B194A">
      <w:pPr>
        <w:pStyle w:val="TOC3"/>
        <w:rPr>
          <w:rFonts w:asciiTheme="minorHAnsi" w:eastAsiaTheme="minorEastAsia" w:hAnsiTheme="minorHAnsi" w:cstheme="minorBidi"/>
          <w:color w:val="auto"/>
          <w:szCs w:val="22"/>
          <w:lang w:val="en-AU" w:eastAsia="en-AU"/>
        </w:rPr>
      </w:pPr>
      <w:r>
        <w:t>Composition</w:t>
      </w:r>
      <w:r>
        <w:tab/>
      </w:r>
      <w:r>
        <w:fldChar w:fldCharType="begin"/>
      </w:r>
      <w:r>
        <w:instrText xml:space="preserve"> PAGEREF _Toc493153342 \h </w:instrText>
      </w:r>
      <w:r>
        <w:fldChar w:fldCharType="separate"/>
      </w:r>
      <w:r w:rsidR="00D806F2">
        <w:t>62</w:t>
      </w:r>
      <w:r>
        <w:fldChar w:fldCharType="end"/>
      </w:r>
    </w:p>
    <w:p w14:paraId="2170A111" w14:textId="1A58EA39" w:rsidR="002B194A" w:rsidRDefault="002B194A">
      <w:pPr>
        <w:pStyle w:val="TOC3"/>
        <w:rPr>
          <w:rFonts w:asciiTheme="minorHAnsi" w:eastAsiaTheme="minorEastAsia" w:hAnsiTheme="minorHAnsi" w:cstheme="minorBidi"/>
          <w:color w:val="auto"/>
          <w:szCs w:val="22"/>
          <w:lang w:val="en-AU" w:eastAsia="en-AU"/>
        </w:rPr>
      </w:pPr>
      <w:r>
        <w:t>Macroalgae</w:t>
      </w:r>
      <w:r>
        <w:tab/>
      </w:r>
      <w:r>
        <w:fldChar w:fldCharType="begin"/>
      </w:r>
      <w:r>
        <w:instrText xml:space="preserve"> PAGEREF _Toc493153343 \h </w:instrText>
      </w:r>
      <w:r>
        <w:fldChar w:fldCharType="separate"/>
      </w:r>
      <w:r w:rsidR="00D806F2">
        <w:t>62</w:t>
      </w:r>
      <w:r>
        <w:fldChar w:fldCharType="end"/>
      </w:r>
    </w:p>
    <w:p w14:paraId="78DFDB38" w14:textId="601E4700" w:rsidR="002B194A" w:rsidRDefault="002B194A">
      <w:pPr>
        <w:pStyle w:val="TOC3"/>
        <w:rPr>
          <w:rFonts w:asciiTheme="minorHAnsi" w:eastAsiaTheme="minorEastAsia" w:hAnsiTheme="minorHAnsi" w:cstheme="minorBidi"/>
          <w:color w:val="auto"/>
          <w:szCs w:val="22"/>
          <w:lang w:val="en-AU" w:eastAsia="en-AU"/>
        </w:rPr>
      </w:pPr>
      <w:r>
        <w:t>Juvenile density</w:t>
      </w:r>
      <w:r>
        <w:tab/>
      </w:r>
      <w:r>
        <w:fldChar w:fldCharType="begin"/>
      </w:r>
      <w:r>
        <w:instrText xml:space="preserve"> PAGEREF _Toc493153344 \h </w:instrText>
      </w:r>
      <w:r>
        <w:fldChar w:fldCharType="separate"/>
      </w:r>
      <w:r w:rsidR="00D806F2">
        <w:t>63</w:t>
      </w:r>
      <w:r>
        <w:fldChar w:fldCharType="end"/>
      </w:r>
    </w:p>
    <w:p w14:paraId="3EE9EF93" w14:textId="241048D4" w:rsidR="002B194A" w:rsidRDefault="002B194A">
      <w:pPr>
        <w:pStyle w:val="TOC2"/>
        <w:rPr>
          <w:rFonts w:asciiTheme="minorHAnsi" w:eastAsiaTheme="minorEastAsia" w:hAnsiTheme="minorHAnsi" w:cstheme="minorBidi"/>
          <w:noProof/>
          <w:szCs w:val="22"/>
          <w:lang w:val="en-AU" w:eastAsia="en-AU"/>
        </w:rPr>
      </w:pPr>
      <w:r>
        <w:rPr>
          <w:noProof/>
        </w:rPr>
        <w:t>6.3 Regional summaries</w:t>
      </w:r>
      <w:r>
        <w:rPr>
          <w:noProof/>
        </w:rPr>
        <w:tab/>
      </w:r>
      <w:r>
        <w:rPr>
          <w:noProof/>
        </w:rPr>
        <w:fldChar w:fldCharType="begin"/>
      </w:r>
      <w:r>
        <w:rPr>
          <w:noProof/>
        </w:rPr>
        <w:instrText xml:space="preserve"> PAGEREF _Toc493153345 \h </w:instrText>
      </w:r>
      <w:r>
        <w:rPr>
          <w:noProof/>
        </w:rPr>
      </w:r>
      <w:r>
        <w:rPr>
          <w:noProof/>
        </w:rPr>
        <w:fldChar w:fldCharType="separate"/>
      </w:r>
      <w:r w:rsidR="00D806F2">
        <w:rPr>
          <w:noProof/>
        </w:rPr>
        <w:t>63</w:t>
      </w:r>
      <w:r>
        <w:rPr>
          <w:noProof/>
        </w:rPr>
        <w:fldChar w:fldCharType="end"/>
      </w:r>
    </w:p>
    <w:p w14:paraId="2F98BA89" w14:textId="25662CA6" w:rsidR="002B194A" w:rsidRDefault="002B194A">
      <w:pPr>
        <w:pStyle w:val="TOC3"/>
        <w:rPr>
          <w:rFonts w:asciiTheme="minorHAnsi" w:eastAsiaTheme="minorEastAsia" w:hAnsiTheme="minorHAnsi" w:cstheme="minorBidi"/>
          <w:color w:val="auto"/>
          <w:szCs w:val="22"/>
          <w:lang w:val="en-AU" w:eastAsia="en-AU"/>
        </w:rPr>
      </w:pPr>
      <w:r>
        <w:t>Wet Tropics</w:t>
      </w:r>
      <w:r>
        <w:tab/>
      </w:r>
      <w:r>
        <w:fldChar w:fldCharType="begin"/>
      </w:r>
      <w:r>
        <w:instrText xml:space="preserve"> PAGEREF _Toc493153346 \h </w:instrText>
      </w:r>
      <w:r>
        <w:fldChar w:fldCharType="separate"/>
      </w:r>
      <w:r w:rsidR="00D806F2">
        <w:t>63</w:t>
      </w:r>
      <w:r>
        <w:fldChar w:fldCharType="end"/>
      </w:r>
    </w:p>
    <w:p w14:paraId="1138F556" w14:textId="5BCBAD00" w:rsidR="002B194A" w:rsidRDefault="002B194A">
      <w:pPr>
        <w:pStyle w:val="TOC3"/>
        <w:rPr>
          <w:rFonts w:asciiTheme="minorHAnsi" w:eastAsiaTheme="minorEastAsia" w:hAnsiTheme="minorHAnsi" w:cstheme="minorBidi"/>
          <w:color w:val="auto"/>
          <w:szCs w:val="22"/>
          <w:lang w:val="en-AU" w:eastAsia="en-AU"/>
        </w:rPr>
      </w:pPr>
      <w:r>
        <w:t>Burdekin</w:t>
      </w:r>
      <w:r>
        <w:tab/>
      </w:r>
      <w:r>
        <w:fldChar w:fldCharType="begin"/>
      </w:r>
      <w:r>
        <w:instrText xml:space="preserve"> PAGEREF _Toc493153347 \h </w:instrText>
      </w:r>
      <w:r>
        <w:fldChar w:fldCharType="separate"/>
      </w:r>
      <w:r w:rsidR="00D806F2">
        <w:t>64</w:t>
      </w:r>
      <w:r>
        <w:fldChar w:fldCharType="end"/>
      </w:r>
    </w:p>
    <w:p w14:paraId="5128965E" w14:textId="2FB8CAE4" w:rsidR="002B194A" w:rsidRDefault="002B194A">
      <w:pPr>
        <w:pStyle w:val="TOC3"/>
        <w:rPr>
          <w:rFonts w:asciiTheme="minorHAnsi" w:eastAsiaTheme="minorEastAsia" w:hAnsiTheme="minorHAnsi" w:cstheme="minorBidi"/>
          <w:color w:val="auto"/>
          <w:szCs w:val="22"/>
          <w:lang w:val="en-AU" w:eastAsia="en-AU"/>
        </w:rPr>
      </w:pPr>
      <w:r>
        <w:t>Whitsundays</w:t>
      </w:r>
      <w:r>
        <w:tab/>
      </w:r>
      <w:r>
        <w:fldChar w:fldCharType="begin"/>
      </w:r>
      <w:r>
        <w:instrText xml:space="preserve"> PAGEREF _Toc493153348 \h </w:instrText>
      </w:r>
      <w:r>
        <w:fldChar w:fldCharType="separate"/>
      </w:r>
      <w:r w:rsidR="00D806F2">
        <w:t>65</w:t>
      </w:r>
      <w:r>
        <w:fldChar w:fldCharType="end"/>
      </w:r>
    </w:p>
    <w:p w14:paraId="1D1D81D9" w14:textId="5F4C6A43" w:rsidR="002B194A" w:rsidRDefault="002B194A">
      <w:pPr>
        <w:pStyle w:val="TOC3"/>
        <w:rPr>
          <w:rFonts w:asciiTheme="minorHAnsi" w:eastAsiaTheme="minorEastAsia" w:hAnsiTheme="minorHAnsi" w:cstheme="minorBidi"/>
          <w:color w:val="auto"/>
          <w:szCs w:val="22"/>
          <w:lang w:val="en-AU" w:eastAsia="en-AU"/>
        </w:rPr>
      </w:pPr>
      <w:r>
        <w:t>Fitzroy</w:t>
      </w:r>
      <w:r>
        <w:tab/>
      </w:r>
      <w:r>
        <w:fldChar w:fldCharType="begin"/>
      </w:r>
      <w:r>
        <w:instrText xml:space="preserve"> PAGEREF _Toc493153349 \h </w:instrText>
      </w:r>
      <w:r>
        <w:fldChar w:fldCharType="separate"/>
      </w:r>
      <w:r w:rsidR="00D806F2">
        <w:t>65</w:t>
      </w:r>
      <w:r>
        <w:fldChar w:fldCharType="end"/>
      </w:r>
    </w:p>
    <w:p w14:paraId="100B1250" w14:textId="11957997" w:rsidR="002B194A" w:rsidRDefault="002B194A">
      <w:pPr>
        <w:pStyle w:val="TOC2"/>
        <w:rPr>
          <w:rFonts w:asciiTheme="minorHAnsi" w:eastAsiaTheme="minorEastAsia" w:hAnsiTheme="minorHAnsi" w:cstheme="minorBidi"/>
          <w:noProof/>
          <w:szCs w:val="22"/>
          <w:lang w:val="en-AU" w:eastAsia="en-AU"/>
        </w:rPr>
      </w:pPr>
      <w:r>
        <w:rPr>
          <w:noProof/>
        </w:rPr>
        <w:t>6.3 Conclusion</w:t>
      </w:r>
      <w:r>
        <w:rPr>
          <w:noProof/>
        </w:rPr>
        <w:tab/>
      </w:r>
      <w:r>
        <w:rPr>
          <w:noProof/>
        </w:rPr>
        <w:fldChar w:fldCharType="begin"/>
      </w:r>
      <w:r>
        <w:rPr>
          <w:noProof/>
        </w:rPr>
        <w:instrText xml:space="preserve"> PAGEREF _Toc493153350 \h </w:instrText>
      </w:r>
      <w:r>
        <w:rPr>
          <w:noProof/>
        </w:rPr>
      </w:r>
      <w:r>
        <w:rPr>
          <w:noProof/>
        </w:rPr>
        <w:fldChar w:fldCharType="separate"/>
      </w:r>
      <w:r w:rsidR="00D806F2">
        <w:rPr>
          <w:noProof/>
        </w:rPr>
        <w:t>66</w:t>
      </w:r>
      <w:r>
        <w:rPr>
          <w:noProof/>
        </w:rPr>
        <w:fldChar w:fldCharType="end"/>
      </w:r>
    </w:p>
    <w:p w14:paraId="13CA4E8C" w14:textId="2E6642E4" w:rsidR="002B194A" w:rsidRDefault="002B194A">
      <w:pPr>
        <w:pStyle w:val="TOC1"/>
        <w:rPr>
          <w:rFonts w:asciiTheme="minorHAnsi" w:eastAsiaTheme="minorEastAsia" w:hAnsiTheme="minorHAnsi" w:cstheme="minorBidi"/>
          <w:szCs w:val="22"/>
          <w:lang w:val="en-AU" w:eastAsia="en-AU"/>
        </w:rPr>
      </w:pPr>
      <w:r>
        <w:t>7</w:t>
      </w:r>
      <w:r>
        <w:rPr>
          <w:rFonts w:asciiTheme="minorHAnsi" w:eastAsiaTheme="minorEastAsia" w:hAnsiTheme="minorHAnsi" w:cstheme="minorBidi"/>
          <w:szCs w:val="22"/>
          <w:lang w:val="en-AU" w:eastAsia="en-AU"/>
        </w:rPr>
        <w:tab/>
      </w:r>
      <w:r>
        <w:t>Case Study - Coral Bleaching 2016</w:t>
      </w:r>
      <w:r>
        <w:tab/>
      </w:r>
      <w:r>
        <w:fldChar w:fldCharType="begin"/>
      </w:r>
      <w:r>
        <w:instrText xml:space="preserve"> PAGEREF _Toc493153351 \h </w:instrText>
      </w:r>
      <w:r>
        <w:fldChar w:fldCharType="separate"/>
      </w:r>
      <w:r w:rsidR="00D806F2">
        <w:t>67</w:t>
      </w:r>
      <w:r>
        <w:fldChar w:fldCharType="end"/>
      </w:r>
    </w:p>
    <w:p w14:paraId="53340F46" w14:textId="2420DEAD" w:rsidR="002B194A" w:rsidRDefault="002B194A">
      <w:pPr>
        <w:pStyle w:val="TOC2"/>
        <w:rPr>
          <w:rFonts w:asciiTheme="minorHAnsi" w:eastAsiaTheme="minorEastAsia" w:hAnsiTheme="minorHAnsi" w:cstheme="minorBidi"/>
          <w:noProof/>
          <w:szCs w:val="22"/>
          <w:lang w:val="en-AU" w:eastAsia="en-AU"/>
        </w:rPr>
      </w:pPr>
      <w:r>
        <w:rPr>
          <w:noProof/>
        </w:rPr>
        <w:t>7.1 Methods</w:t>
      </w:r>
      <w:r>
        <w:rPr>
          <w:noProof/>
        </w:rPr>
        <w:tab/>
      </w:r>
      <w:r>
        <w:rPr>
          <w:noProof/>
        </w:rPr>
        <w:fldChar w:fldCharType="begin"/>
      </w:r>
      <w:r>
        <w:rPr>
          <w:noProof/>
        </w:rPr>
        <w:instrText xml:space="preserve"> PAGEREF _Toc493153352 \h </w:instrText>
      </w:r>
      <w:r>
        <w:rPr>
          <w:noProof/>
        </w:rPr>
      </w:r>
      <w:r>
        <w:rPr>
          <w:noProof/>
        </w:rPr>
        <w:fldChar w:fldCharType="separate"/>
      </w:r>
      <w:r w:rsidR="00D806F2">
        <w:rPr>
          <w:noProof/>
        </w:rPr>
        <w:t>67</w:t>
      </w:r>
      <w:r>
        <w:rPr>
          <w:noProof/>
        </w:rPr>
        <w:fldChar w:fldCharType="end"/>
      </w:r>
    </w:p>
    <w:p w14:paraId="0F3AD609" w14:textId="1C0B4F05" w:rsidR="002B194A" w:rsidRDefault="002B194A">
      <w:pPr>
        <w:pStyle w:val="TOC2"/>
        <w:rPr>
          <w:rFonts w:asciiTheme="minorHAnsi" w:eastAsiaTheme="minorEastAsia" w:hAnsiTheme="minorHAnsi" w:cstheme="minorBidi"/>
          <w:noProof/>
          <w:szCs w:val="22"/>
          <w:lang w:val="en-AU" w:eastAsia="en-AU"/>
        </w:rPr>
      </w:pPr>
      <w:r>
        <w:rPr>
          <w:noProof/>
        </w:rPr>
        <w:t>7.2 Discussion of Results</w:t>
      </w:r>
      <w:r>
        <w:rPr>
          <w:noProof/>
        </w:rPr>
        <w:tab/>
      </w:r>
      <w:r>
        <w:rPr>
          <w:noProof/>
        </w:rPr>
        <w:fldChar w:fldCharType="begin"/>
      </w:r>
      <w:r>
        <w:rPr>
          <w:noProof/>
        </w:rPr>
        <w:instrText xml:space="preserve"> PAGEREF _Toc493153353 \h </w:instrText>
      </w:r>
      <w:r>
        <w:rPr>
          <w:noProof/>
        </w:rPr>
      </w:r>
      <w:r>
        <w:rPr>
          <w:noProof/>
        </w:rPr>
        <w:fldChar w:fldCharType="separate"/>
      </w:r>
      <w:r w:rsidR="00D806F2">
        <w:rPr>
          <w:noProof/>
        </w:rPr>
        <w:t>68</w:t>
      </w:r>
      <w:r>
        <w:rPr>
          <w:noProof/>
        </w:rPr>
        <w:fldChar w:fldCharType="end"/>
      </w:r>
    </w:p>
    <w:p w14:paraId="5F31D66F" w14:textId="78E320D2" w:rsidR="002B194A" w:rsidRDefault="002B194A">
      <w:pPr>
        <w:pStyle w:val="TOC1"/>
        <w:rPr>
          <w:rFonts w:asciiTheme="minorHAnsi" w:eastAsiaTheme="minorEastAsia" w:hAnsiTheme="minorHAnsi" w:cstheme="minorBidi"/>
          <w:szCs w:val="22"/>
          <w:lang w:val="en-AU" w:eastAsia="en-AU"/>
        </w:rPr>
      </w:pPr>
      <w:r>
        <w:t>8</w:t>
      </w:r>
      <w:r>
        <w:rPr>
          <w:rFonts w:asciiTheme="minorHAnsi" w:eastAsiaTheme="minorEastAsia" w:hAnsiTheme="minorHAnsi" w:cstheme="minorBidi"/>
          <w:szCs w:val="22"/>
          <w:lang w:val="en-AU" w:eastAsia="en-AU"/>
        </w:rPr>
        <w:tab/>
      </w:r>
      <w:r>
        <w:t>Case Study – Water quality constraints on the abundance of brown macroalgae</w:t>
      </w:r>
      <w:r>
        <w:tab/>
      </w:r>
      <w:r>
        <w:fldChar w:fldCharType="begin"/>
      </w:r>
      <w:r>
        <w:instrText xml:space="preserve"> PAGEREF _Toc493153354 \h </w:instrText>
      </w:r>
      <w:r>
        <w:fldChar w:fldCharType="separate"/>
      </w:r>
      <w:r w:rsidR="00D806F2">
        <w:t>73</w:t>
      </w:r>
      <w:r>
        <w:fldChar w:fldCharType="end"/>
      </w:r>
    </w:p>
    <w:p w14:paraId="15FC3EE3" w14:textId="3C6F065C" w:rsidR="002B194A" w:rsidRDefault="002B194A">
      <w:pPr>
        <w:pStyle w:val="TOC2"/>
        <w:rPr>
          <w:rFonts w:asciiTheme="minorHAnsi" w:eastAsiaTheme="minorEastAsia" w:hAnsiTheme="minorHAnsi" w:cstheme="minorBidi"/>
          <w:noProof/>
          <w:szCs w:val="22"/>
          <w:lang w:val="en-AU" w:eastAsia="en-AU"/>
        </w:rPr>
      </w:pPr>
      <w:r>
        <w:rPr>
          <w:noProof/>
        </w:rPr>
        <w:t>8.1 Methods</w:t>
      </w:r>
      <w:r>
        <w:rPr>
          <w:noProof/>
        </w:rPr>
        <w:tab/>
      </w:r>
      <w:r>
        <w:rPr>
          <w:noProof/>
        </w:rPr>
        <w:fldChar w:fldCharType="begin"/>
      </w:r>
      <w:r>
        <w:rPr>
          <w:noProof/>
        </w:rPr>
        <w:instrText xml:space="preserve"> PAGEREF _Toc493153355 \h </w:instrText>
      </w:r>
      <w:r>
        <w:rPr>
          <w:noProof/>
        </w:rPr>
      </w:r>
      <w:r>
        <w:rPr>
          <w:noProof/>
        </w:rPr>
        <w:fldChar w:fldCharType="separate"/>
      </w:r>
      <w:r w:rsidR="00D806F2">
        <w:rPr>
          <w:noProof/>
        </w:rPr>
        <w:t>73</w:t>
      </w:r>
      <w:r>
        <w:rPr>
          <w:noProof/>
        </w:rPr>
        <w:fldChar w:fldCharType="end"/>
      </w:r>
    </w:p>
    <w:p w14:paraId="090546C9" w14:textId="0A53CAD2" w:rsidR="002B194A" w:rsidRDefault="002B194A">
      <w:pPr>
        <w:pStyle w:val="TOC2"/>
        <w:rPr>
          <w:rFonts w:asciiTheme="minorHAnsi" w:eastAsiaTheme="minorEastAsia" w:hAnsiTheme="minorHAnsi" w:cstheme="minorBidi"/>
          <w:noProof/>
          <w:szCs w:val="22"/>
          <w:lang w:val="en-AU" w:eastAsia="en-AU"/>
        </w:rPr>
      </w:pPr>
      <w:r>
        <w:rPr>
          <w:noProof/>
        </w:rPr>
        <w:t>8.2 Results</w:t>
      </w:r>
      <w:r>
        <w:rPr>
          <w:noProof/>
        </w:rPr>
        <w:tab/>
      </w:r>
      <w:r>
        <w:rPr>
          <w:noProof/>
        </w:rPr>
        <w:fldChar w:fldCharType="begin"/>
      </w:r>
      <w:r>
        <w:rPr>
          <w:noProof/>
        </w:rPr>
        <w:instrText xml:space="preserve"> PAGEREF _Toc493153356 \h </w:instrText>
      </w:r>
      <w:r>
        <w:rPr>
          <w:noProof/>
        </w:rPr>
      </w:r>
      <w:r>
        <w:rPr>
          <w:noProof/>
        </w:rPr>
        <w:fldChar w:fldCharType="separate"/>
      </w:r>
      <w:r w:rsidR="00D806F2">
        <w:rPr>
          <w:noProof/>
        </w:rPr>
        <w:t>74</w:t>
      </w:r>
      <w:r>
        <w:rPr>
          <w:noProof/>
        </w:rPr>
        <w:fldChar w:fldCharType="end"/>
      </w:r>
    </w:p>
    <w:p w14:paraId="2A7948F7" w14:textId="4B989422" w:rsidR="002B194A" w:rsidRDefault="002B194A">
      <w:pPr>
        <w:pStyle w:val="TOC2"/>
        <w:rPr>
          <w:rFonts w:asciiTheme="minorHAnsi" w:eastAsiaTheme="minorEastAsia" w:hAnsiTheme="minorHAnsi" w:cstheme="minorBidi"/>
          <w:noProof/>
          <w:szCs w:val="22"/>
          <w:lang w:val="en-AU" w:eastAsia="en-AU"/>
        </w:rPr>
      </w:pPr>
      <w:r>
        <w:rPr>
          <w:noProof/>
        </w:rPr>
        <w:t>8.3 Discussion</w:t>
      </w:r>
      <w:r>
        <w:rPr>
          <w:noProof/>
        </w:rPr>
        <w:tab/>
      </w:r>
      <w:r>
        <w:rPr>
          <w:noProof/>
        </w:rPr>
        <w:fldChar w:fldCharType="begin"/>
      </w:r>
      <w:r>
        <w:rPr>
          <w:noProof/>
        </w:rPr>
        <w:instrText xml:space="preserve"> PAGEREF _Toc493153357 \h </w:instrText>
      </w:r>
      <w:r>
        <w:rPr>
          <w:noProof/>
        </w:rPr>
      </w:r>
      <w:r>
        <w:rPr>
          <w:noProof/>
        </w:rPr>
        <w:fldChar w:fldCharType="separate"/>
      </w:r>
      <w:r w:rsidR="00D806F2">
        <w:rPr>
          <w:noProof/>
        </w:rPr>
        <w:t>75</w:t>
      </w:r>
      <w:r>
        <w:rPr>
          <w:noProof/>
        </w:rPr>
        <w:fldChar w:fldCharType="end"/>
      </w:r>
    </w:p>
    <w:p w14:paraId="09F0EB33" w14:textId="3777BEE2" w:rsidR="002B194A" w:rsidRDefault="002B194A">
      <w:pPr>
        <w:pStyle w:val="TOC1"/>
        <w:rPr>
          <w:rFonts w:asciiTheme="minorHAnsi" w:eastAsiaTheme="minorEastAsia" w:hAnsiTheme="minorHAnsi" w:cstheme="minorBidi"/>
          <w:szCs w:val="22"/>
          <w:lang w:val="en-AU" w:eastAsia="en-AU"/>
        </w:rPr>
      </w:pPr>
      <w:r>
        <w:t>9 Acknowledgments</w:t>
      </w:r>
      <w:r>
        <w:tab/>
      </w:r>
      <w:r>
        <w:fldChar w:fldCharType="begin"/>
      </w:r>
      <w:r>
        <w:instrText xml:space="preserve"> PAGEREF _Toc493153358 \h </w:instrText>
      </w:r>
      <w:r>
        <w:fldChar w:fldCharType="separate"/>
      </w:r>
      <w:r w:rsidR="00D806F2">
        <w:t>79</w:t>
      </w:r>
      <w:r>
        <w:fldChar w:fldCharType="end"/>
      </w:r>
    </w:p>
    <w:p w14:paraId="7A7BB13B" w14:textId="07E2B879" w:rsidR="002B194A" w:rsidRDefault="002B194A">
      <w:pPr>
        <w:pStyle w:val="TOC1"/>
        <w:rPr>
          <w:rFonts w:asciiTheme="minorHAnsi" w:eastAsiaTheme="minorEastAsia" w:hAnsiTheme="minorHAnsi" w:cstheme="minorBidi"/>
          <w:szCs w:val="22"/>
          <w:lang w:val="en-AU" w:eastAsia="en-AU"/>
        </w:rPr>
      </w:pPr>
      <w:r>
        <w:t>10 References</w:t>
      </w:r>
      <w:r>
        <w:tab/>
      </w:r>
      <w:r>
        <w:fldChar w:fldCharType="begin"/>
      </w:r>
      <w:r>
        <w:instrText xml:space="preserve"> PAGEREF _Toc493153359 \h </w:instrText>
      </w:r>
      <w:r>
        <w:fldChar w:fldCharType="separate"/>
      </w:r>
      <w:r w:rsidR="00D806F2">
        <w:t>79</w:t>
      </w:r>
      <w:r>
        <w:fldChar w:fldCharType="end"/>
      </w:r>
    </w:p>
    <w:p w14:paraId="764B1CFD" w14:textId="1FCBC1AA" w:rsidR="002B194A" w:rsidRDefault="002B194A">
      <w:pPr>
        <w:pStyle w:val="TOC1"/>
        <w:rPr>
          <w:rFonts w:asciiTheme="minorHAnsi" w:eastAsiaTheme="minorEastAsia" w:hAnsiTheme="minorHAnsi" w:cstheme="minorBidi"/>
          <w:szCs w:val="22"/>
          <w:lang w:val="en-AU" w:eastAsia="en-AU"/>
        </w:rPr>
      </w:pPr>
      <w:r>
        <w:t>Appendix 1: Additional Information</w:t>
      </w:r>
      <w:r>
        <w:tab/>
      </w:r>
      <w:r>
        <w:fldChar w:fldCharType="begin"/>
      </w:r>
      <w:r>
        <w:instrText xml:space="preserve"> PAGEREF _Toc493153360 \h </w:instrText>
      </w:r>
      <w:r>
        <w:fldChar w:fldCharType="separate"/>
      </w:r>
      <w:r w:rsidR="00D806F2">
        <w:t>89</w:t>
      </w:r>
      <w:r>
        <w:fldChar w:fldCharType="end"/>
      </w:r>
    </w:p>
    <w:p w14:paraId="3AA42027" w14:textId="66D16A13" w:rsidR="002B194A" w:rsidRDefault="002B194A">
      <w:pPr>
        <w:pStyle w:val="TOC1"/>
        <w:rPr>
          <w:rFonts w:asciiTheme="minorHAnsi" w:eastAsiaTheme="minorEastAsia" w:hAnsiTheme="minorHAnsi" w:cstheme="minorBidi"/>
          <w:szCs w:val="22"/>
          <w:lang w:val="en-AU" w:eastAsia="en-AU"/>
        </w:rPr>
      </w:pPr>
      <w:r>
        <w:t>Appendix 2: Publications and presentations associated with the Program 2015-16</w:t>
      </w:r>
      <w:r>
        <w:tab/>
      </w:r>
      <w:r>
        <w:fldChar w:fldCharType="begin"/>
      </w:r>
      <w:r>
        <w:instrText xml:space="preserve"> PAGEREF _Toc493153361 \h </w:instrText>
      </w:r>
      <w:r>
        <w:fldChar w:fldCharType="separate"/>
      </w:r>
      <w:r w:rsidR="00D806F2">
        <w:t>134</w:t>
      </w:r>
      <w:r>
        <w:fldChar w:fldCharType="end"/>
      </w:r>
    </w:p>
    <w:p w14:paraId="11EA8B97" w14:textId="6D183B9D" w:rsidR="003F01A3" w:rsidRDefault="003E02BD" w:rsidP="00BA794F">
      <w:pPr>
        <w:pStyle w:val="TOC1"/>
        <w:rPr>
          <w:szCs w:val="22"/>
        </w:rPr>
      </w:pPr>
      <w:r>
        <w:rPr>
          <w:szCs w:val="22"/>
        </w:rPr>
        <w:fldChar w:fldCharType="end"/>
      </w:r>
    </w:p>
    <w:p w14:paraId="55B3E11B" w14:textId="77777777" w:rsidR="003F01A3" w:rsidRDefault="003F01A3">
      <w:pPr>
        <w:jc w:val="left"/>
        <w:rPr>
          <w:noProof/>
          <w:szCs w:val="22"/>
        </w:rPr>
      </w:pPr>
      <w:r>
        <w:rPr>
          <w:szCs w:val="22"/>
        </w:rPr>
        <w:br w:type="page"/>
      </w:r>
    </w:p>
    <w:p w14:paraId="09DC8CF5" w14:textId="77777777" w:rsidR="006B5C58" w:rsidRPr="001D1541" w:rsidRDefault="006B5C58" w:rsidP="00BA794F">
      <w:pPr>
        <w:pStyle w:val="TOC1"/>
        <w:rPr>
          <w:szCs w:val="22"/>
        </w:rPr>
      </w:pPr>
    </w:p>
    <w:p w14:paraId="11EA8B98" w14:textId="77777777" w:rsidR="003E0227" w:rsidRPr="001C3FA7" w:rsidRDefault="003E0227" w:rsidP="00F352CD">
      <w:pPr>
        <w:rPr>
          <w:b/>
          <w:i/>
          <w:color w:val="000000" w:themeColor="text1"/>
          <w:sz w:val="32"/>
        </w:rPr>
      </w:pPr>
      <w:bookmarkStart w:id="1" w:name="_Toc437424397"/>
      <w:bookmarkStart w:id="2" w:name="_Toc437424521"/>
      <w:bookmarkStart w:id="3" w:name="_Ref437429116"/>
      <w:bookmarkStart w:id="4" w:name="_Toc437432451"/>
      <w:bookmarkStart w:id="5" w:name="_Toc437432524"/>
      <w:r w:rsidRPr="001C3FA7">
        <w:rPr>
          <w:b/>
          <w:i/>
          <w:color w:val="000000" w:themeColor="text1"/>
          <w:sz w:val="32"/>
        </w:rPr>
        <w:t>List of Figures and Tables</w:t>
      </w:r>
      <w:bookmarkEnd w:id="1"/>
      <w:bookmarkEnd w:id="2"/>
      <w:bookmarkEnd w:id="3"/>
      <w:bookmarkEnd w:id="4"/>
      <w:bookmarkEnd w:id="5"/>
    </w:p>
    <w:p w14:paraId="77290CF6" w14:textId="77777777" w:rsidR="004774D3" w:rsidRDefault="00044E50">
      <w:pPr>
        <w:pStyle w:val="TableofFigures"/>
        <w:rPr>
          <w:rFonts w:asciiTheme="minorHAnsi" w:eastAsiaTheme="minorEastAsia" w:hAnsiTheme="minorHAnsi" w:cstheme="minorBidi"/>
          <w:bCs w:val="0"/>
          <w:szCs w:val="22"/>
          <w:lang w:val="en-AU" w:eastAsia="en-AU"/>
        </w:rPr>
      </w:pPr>
      <w:r w:rsidRPr="00F439FB">
        <w:rPr>
          <w:color w:val="4F81BD" w:themeColor="accent1"/>
        </w:rPr>
        <w:fldChar w:fldCharType="begin"/>
      </w:r>
      <w:r w:rsidR="004F0242" w:rsidRPr="00F439FB">
        <w:rPr>
          <w:color w:val="4F81BD" w:themeColor="accent1"/>
        </w:rPr>
        <w:instrText xml:space="preserve"> TOC \h \z \c "Figure" </w:instrText>
      </w:r>
      <w:r w:rsidRPr="00F439FB">
        <w:rPr>
          <w:color w:val="4F81BD" w:themeColor="accent1"/>
        </w:rPr>
        <w:fldChar w:fldCharType="separate"/>
      </w:r>
      <w:hyperlink w:anchor="_Toc491846827" w:history="1">
        <w:r w:rsidR="004774D3" w:rsidRPr="0040130D">
          <w:rPr>
            <w:rStyle w:val="Hyperlink"/>
          </w:rPr>
          <w:t>Figure 1 Regional Coral Index with contributing indicator scores.</w:t>
        </w:r>
        <w:r w:rsidR="004774D3">
          <w:rPr>
            <w:webHidden/>
          </w:rPr>
          <w:tab/>
        </w:r>
        <w:r w:rsidR="004774D3">
          <w:rPr>
            <w:webHidden/>
          </w:rPr>
          <w:fldChar w:fldCharType="begin"/>
        </w:r>
        <w:r w:rsidR="004774D3">
          <w:rPr>
            <w:webHidden/>
          </w:rPr>
          <w:instrText xml:space="preserve"> PAGEREF _Toc491846827 \h </w:instrText>
        </w:r>
        <w:r w:rsidR="004774D3">
          <w:rPr>
            <w:webHidden/>
          </w:rPr>
        </w:r>
        <w:r w:rsidR="004774D3">
          <w:rPr>
            <w:webHidden/>
          </w:rPr>
          <w:fldChar w:fldCharType="separate"/>
        </w:r>
        <w:r w:rsidR="00D806F2">
          <w:rPr>
            <w:webHidden/>
          </w:rPr>
          <w:t>4</w:t>
        </w:r>
        <w:r w:rsidR="004774D3">
          <w:rPr>
            <w:webHidden/>
          </w:rPr>
          <w:fldChar w:fldCharType="end"/>
        </w:r>
      </w:hyperlink>
    </w:p>
    <w:p w14:paraId="7CE334B2" w14:textId="77777777" w:rsidR="004774D3" w:rsidRDefault="00EF4C08">
      <w:pPr>
        <w:pStyle w:val="TableofFigures"/>
        <w:rPr>
          <w:rFonts w:asciiTheme="minorHAnsi" w:eastAsiaTheme="minorEastAsia" w:hAnsiTheme="minorHAnsi" w:cstheme="minorBidi"/>
          <w:bCs w:val="0"/>
          <w:szCs w:val="22"/>
          <w:lang w:val="en-AU" w:eastAsia="en-AU"/>
        </w:rPr>
      </w:pPr>
      <w:hyperlink w:anchor="_Toc491846828" w:history="1">
        <w:r w:rsidR="004774D3" w:rsidRPr="0040130D">
          <w:rPr>
            <w:rStyle w:val="Hyperlink"/>
          </w:rPr>
          <w:t>Figure 2 Sampling locations of the MMP coral and water quality monitoring.</w:t>
        </w:r>
        <w:r w:rsidR="004774D3">
          <w:rPr>
            <w:webHidden/>
          </w:rPr>
          <w:tab/>
        </w:r>
        <w:r w:rsidR="004774D3">
          <w:rPr>
            <w:webHidden/>
          </w:rPr>
          <w:fldChar w:fldCharType="begin"/>
        </w:r>
        <w:r w:rsidR="004774D3">
          <w:rPr>
            <w:webHidden/>
          </w:rPr>
          <w:instrText xml:space="preserve"> PAGEREF _Toc491846828 \h </w:instrText>
        </w:r>
        <w:r w:rsidR="004774D3">
          <w:rPr>
            <w:webHidden/>
          </w:rPr>
        </w:r>
        <w:r w:rsidR="004774D3">
          <w:rPr>
            <w:webHidden/>
          </w:rPr>
          <w:fldChar w:fldCharType="separate"/>
        </w:r>
        <w:r w:rsidR="00D806F2">
          <w:rPr>
            <w:webHidden/>
          </w:rPr>
          <w:t>10</w:t>
        </w:r>
        <w:r w:rsidR="004774D3">
          <w:rPr>
            <w:webHidden/>
          </w:rPr>
          <w:fldChar w:fldCharType="end"/>
        </w:r>
      </w:hyperlink>
    </w:p>
    <w:p w14:paraId="33699045" w14:textId="222ED1CA" w:rsidR="004774D3" w:rsidRDefault="00EF4C08">
      <w:pPr>
        <w:pStyle w:val="TableofFigures"/>
        <w:rPr>
          <w:rFonts w:asciiTheme="minorHAnsi" w:eastAsiaTheme="minorEastAsia" w:hAnsiTheme="minorHAnsi" w:cstheme="minorBidi"/>
          <w:bCs w:val="0"/>
          <w:szCs w:val="22"/>
          <w:lang w:val="en-AU" w:eastAsia="en-AU"/>
        </w:rPr>
      </w:pPr>
      <w:hyperlink w:anchor="_Toc491846829" w:history="1">
        <w:r w:rsidR="004774D3" w:rsidRPr="0040130D">
          <w:rPr>
            <w:rStyle w:val="Hyperlink"/>
          </w:rPr>
          <w:t>Figure 3 Scoring diagram for the Coral Cover metric.</w:t>
        </w:r>
        <w:r w:rsidR="004774D3">
          <w:rPr>
            <w:webHidden/>
          </w:rPr>
          <w:tab/>
        </w:r>
        <w:r w:rsidR="004774D3">
          <w:rPr>
            <w:webHidden/>
          </w:rPr>
          <w:fldChar w:fldCharType="begin"/>
        </w:r>
        <w:r w:rsidR="004774D3">
          <w:rPr>
            <w:webHidden/>
          </w:rPr>
          <w:instrText xml:space="preserve"> PAGEREF _Toc491846829 \h </w:instrText>
        </w:r>
        <w:r w:rsidR="004774D3">
          <w:rPr>
            <w:webHidden/>
          </w:rPr>
        </w:r>
        <w:r w:rsidR="004774D3">
          <w:rPr>
            <w:webHidden/>
          </w:rPr>
          <w:fldChar w:fldCharType="separate"/>
        </w:r>
        <w:r w:rsidR="00D806F2">
          <w:rPr>
            <w:webHidden/>
          </w:rPr>
          <w:t>22</w:t>
        </w:r>
        <w:r w:rsidR="004774D3">
          <w:rPr>
            <w:webHidden/>
          </w:rPr>
          <w:fldChar w:fldCharType="end"/>
        </w:r>
      </w:hyperlink>
    </w:p>
    <w:p w14:paraId="73D0676D" w14:textId="793309BF" w:rsidR="004774D3" w:rsidRDefault="00EF4C08">
      <w:pPr>
        <w:pStyle w:val="TableofFigures"/>
        <w:rPr>
          <w:rFonts w:asciiTheme="minorHAnsi" w:eastAsiaTheme="minorEastAsia" w:hAnsiTheme="minorHAnsi" w:cstheme="minorBidi"/>
          <w:bCs w:val="0"/>
          <w:szCs w:val="22"/>
          <w:lang w:val="en-AU" w:eastAsia="en-AU"/>
        </w:rPr>
      </w:pPr>
      <w:hyperlink w:anchor="_Toc491846830" w:history="1">
        <w:r w:rsidR="004774D3" w:rsidRPr="0040130D">
          <w:rPr>
            <w:rStyle w:val="Hyperlink"/>
          </w:rPr>
          <w:t>Figure 4 Scoring diagram for the Macroalgae metric.</w:t>
        </w:r>
        <w:r w:rsidR="004774D3">
          <w:rPr>
            <w:webHidden/>
          </w:rPr>
          <w:tab/>
        </w:r>
        <w:r w:rsidR="004774D3">
          <w:rPr>
            <w:webHidden/>
          </w:rPr>
          <w:fldChar w:fldCharType="begin"/>
        </w:r>
        <w:r w:rsidR="004774D3">
          <w:rPr>
            <w:webHidden/>
          </w:rPr>
          <w:instrText xml:space="preserve"> PAGEREF _Toc491846830 \h </w:instrText>
        </w:r>
        <w:r w:rsidR="004774D3">
          <w:rPr>
            <w:webHidden/>
          </w:rPr>
        </w:r>
        <w:r w:rsidR="004774D3">
          <w:rPr>
            <w:webHidden/>
          </w:rPr>
          <w:fldChar w:fldCharType="separate"/>
        </w:r>
        <w:r w:rsidR="00D806F2">
          <w:rPr>
            <w:webHidden/>
          </w:rPr>
          <w:t>23</w:t>
        </w:r>
        <w:r w:rsidR="004774D3">
          <w:rPr>
            <w:webHidden/>
          </w:rPr>
          <w:fldChar w:fldCharType="end"/>
        </w:r>
      </w:hyperlink>
    </w:p>
    <w:p w14:paraId="1D1CC1ED" w14:textId="3609DCA6" w:rsidR="004774D3" w:rsidRDefault="00EF4C08">
      <w:pPr>
        <w:pStyle w:val="TableofFigures"/>
        <w:rPr>
          <w:rFonts w:asciiTheme="minorHAnsi" w:eastAsiaTheme="minorEastAsia" w:hAnsiTheme="minorHAnsi" w:cstheme="minorBidi"/>
          <w:bCs w:val="0"/>
          <w:szCs w:val="22"/>
          <w:lang w:val="en-AU" w:eastAsia="en-AU"/>
        </w:rPr>
      </w:pPr>
      <w:hyperlink w:anchor="_Toc491846831" w:history="1">
        <w:r w:rsidR="004774D3" w:rsidRPr="0040130D">
          <w:rPr>
            <w:rStyle w:val="Hyperlink"/>
          </w:rPr>
          <w:t>Figure 5 Scoring diagram for the Juvenile metric.</w:t>
        </w:r>
        <w:r w:rsidR="004774D3">
          <w:rPr>
            <w:webHidden/>
          </w:rPr>
          <w:tab/>
        </w:r>
        <w:r w:rsidR="004774D3">
          <w:rPr>
            <w:webHidden/>
          </w:rPr>
          <w:fldChar w:fldCharType="begin"/>
        </w:r>
        <w:r w:rsidR="004774D3">
          <w:rPr>
            <w:webHidden/>
          </w:rPr>
          <w:instrText xml:space="preserve"> PAGEREF _Toc491846831 \h </w:instrText>
        </w:r>
        <w:r w:rsidR="004774D3">
          <w:rPr>
            <w:webHidden/>
          </w:rPr>
        </w:r>
        <w:r w:rsidR="004774D3">
          <w:rPr>
            <w:webHidden/>
          </w:rPr>
          <w:fldChar w:fldCharType="separate"/>
        </w:r>
        <w:r w:rsidR="00D806F2">
          <w:rPr>
            <w:webHidden/>
          </w:rPr>
          <w:t>24</w:t>
        </w:r>
        <w:r w:rsidR="004774D3">
          <w:rPr>
            <w:webHidden/>
          </w:rPr>
          <w:fldChar w:fldCharType="end"/>
        </w:r>
      </w:hyperlink>
    </w:p>
    <w:p w14:paraId="7348685A" w14:textId="33629450" w:rsidR="004774D3" w:rsidRDefault="00EF4C08">
      <w:pPr>
        <w:pStyle w:val="TableofFigures"/>
        <w:rPr>
          <w:rFonts w:asciiTheme="minorHAnsi" w:eastAsiaTheme="minorEastAsia" w:hAnsiTheme="minorHAnsi" w:cstheme="minorBidi"/>
          <w:bCs w:val="0"/>
          <w:szCs w:val="22"/>
          <w:lang w:val="en-AU" w:eastAsia="en-AU"/>
        </w:rPr>
      </w:pPr>
      <w:hyperlink w:anchor="_Toc491846832" w:history="1">
        <w:r w:rsidR="004774D3" w:rsidRPr="0040130D">
          <w:rPr>
            <w:rStyle w:val="Hyperlink"/>
          </w:rPr>
          <w:t>Figure 6 Scoring diagram for Cover Change metric</w:t>
        </w:r>
        <w:r w:rsidR="004774D3">
          <w:rPr>
            <w:webHidden/>
          </w:rPr>
          <w:tab/>
        </w:r>
        <w:r w:rsidR="004774D3">
          <w:rPr>
            <w:webHidden/>
          </w:rPr>
          <w:fldChar w:fldCharType="begin"/>
        </w:r>
        <w:r w:rsidR="004774D3">
          <w:rPr>
            <w:webHidden/>
          </w:rPr>
          <w:instrText xml:space="preserve"> PAGEREF _Toc491846832 \h </w:instrText>
        </w:r>
        <w:r w:rsidR="004774D3">
          <w:rPr>
            <w:webHidden/>
          </w:rPr>
        </w:r>
        <w:r w:rsidR="004774D3">
          <w:rPr>
            <w:webHidden/>
          </w:rPr>
          <w:fldChar w:fldCharType="separate"/>
        </w:r>
        <w:r w:rsidR="00D806F2">
          <w:rPr>
            <w:webHidden/>
          </w:rPr>
          <w:t>26</w:t>
        </w:r>
        <w:r w:rsidR="004774D3">
          <w:rPr>
            <w:webHidden/>
          </w:rPr>
          <w:fldChar w:fldCharType="end"/>
        </w:r>
      </w:hyperlink>
    </w:p>
    <w:p w14:paraId="3BD83AEF" w14:textId="67E089E4" w:rsidR="004774D3" w:rsidRDefault="00EF4C08">
      <w:pPr>
        <w:pStyle w:val="TableofFigures"/>
        <w:rPr>
          <w:rFonts w:asciiTheme="minorHAnsi" w:eastAsiaTheme="minorEastAsia" w:hAnsiTheme="minorHAnsi" w:cstheme="minorBidi"/>
          <w:bCs w:val="0"/>
          <w:szCs w:val="22"/>
          <w:lang w:val="en-AU" w:eastAsia="en-AU"/>
        </w:rPr>
      </w:pPr>
      <w:hyperlink w:anchor="_Toc491846833" w:history="1">
        <w:r w:rsidR="004774D3" w:rsidRPr="0040130D">
          <w:rPr>
            <w:rStyle w:val="Hyperlink"/>
          </w:rPr>
          <w:t>Figure 7 Scoring diagram for Community Composition metric</w:t>
        </w:r>
        <w:r w:rsidR="004774D3">
          <w:rPr>
            <w:webHidden/>
          </w:rPr>
          <w:tab/>
        </w:r>
        <w:r w:rsidR="004774D3">
          <w:rPr>
            <w:webHidden/>
          </w:rPr>
          <w:fldChar w:fldCharType="begin"/>
        </w:r>
        <w:r w:rsidR="004774D3">
          <w:rPr>
            <w:webHidden/>
          </w:rPr>
          <w:instrText xml:space="preserve"> PAGEREF _Toc491846833 \h </w:instrText>
        </w:r>
        <w:r w:rsidR="004774D3">
          <w:rPr>
            <w:webHidden/>
          </w:rPr>
        </w:r>
        <w:r w:rsidR="004774D3">
          <w:rPr>
            <w:webHidden/>
          </w:rPr>
          <w:fldChar w:fldCharType="separate"/>
        </w:r>
        <w:r w:rsidR="00D806F2">
          <w:rPr>
            <w:webHidden/>
          </w:rPr>
          <w:t>27</w:t>
        </w:r>
        <w:r w:rsidR="004774D3">
          <w:rPr>
            <w:webHidden/>
          </w:rPr>
          <w:fldChar w:fldCharType="end"/>
        </w:r>
      </w:hyperlink>
    </w:p>
    <w:p w14:paraId="7159AE93" w14:textId="2C16DEF3" w:rsidR="004774D3" w:rsidRDefault="00EF4C08">
      <w:pPr>
        <w:pStyle w:val="TableofFigures"/>
        <w:rPr>
          <w:rFonts w:asciiTheme="minorHAnsi" w:eastAsiaTheme="minorEastAsia" w:hAnsiTheme="minorHAnsi" w:cstheme="minorBidi"/>
          <w:bCs w:val="0"/>
          <w:szCs w:val="22"/>
          <w:lang w:val="en-AU" w:eastAsia="en-AU"/>
        </w:rPr>
      </w:pPr>
      <w:hyperlink w:anchor="_Toc491846834" w:history="1">
        <w:r w:rsidR="004774D3">
          <w:rPr>
            <w:rStyle w:val="Hyperlink"/>
          </w:rPr>
          <w:t xml:space="preserve">Figure </w:t>
        </w:r>
        <w:r w:rsidR="004774D3" w:rsidRPr="0040130D">
          <w:rPr>
            <w:rStyle w:val="Hyperlink"/>
          </w:rPr>
          <w:t>8 Regional distributions of index and metric scores..</w:t>
        </w:r>
        <w:r w:rsidR="004774D3">
          <w:rPr>
            <w:webHidden/>
          </w:rPr>
          <w:tab/>
        </w:r>
        <w:r w:rsidR="004774D3">
          <w:rPr>
            <w:webHidden/>
          </w:rPr>
          <w:fldChar w:fldCharType="begin"/>
        </w:r>
        <w:r w:rsidR="004774D3">
          <w:rPr>
            <w:webHidden/>
          </w:rPr>
          <w:instrText xml:space="preserve"> PAGEREF _Toc491846834 \h </w:instrText>
        </w:r>
        <w:r w:rsidR="004774D3">
          <w:rPr>
            <w:webHidden/>
          </w:rPr>
        </w:r>
        <w:r w:rsidR="004774D3">
          <w:rPr>
            <w:webHidden/>
          </w:rPr>
          <w:fldChar w:fldCharType="separate"/>
        </w:r>
        <w:r w:rsidR="00D806F2">
          <w:rPr>
            <w:webHidden/>
          </w:rPr>
          <w:t>30</w:t>
        </w:r>
        <w:r w:rsidR="004774D3">
          <w:rPr>
            <w:webHidden/>
          </w:rPr>
          <w:fldChar w:fldCharType="end"/>
        </w:r>
      </w:hyperlink>
    </w:p>
    <w:p w14:paraId="188B2FBF" w14:textId="0473D211" w:rsidR="004774D3" w:rsidRDefault="00EF4C08">
      <w:pPr>
        <w:pStyle w:val="TableofFigures"/>
        <w:rPr>
          <w:rFonts w:asciiTheme="minorHAnsi" w:eastAsiaTheme="minorEastAsia" w:hAnsiTheme="minorHAnsi" w:cstheme="minorBidi"/>
          <w:bCs w:val="0"/>
          <w:szCs w:val="22"/>
          <w:lang w:val="en-AU" w:eastAsia="en-AU"/>
        </w:rPr>
      </w:pPr>
      <w:hyperlink w:anchor="_Toc491846835" w:history="1">
        <w:r w:rsidR="004774D3" w:rsidRPr="0040130D">
          <w:rPr>
            <w:rStyle w:val="Hyperlink"/>
          </w:rPr>
          <w:t>Figure 9 Relationship between coral index scores and environmental conditions.</w:t>
        </w:r>
        <w:r w:rsidR="004774D3">
          <w:rPr>
            <w:webHidden/>
          </w:rPr>
          <w:tab/>
        </w:r>
        <w:r w:rsidR="004774D3">
          <w:rPr>
            <w:webHidden/>
          </w:rPr>
          <w:fldChar w:fldCharType="begin"/>
        </w:r>
        <w:r w:rsidR="004774D3">
          <w:rPr>
            <w:webHidden/>
          </w:rPr>
          <w:instrText xml:space="preserve"> PAGEREF _Toc491846835 \h </w:instrText>
        </w:r>
        <w:r w:rsidR="004774D3">
          <w:rPr>
            <w:webHidden/>
          </w:rPr>
        </w:r>
        <w:r w:rsidR="004774D3">
          <w:rPr>
            <w:webHidden/>
          </w:rPr>
          <w:fldChar w:fldCharType="separate"/>
        </w:r>
        <w:r w:rsidR="00D806F2">
          <w:rPr>
            <w:webHidden/>
          </w:rPr>
          <w:t>31</w:t>
        </w:r>
        <w:r w:rsidR="004774D3">
          <w:rPr>
            <w:webHidden/>
          </w:rPr>
          <w:fldChar w:fldCharType="end"/>
        </w:r>
      </w:hyperlink>
    </w:p>
    <w:p w14:paraId="2EB36D0F" w14:textId="6A4E9C15" w:rsidR="004774D3" w:rsidRDefault="00EF4C08">
      <w:pPr>
        <w:pStyle w:val="TableofFigures"/>
        <w:rPr>
          <w:rFonts w:asciiTheme="minorHAnsi" w:eastAsiaTheme="minorEastAsia" w:hAnsiTheme="minorHAnsi" w:cstheme="minorBidi"/>
          <w:bCs w:val="0"/>
          <w:szCs w:val="22"/>
          <w:lang w:val="en-AU" w:eastAsia="en-AU"/>
        </w:rPr>
      </w:pPr>
      <w:hyperlink w:anchor="_Toc491846836" w:history="1">
        <w:r w:rsidR="004774D3" w:rsidRPr="0040130D">
          <w:rPr>
            <w:rStyle w:val="Hyperlink"/>
          </w:rPr>
          <w:t>Figure 10 Relationship between indicator metric scores and environmental conditions.</w:t>
        </w:r>
        <w:r w:rsidR="004774D3">
          <w:rPr>
            <w:webHidden/>
          </w:rPr>
          <w:tab/>
        </w:r>
        <w:r w:rsidR="004774D3">
          <w:rPr>
            <w:webHidden/>
          </w:rPr>
          <w:fldChar w:fldCharType="begin"/>
        </w:r>
        <w:r w:rsidR="004774D3">
          <w:rPr>
            <w:webHidden/>
          </w:rPr>
          <w:instrText xml:space="preserve"> PAGEREF _Toc491846836 \h </w:instrText>
        </w:r>
        <w:r w:rsidR="004774D3">
          <w:rPr>
            <w:webHidden/>
          </w:rPr>
        </w:r>
        <w:r w:rsidR="004774D3">
          <w:rPr>
            <w:webHidden/>
          </w:rPr>
          <w:fldChar w:fldCharType="separate"/>
        </w:r>
        <w:r w:rsidR="00D806F2">
          <w:rPr>
            <w:webHidden/>
          </w:rPr>
          <w:t>32</w:t>
        </w:r>
        <w:r w:rsidR="004774D3">
          <w:rPr>
            <w:webHidden/>
          </w:rPr>
          <w:fldChar w:fldCharType="end"/>
        </w:r>
      </w:hyperlink>
    </w:p>
    <w:p w14:paraId="346B948B" w14:textId="3761AD19" w:rsidR="004774D3" w:rsidRDefault="00EF4C08">
      <w:pPr>
        <w:pStyle w:val="TableofFigures"/>
        <w:rPr>
          <w:rFonts w:asciiTheme="minorHAnsi" w:eastAsiaTheme="minorEastAsia" w:hAnsiTheme="minorHAnsi" w:cstheme="minorBidi"/>
          <w:bCs w:val="0"/>
          <w:szCs w:val="22"/>
          <w:lang w:val="en-AU" w:eastAsia="en-AU"/>
        </w:rPr>
      </w:pPr>
      <w:hyperlink w:anchor="_Toc491846837" w:history="1">
        <w:r w:rsidR="004774D3" w:rsidRPr="0040130D">
          <w:rPr>
            <w:rStyle w:val="Hyperlink"/>
          </w:rPr>
          <w:t xml:space="preserve">Figure 11 Relationship between the coral index and </w:t>
        </w:r>
        <w:r w:rsidR="0042623E">
          <w:rPr>
            <w:rStyle w:val="Hyperlink"/>
          </w:rPr>
          <w:t>run-off</w:t>
        </w:r>
        <w:r w:rsidR="004774D3" w:rsidRPr="0040130D">
          <w:rPr>
            <w:rStyle w:val="Hyperlink"/>
          </w:rPr>
          <w:t xml:space="preserve"> from local catchments.</w:t>
        </w:r>
        <w:r w:rsidR="004774D3">
          <w:rPr>
            <w:webHidden/>
          </w:rPr>
          <w:tab/>
        </w:r>
        <w:r w:rsidR="004774D3">
          <w:rPr>
            <w:webHidden/>
          </w:rPr>
          <w:fldChar w:fldCharType="begin"/>
        </w:r>
        <w:r w:rsidR="004774D3">
          <w:rPr>
            <w:webHidden/>
          </w:rPr>
          <w:instrText xml:space="preserve"> PAGEREF _Toc491846837 \h </w:instrText>
        </w:r>
        <w:r w:rsidR="004774D3">
          <w:rPr>
            <w:webHidden/>
          </w:rPr>
        </w:r>
        <w:r w:rsidR="004774D3">
          <w:rPr>
            <w:webHidden/>
          </w:rPr>
          <w:fldChar w:fldCharType="separate"/>
        </w:r>
        <w:r w:rsidR="00D806F2">
          <w:rPr>
            <w:webHidden/>
          </w:rPr>
          <w:t>33</w:t>
        </w:r>
        <w:r w:rsidR="004774D3">
          <w:rPr>
            <w:webHidden/>
          </w:rPr>
          <w:fldChar w:fldCharType="end"/>
        </w:r>
      </w:hyperlink>
    </w:p>
    <w:p w14:paraId="1E2E65E6" w14:textId="393A75BE" w:rsidR="004774D3" w:rsidRDefault="00EF4C08">
      <w:pPr>
        <w:pStyle w:val="TableofFigures"/>
        <w:rPr>
          <w:rFonts w:asciiTheme="minorHAnsi" w:eastAsiaTheme="minorEastAsia" w:hAnsiTheme="minorHAnsi" w:cstheme="minorBidi"/>
          <w:bCs w:val="0"/>
          <w:szCs w:val="22"/>
          <w:lang w:val="en-AU" w:eastAsia="en-AU"/>
        </w:rPr>
      </w:pPr>
      <w:hyperlink w:anchor="_Toc491846838" w:history="1">
        <w:r w:rsidR="004774D3" w:rsidRPr="0040130D">
          <w:rPr>
            <w:rStyle w:val="Hyperlink"/>
          </w:rPr>
          <w:t xml:space="preserve">Figure 12 Barron Daintree sub-region environmental </w:t>
        </w:r>
        <w:r w:rsidR="00C356BC">
          <w:rPr>
            <w:rStyle w:val="Hyperlink"/>
          </w:rPr>
          <w:t>pressures</w:t>
        </w:r>
        <w:r w:rsidR="004774D3" w:rsidRPr="0040130D">
          <w:rPr>
            <w:rStyle w:val="Hyperlink"/>
          </w:rPr>
          <w:t>..</w:t>
        </w:r>
        <w:r w:rsidR="004774D3">
          <w:rPr>
            <w:webHidden/>
          </w:rPr>
          <w:tab/>
        </w:r>
        <w:r w:rsidR="004774D3">
          <w:rPr>
            <w:webHidden/>
          </w:rPr>
          <w:fldChar w:fldCharType="begin"/>
        </w:r>
        <w:r w:rsidR="004774D3">
          <w:rPr>
            <w:webHidden/>
          </w:rPr>
          <w:instrText xml:space="preserve"> PAGEREF _Toc491846838 \h </w:instrText>
        </w:r>
        <w:r w:rsidR="004774D3">
          <w:rPr>
            <w:webHidden/>
          </w:rPr>
        </w:r>
        <w:r w:rsidR="004774D3">
          <w:rPr>
            <w:webHidden/>
          </w:rPr>
          <w:fldChar w:fldCharType="separate"/>
        </w:r>
        <w:r w:rsidR="00D806F2">
          <w:rPr>
            <w:webHidden/>
          </w:rPr>
          <w:t>37</w:t>
        </w:r>
        <w:r w:rsidR="004774D3">
          <w:rPr>
            <w:webHidden/>
          </w:rPr>
          <w:fldChar w:fldCharType="end"/>
        </w:r>
      </w:hyperlink>
    </w:p>
    <w:p w14:paraId="7507F461" w14:textId="12C3D5D0" w:rsidR="004774D3" w:rsidRDefault="00EF4C08">
      <w:pPr>
        <w:pStyle w:val="TableofFigures"/>
        <w:rPr>
          <w:rFonts w:asciiTheme="minorHAnsi" w:eastAsiaTheme="minorEastAsia" w:hAnsiTheme="minorHAnsi" w:cstheme="minorBidi"/>
          <w:bCs w:val="0"/>
          <w:szCs w:val="22"/>
          <w:lang w:val="en-AU" w:eastAsia="en-AU"/>
        </w:rPr>
      </w:pPr>
      <w:hyperlink w:anchor="_Toc491846839" w:history="1">
        <w:r w:rsidR="004774D3" w:rsidRPr="0040130D">
          <w:rPr>
            <w:rStyle w:val="Hyperlink"/>
          </w:rPr>
          <w:t>Figure 13 Barron Daintree sub-region</w:t>
        </w:r>
        <w:r w:rsidR="00E22E14">
          <w:rPr>
            <w:rStyle w:val="Hyperlink"/>
          </w:rPr>
          <w:t xml:space="preserve"> index and indicator trends</w:t>
        </w:r>
        <w:r w:rsidR="004774D3" w:rsidRPr="0040130D">
          <w:rPr>
            <w:rStyle w:val="Hyperlink"/>
          </w:rPr>
          <w:t>.</w:t>
        </w:r>
        <w:r w:rsidR="004774D3">
          <w:rPr>
            <w:webHidden/>
          </w:rPr>
          <w:tab/>
        </w:r>
        <w:r w:rsidR="004774D3">
          <w:rPr>
            <w:webHidden/>
          </w:rPr>
          <w:fldChar w:fldCharType="begin"/>
        </w:r>
        <w:r w:rsidR="004774D3">
          <w:rPr>
            <w:webHidden/>
          </w:rPr>
          <w:instrText xml:space="preserve"> PAGEREF _Toc491846839 \h </w:instrText>
        </w:r>
        <w:r w:rsidR="004774D3">
          <w:rPr>
            <w:webHidden/>
          </w:rPr>
        </w:r>
        <w:r w:rsidR="004774D3">
          <w:rPr>
            <w:webHidden/>
          </w:rPr>
          <w:fldChar w:fldCharType="separate"/>
        </w:r>
        <w:r w:rsidR="00D806F2">
          <w:rPr>
            <w:webHidden/>
          </w:rPr>
          <w:t>38</w:t>
        </w:r>
        <w:r w:rsidR="004774D3">
          <w:rPr>
            <w:webHidden/>
          </w:rPr>
          <w:fldChar w:fldCharType="end"/>
        </w:r>
      </w:hyperlink>
    </w:p>
    <w:p w14:paraId="4D37268C" w14:textId="7DEE5397" w:rsidR="004774D3" w:rsidRDefault="00EF4C08">
      <w:pPr>
        <w:pStyle w:val="TableofFigures"/>
        <w:rPr>
          <w:rFonts w:asciiTheme="minorHAnsi" w:eastAsiaTheme="minorEastAsia" w:hAnsiTheme="minorHAnsi" w:cstheme="minorBidi"/>
          <w:bCs w:val="0"/>
          <w:szCs w:val="22"/>
          <w:lang w:val="en-AU" w:eastAsia="en-AU"/>
        </w:rPr>
      </w:pPr>
      <w:hyperlink w:anchor="_Toc491846840" w:history="1">
        <w:r w:rsidR="004774D3" w:rsidRPr="0040130D">
          <w:rPr>
            <w:rStyle w:val="Hyperlink"/>
          </w:rPr>
          <w:t xml:space="preserve">Figure 14 Johnstone Russell-Mulgrave sub-region </w:t>
        </w:r>
        <w:r w:rsidR="00C356BC" w:rsidRPr="00C356BC">
          <w:rPr>
            <w:rStyle w:val="Hyperlink"/>
          </w:rPr>
          <w:t>environmental pressures</w:t>
        </w:r>
        <w:r w:rsidR="004774D3">
          <w:rPr>
            <w:webHidden/>
          </w:rPr>
          <w:tab/>
        </w:r>
        <w:r w:rsidR="004774D3">
          <w:rPr>
            <w:webHidden/>
          </w:rPr>
          <w:fldChar w:fldCharType="begin"/>
        </w:r>
        <w:r w:rsidR="004774D3">
          <w:rPr>
            <w:webHidden/>
          </w:rPr>
          <w:instrText xml:space="preserve"> PAGEREF _Toc491846840 \h </w:instrText>
        </w:r>
        <w:r w:rsidR="004774D3">
          <w:rPr>
            <w:webHidden/>
          </w:rPr>
        </w:r>
        <w:r w:rsidR="004774D3">
          <w:rPr>
            <w:webHidden/>
          </w:rPr>
          <w:fldChar w:fldCharType="separate"/>
        </w:r>
        <w:r w:rsidR="00D806F2">
          <w:rPr>
            <w:webHidden/>
          </w:rPr>
          <w:t>41</w:t>
        </w:r>
        <w:r w:rsidR="004774D3">
          <w:rPr>
            <w:webHidden/>
          </w:rPr>
          <w:fldChar w:fldCharType="end"/>
        </w:r>
      </w:hyperlink>
    </w:p>
    <w:p w14:paraId="57CEA5B2" w14:textId="3B09CF8D" w:rsidR="004774D3" w:rsidRDefault="00EF4C08">
      <w:pPr>
        <w:pStyle w:val="TableofFigures"/>
        <w:rPr>
          <w:rFonts w:asciiTheme="minorHAnsi" w:eastAsiaTheme="minorEastAsia" w:hAnsiTheme="minorHAnsi" w:cstheme="minorBidi"/>
          <w:bCs w:val="0"/>
          <w:szCs w:val="22"/>
          <w:lang w:val="en-AU" w:eastAsia="en-AU"/>
        </w:rPr>
      </w:pPr>
      <w:hyperlink w:anchor="_Toc491846841" w:history="1">
        <w:r w:rsidR="004774D3" w:rsidRPr="0040130D">
          <w:rPr>
            <w:rStyle w:val="Hyperlink"/>
          </w:rPr>
          <w:t>Figure 15 Johnstone Russell-Mulgrave sub-region</w:t>
        </w:r>
        <w:r w:rsidR="00E22E14">
          <w:rPr>
            <w:rStyle w:val="Hyperlink"/>
          </w:rPr>
          <w:t xml:space="preserve"> index and indicator trends</w:t>
        </w:r>
        <w:r w:rsidR="004774D3">
          <w:rPr>
            <w:webHidden/>
          </w:rPr>
          <w:tab/>
        </w:r>
        <w:r w:rsidR="004774D3">
          <w:rPr>
            <w:webHidden/>
          </w:rPr>
          <w:fldChar w:fldCharType="begin"/>
        </w:r>
        <w:r w:rsidR="004774D3">
          <w:rPr>
            <w:webHidden/>
          </w:rPr>
          <w:instrText xml:space="preserve"> PAGEREF _Toc491846841 \h </w:instrText>
        </w:r>
        <w:r w:rsidR="004774D3">
          <w:rPr>
            <w:webHidden/>
          </w:rPr>
        </w:r>
        <w:r w:rsidR="004774D3">
          <w:rPr>
            <w:webHidden/>
          </w:rPr>
          <w:fldChar w:fldCharType="separate"/>
        </w:r>
        <w:r w:rsidR="00D806F2">
          <w:rPr>
            <w:webHidden/>
          </w:rPr>
          <w:t>42</w:t>
        </w:r>
        <w:r w:rsidR="004774D3">
          <w:rPr>
            <w:webHidden/>
          </w:rPr>
          <w:fldChar w:fldCharType="end"/>
        </w:r>
      </w:hyperlink>
    </w:p>
    <w:p w14:paraId="2DB77987" w14:textId="026C2C44" w:rsidR="004774D3" w:rsidRDefault="00EF4C08">
      <w:pPr>
        <w:pStyle w:val="TableofFigures"/>
        <w:rPr>
          <w:rFonts w:asciiTheme="minorHAnsi" w:eastAsiaTheme="minorEastAsia" w:hAnsiTheme="minorHAnsi" w:cstheme="minorBidi"/>
          <w:bCs w:val="0"/>
          <w:szCs w:val="22"/>
          <w:lang w:val="en-AU" w:eastAsia="en-AU"/>
        </w:rPr>
      </w:pPr>
      <w:hyperlink w:anchor="_Toc491846842" w:history="1">
        <w:r w:rsidR="004774D3" w:rsidRPr="0040130D">
          <w:rPr>
            <w:rStyle w:val="Hyperlink"/>
          </w:rPr>
          <w:t xml:space="preserve">Figure 16 Herbert Tully sub-region </w:t>
        </w:r>
        <w:r w:rsidR="00E22E14" w:rsidRPr="00E22E14">
          <w:rPr>
            <w:rStyle w:val="Hyperlink"/>
          </w:rPr>
          <w:t>environmental pressures</w:t>
        </w:r>
        <w:r w:rsidR="004774D3" w:rsidRPr="0040130D">
          <w:rPr>
            <w:rStyle w:val="Hyperlink"/>
          </w:rPr>
          <w:t>.</w:t>
        </w:r>
        <w:r w:rsidR="004774D3">
          <w:rPr>
            <w:webHidden/>
          </w:rPr>
          <w:tab/>
        </w:r>
        <w:r w:rsidR="004774D3">
          <w:rPr>
            <w:webHidden/>
          </w:rPr>
          <w:fldChar w:fldCharType="begin"/>
        </w:r>
        <w:r w:rsidR="004774D3">
          <w:rPr>
            <w:webHidden/>
          </w:rPr>
          <w:instrText xml:space="preserve"> PAGEREF _Toc491846842 \h </w:instrText>
        </w:r>
        <w:r w:rsidR="004774D3">
          <w:rPr>
            <w:webHidden/>
          </w:rPr>
        </w:r>
        <w:r w:rsidR="004774D3">
          <w:rPr>
            <w:webHidden/>
          </w:rPr>
          <w:fldChar w:fldCharType="separate"/>
        </w:r>
        <w:r w:rsidR="00D806F2">
          <w:rPr>
            <w:webHidden/>
          </w:rPr>
          <w:t>44</w:t>
        </w:r>
        <w:r w:rsidR="004774D3">
          <w:rPr>
            <w:webHidden/>
          </w:rPr>
          <w:fldChar w:fldCharType="end"/>
        </w:r>
      </w:hyperlink>
    </w:p>
    <w:p w14:paraId="72BDFE0A" w14:textId="0AEAF097" w:rsidR="004774D3" w:rsidRDefault="00EF4C08">
      <w:pPr>
        <w:pStyle w:val="TableofFigures"/>
        <w:rPr>
          <w:rFonts w:asciiTheme="minorHAnsi" w:eastAsiaTheme="minorEastAsia" w:hAnsiTheme="minorHAnsi" w:cstheme="minorBidi"/>
          <w:bCs w:val="0"/>
          <w:szCs w:val="22"/>
          <w:lang w:val="en-AU" w:eastAsia="en-AU"/>
        </w:rPr>
      </w:pPr>
      <w:hyperlink w:anchor="_Toc491846843" w:history="1">
        <w:r w:rsidR="004774D3" w:rsidRPr="0040130D">
          <w:rPr>
            <w:rStyle w:val="Hyperlink"/>
          </w:rPr>
          <w:t xml:space="preserve">Figure 17 </w:t>
        </w:r>
        <w:r w:rsidR="004774D3">
          <w:rPr>
            <w:rStyle w:val="Hyperlink"/>
          </w:rPr>
          <w:t>Herbert Tully sub-region</w:t>
        </w:r>
        <w:r w:rsidR="00E22E14">
          <w:rPr>
            <w:rStyle w:val="Hyperlink"/>
          </w:rPr>
          <w:t xml:space="preserve"> index and indicator trends</w:t>
        </w:r>
        <w:r w:rsidR="004774D3">
          <w:rPr>
            <w:webHidden/>
          </w:rPr>
          <w:tab/>
        </w:r>
        <w:r w:rsidR="004774D3">
          <w:rPr>
            <w:webHidden/>
          </w:rPr>
          <w:fldChar w:fldCharType="begin"/>
        </w:r>
        <w:r w:rsidR="004774D3">
          <w:rPr>
            <w:webHidden/>
          </w:rPr>
          <w:instrText xml:space="preserve"> PAGEREF _Toc491846843 \h </w:instrText>
        </w:r>
        <w:r w:rsidR="004774D3">
          <w:rPr>
            <w:webHidden/>
          </w:rPr>
        </w:r>
        <w:r w:rsidR="004774D3">
          <w:rPr>
            <w:webHidden/>
          </w:rPr>
          <w:fldChar w:fldCharType="separate"/>
        </w:r>
        <w:r w:rsidR="00D806F2">
          <w:rPr>
            <w:webHidden/>
          </w:rPr>
          <w:t>45</w:t>
        </w:r>
        <w:r w:rsidR="004774D3">
          <w:rPr>
            <w:webHidden/>
          </w:rPr>
          <w:fldChar w:fldCharType="end"/>
        </w:r>
      </w:hyperlink>
    </w:p>
    <w:p w14:paraId="7DC7C934" w14:textId="721C9A0F" w:rsidR="004774D3" w:rsidRDefault="00EF4C08">
      <w:pPr>
        <w:pStyle w:val="TableofFigures"/>
        <w:rPr>
          <w:rFonts w:asciiTheme="minorHAnsi" w:eastAsiaTheme="minorEastAsia" w:hAnsiTheme="minorHAnsi" w:cstheme="minorBidi"/>
          <w:bCs w:val="0"/>
          <w:szCs w:val="22"/>
          <w:lang w:val="en-AU" w:eastAsia="en-AU"/>
        </w:rPr>
      </w:pPr>
      <w:hyperlink w:anchor="_Toc491846844" w:history="1">
        <w:r w:rsidR="00E22E14">
          <w:rPr>
            <w:rStyle w:val="Hyperlink"/>
          </w:rPr>
          <w:t xml:space="preserve">Figure 18 Burdekin Region </w:t>
        </w:r>
        <w:r w:rsidR="00E22E14" w:rsidRPr="00E22E14">
          <w:rPr>
            <w:rStyle w:val="Hyperlink"/>
          </w:rPr>
          <w:t>environmental pressures</w:t>
        </w:r>
        <w:r w:rsidR="004774D3">
          <w:rPr>
            <w:webHidden/>
          </w:rPr>
          <w:tab/>
        </w:r>
        <w:r w:rsidR="004774D3">
          <w:rPr>
            <w:webHidden/>
          </w:rPr>
          <w:fldChar w:fldCharType="begin"/>
        </w:r>
        <w:r w:rsidR="004774D3">
          <w:rPr>
            <w:webHidden/>
          </w:rPr>
          <w:instrText xml:space="preserve"> PAGEREF _Toc491846844 \h </w:instrText>
        </w:r>
        <w:r w:rsidR="004774D3">
          <w:rPr>
            <w:webHidden/>
          </w:rPr>
        </w:r>
        <w:r w:rsidR="004774D3">
          <w:rPr>
            <w:webHidden/>
          </w:rPr>
          <w:fldChar w:fldCharType="separate"/>
        </w:r>
        <w:r w:rsidR="00D806F2">
          <w:rPr>
            <w:webHidden/>
          </w:rPr>
          <w:t>48</w:t>
        </w:r>
        <w:r w:rsidR="004774D3">
          <w:rPr>
            <w:webHidden/>
          </w:rPr>
          <w:fldChar w:fldCharType="end"/>
        </w:r>
      </w:hyperlink>
    </w:p>
    <w:p w14:paraId="747ECE97" w14:textId="4E4F340A" w:rsidR="004774D3" w:rsidRDefault="00EF4C08">
      <w:pPr>
        <w:pStyle w:val="TableofFigures"/>
        <w:rPr>
          <w:rFonts w:asciiTheme="minorHAnsi" w:eastAsiaTheme="minorEastAsia" w:hAnsiTheme="minorHAnsi" w:cstheme="minorBidi"/>
          <w:bCs w:val="0"/>
          <w:szCs w:val="22"/>
          <w:lang w:val="en-AU" w:eastAsia="en-AU"/>
        </w:rPr>
      </w:pPr>
      <w:hyperlink w:anchor="_Toc491846845" w:history="1">
        <w:r w:rsidR="004774D3" w:rsidRPr="0040130D">
          <w:rPr>
            <w:rStyle w:val="Hyperlink"/>
          </w:rPr>
          <w:t>Figure 19 Burd</w:t>
        </w:r>
        <w:r w:rsidR="004774D3">
          <w:rPr>
            <w:rStyle w:val="Hyperlink"/>
          </w:rPr>
          <w:t xml:space="preserve">ekin </w:t>
        </w:r>
        <w:r w:rsidR="00E22E14">
          <w:rPr>
            <w:rStyle w:val="Hyperlink"/>
          </w:rPr>
          <w:t>Region index and indicator trends</w:t>
        </w:r>
        <w:r w:rsidR="004774D3">
          <w:rPr>
            <w:webHidden/>
          </w:rPr>
          <w:tab/>
        </w:r>
        <w:r w:rsidR="004774D3">
          <w:rPr>
            <w:webHidden/>
          </w:rPr>
          <w:fldChar w:fldCharType="begin"/>
        </w:r>
        <w:r w:rsidR="004774D3">
          <w:rPr>
            <w:webHidden/>
          </w:rPr>
          <w:instrText xml:space="preserve"> PAGEREF _Toc491846845 \h </w:instrText>
        </w:r>
        <w:r w:rsidR="004774D3">
          <w:rPr>
            <w:webHidden/>
          </w:rPr>
        </w:r>
        <w:r w:rsidR="004774D3">
          <w:rPr>
            <w:webHidden/>
          </w:rPr>
          <w:fldChar w:fldCharType="separate"/>
        </w:r>
        <w:r w:rsidR="00D806F2">
          <w:rPr>
            <w:webHidden/>
          </w:rPr>
          <w:t>49</w:t>
        </w:r>
        <w:r w:rsidR="004774D3">
          <w:rPr>
            <w:webHidden/>
          </w:rPr>
          <w:fldChar w:fldCharType="end"/>
        </w:r>
      </w:hyperlink>
    </w:p>
    <w:p w14:paraId="3FC87D0D" w14:textId="4F8C4544" w:rsidR="004774D3" w:rsidRDefault="00EF4C08">
      <w:pPr>
        <w:pStyle w:val="TableofFigures"/>
        <w:rPr>
          <w:rFonts w:asciiTheme="minorHAnsi" w:eastAsiaTheme="minorEastAsia" w:hAnsiTheme="minorHAnsi" w:cstheme="minorBidi"/>
          <w:bCs w:val="0"/>
          <w:szCs w:val="22"/>
          <w:lang w:val="en-AU" w:eastAsia="en-AU"/>
        </w:rPr>
      </w:pPr>
      <w:hyperlink w:anchor="_Toc491846846" w:history="1">
        <w:r w:rsidR="004774D3" w:rsidRPr="0040130D">
          <w:rPr>
            <w:rStyle w:val="Hyperlink"/>
          </w:rPr>
          <w:t xml:space="preserve">Figure 20 Whitsunday Mackay Region </w:t>
        </w:r>
        <w:r w:rsidR="00E22E14" w:rsidRPr="00E22E14">
          <w:rPr>
            <w:rStyle w:val="Hyperlink"/>
          </w:rPr>
          <w:t>environmental pressures</w:t>
        </w:r>
        <w:r w:rsidR="004774D3" w:rsidRPr="0040130D">
          <w:rPr>
            <w:rStyle w:val="Hyperlink"/>
          </w:rPr>
          <w:t>.</w:t>
        </w:r>
        <w:r w:rsidR="004774D3">
          <w:rPr>
            <w:webHidden/>
          </w:rPr>
          <w:tab/>
        </w:r>
        <w:r w:rsidR="004774D3">
          <w:rPr>
            <w:webHidden/>
          </w:rPr>
          <w:fldChar w:fldCharType="begin"/>
        </w:r>
        <w:r w:rsidR="004774D3">
          <w:rPr>
            <w:webHidden/>
          </w:rPr>
          <w:instrText xml:space="preserve"> PAGEREF _Toc491846846 \h </w:instrText>
        </w:r>
        <w:r w:rsidR="004774D3">
          <w:rPr>
            <w:webHidden/>
          </w:rPr>
        </w:r>
        <w:r w:rsidR="004774D3">
          <w:rPr>
            <w:webHidden/>
          </w:rPr>
          <w:fldChar w:fldCharType="separate"/>
        </w:r>
        <w:r w:rsidR="00D806F2">
          <w:rPr>
            <w:webHidden/>
          </w:rPr>
          <w:t>52</w:t>
        </w:r>
        <w:r w:rsidR="004774D3">
          <w:rPr>
            <w:webHidden/>
          </w:rPr>
          <w:fldChar w:fldCharType="end"/>
        </w:r>
      </w:hyperlink>
    </w:p>
    <w:p w14:paraId="097241DB" w14:textId="534A0F2E" w:rsidR="004774D3" w:rsidRDefault="00EF4C08">
      <w:pPr>
        <w:pStyle w:val="TableofFigures"/>
        <w:rPr>
          <w:rFonts w:asciiTheme="minorHAnsi" w:eastAsiaTheme="minorEastAsia" w:hAnsiTheme="minorHAnsi" w:cstheme="minorBidi"/>
          <w:bCs w:val="0"/>
          <w:szCs w:val="22"/>
          <w:lang w:val="en-AU" w:eastAsia="en-AU"/>
        </w:rPr>
      </w:pPr>
      <w:hyperlink w:anchor="_Toc491846847" w:history="1">
        <w:r w:rsidR="004774D3" w:rsidRPr="0040130D">
          <w:rPr>
            <w:rStyle w:val="Hyperlink"/>
          </w:rPr>
          <w:t xml:space="preserve">Figure 21 </w:t>
        </w:r>
        <w:r w:rsidR="00E22E14">
          <w:rPr>
            <w:rStyle w:val="Hyperlink"/>
          </w:rPr>
          <w:t>Mackay Whitsunday Region index and indicator trends</w:t>
        </w:r>
        <w:r w:rsidR="004774D3">
          <w:rPr>
            <w:webHidden/>
          </w:rPr>
          <w:tab/>
        </w:r>
        <w:r w:rsidR="004774D3">
          <w:rPr>
            <w:webHidden/>
          </w:rPr>
          <w:fldChar w:fldCharType="begin"/>
        </w:r>
        <w:r w:rsidR="004774D3">
          <w:rPr>
            <w:webHidden/>
          </w:rPr>
          <w:instrText xml:space="preserve"> PAGEREF _Toc491846847 \h </w:instrText>
        </w:r>
        <w:r w:rsidR="004774D3">
          <w:rPr>
            <w:webHidden/>
          </w:rPr>
        </w:r>
        <w:r w:rsidR="004774D3">
          <w:rPr>
            <w:webHidden/>
          </w:rPr>
          <w:fldChar w:fldCharType="separate"/>
        </w:r>
        <w:r w:rsidR="00D806F2">
          <w:rPr>
            <w:webHidden/>
          </w:rPr>
          <w:t>53</w:t>
        </w:r>
        <w:r w:rsidR="004774D3">
          <w:rPr>
            <w:webHidden/>
          </w:rPr>
          <w:fldChar w:fldCharType="end"/>
        </w:r>
      </w:hyperlink>
    </w:p>
    <w:p w14:paraId="7F5511C5" w14:textId="5B352A81" w:rsidR="004774D3" w:rsidRDefault="00EF4C08">
      <w:pPr>
        <w:pStyle w:val="TableofFigures"/>
        <w:rPr>
          <w:rFonts w:asciiTheme="minorHAnsi" w:eastAsiaTheme="minorEastAsia" w:hAnsiTheme="minorHAnsi" w:cstheme="minorBidi"/>
          <w:bCs w:val="0"/>
          <w:szCs w:val="22"/>
          <w:lang w:val="en-AU" w:eastAsia="en-AU"/>
        </w:rPr>
      </w:pPr>
      <w:hyperlink w:anchor="_Toc491846848" w:history="1">
        <w:r w:rsidR="004774D3" w:rsidRPr="0040130D">
          <w:rPr>
            <w:rStyle w:val="Hyperlink"/>
          </w:rPr>
          <w:t xml:space="preserve">Figure 22 Fitzroy Region environmental </w:t>
        </w:r>
        <w:r w:rsidR="00E22E14">
          <w:rPr>
            <w:rStyle w:val="Hyperlink"/>
          </w:rPr>
          <w:t>pressures</w:t>
        </w:r>
        <w:r w:rsidR="004774D3">
          <w:rPr>
            <w:webHidden/>
          </w:rPr>
          <w:tab/>
        </w:r>
        <w:r w:rsidR="004774D3">
          <w:rPr>
            <w:webHidden/>
          </w:rPr>
          <w:fldChar w:fldCharType="begin"/>
        </w:r>
        <w:r w:rsidR="004774D3">
          <w:rPr>
            <w:webHidden/>
          </w:rPr>
          <w:instrText xml:space="preserve"> PAGEREF _Toc491846848 \h </w:instrText>
        </w:r>
        <w:r w:rsidR="004774D3">
          <w:rPr>
            <w:webHidden/>
          </w:rPr>
        </w:r>
        <w:r w:rsidR="004774D3">
          <w:rPr>
            <w:webHidden/>
          </w:rPr>
          <w:fldChar w:fldCharType="separate"/>
        </w:r>
        <w:r w:rsidR="00D806F2">
          <w:rPr>
            <w:webHidden/>
          </w:rPr>
          <w:t>56</w:t>
        </w:r>
        <w:r w:rsidR="004774D3">
          <w:rPr>
            <w:webHidden/>
          </w:rPr>
          <w:fldChar w:fldCharType="end"/>
        </w:r>
      </w:hyperlink>
    </w:p>
    <w:p w14:paraId="7D97C100" w14:textId="21AC8C0E" w:rsidR="004774D3" w:rsidRDefault="00EF4C08">
      <w:pPr>
        <w:pStyle w:val="TableofFigures"/>
        <w:rPr>
          <w:rFonts w:asciiTheme="minorHAnsi" w:eastAsiaTheme="minorEastAsia" w:hAnsiTheme="minorHAnsi" w:cstheme="minorBidi"/>
          <w:bCs w:val="0"/>
          <w:szCs w:val="22"/>
          <w:lang w:val="en-AU" w:eastAsia="en-AU"/>
        </w:rPr>
      </w:pPr>
      <w:hyperlink w:anchor="_Toc491846849" w:history="1">
        <w:r w:rsidR="004774D3" w:rsidRPr="0040130D">
          <w:rPr>
            <w:rStyle w:val="Hyperlink"/>
          </w:rPr>
          <w:t xml:space="preserve">Figure 23 </w:t>
        </w:r>
        <w:r w:rsidR="004774D3">
          <w:rPr>
            <w:rStyle w:val="Hyperlink"/>
          </w:rPr>
          <w:t xml:space="preserve">Fitzroy </w:t>
        </w:r>
        <w:r w:rsidR="00E22E14">
          <w:rPr>
            <w:rStyle w:val="Hyperlink"/>
          </w:rPr>
          <w:t>R</w:t>
        </w:r>
        <w:r w:rsidR="004774D3">
          <w:rPr>
            <w:rStyle w:val="Hyperlink"/>
          </w:rPr>
          <w:t>egion</w:t>
        </w:r>
        <w:r w:rsidR="00E22E14">
          <w:rPr>
            <w:rStyle w:val="Hyperlink"/>
          </w:rPr>
          <w:t xml:space="preserve"> index and indicator trends</w:t>
        </w:r>
        <w:r w:rsidR="004774D3">
          <w:rPr>
            <w:rStyle w:val="Hyperlink"/>
          </w:rPr>
          <w:t>.</w:t>
        </w:r>
        <w:r w:rsidR="004774D3">
          <w:rPr>
            <w:webHidden/>
          </w:rPr>
          <w:tab/>
        </w:r>
        <w:r w:rsidR="004774D3">
          <w:rPr>
            <w:webHidden/>
          </w:rPr>
          <w:fldChar w:fldCharType="begin"/>
        </w:r>
        <w:r w:rsidR="004774D3">
          <w:rPr>
            <w:webHidden/>
          </w:rPr>
          <w:instrText xml:space="preserve"> PAGEREF _Toc491846849 \h </w:instrText>
        </w:r>
        <w:r w:rsidR="004774D3">
          <w:rPr>
            <w:webHidden/>
          </w:rPr>
        </w:r>
        <w:r w:rsidR="004774D3">
          <w:rPr>
            <w:webHidden/>
          </w:rPr>
          <w:fldChar w:fldCharType="separate"/>
        </w:r>
        <w:r w:rsidR="00D806F2">
          <w:rPr>
            <w:webHidden/>
          </w:rPr>
          <w:t>57</w:t>
        </w:r>
        <w:r w:rsidR="004774D3">
          <w:rPr>
            <w:webHidden/>
          </w:rPr>
          <w:fldChar w:fldCharType="end"/>
        </w:r>
      </w:hyperlink>
    </w:p>
    <w:p w14:paraId="41D428BE" w14:textId="7385ABDB" w:rsidR="004774D3" w:rsidRDefault="00EF4C08">
      <w:pPr>
        <w:pStyle w:val="TableofFigures"/>
        <w:rPr>
          <w:rFonts w:asciiTheme="minorHAnsi" w:eastAsiaTheme="minorEastAsia" w:hAnsiTheme="minorHAnsi" w:cstheme="minorBidi"/>
          <w:bCs w:val="0"/>
          <w:szCs w:val="22"/>
          <w:lang w:val="en-AU" w:eastAsia="en-AU"/>
        </w:rPr>
      </w:pPr>
      <w:hyperlink w:anchor="_Toc491846850" w:history="1">
        <w:r w:rsidR="004774D3" w:rsidRPr="0040130D">
          <w:rPr>
            <w:rStyle w:val="Hyperlink"/>
          </w:rPr>
          <w:t xml:space="preserve">Figure 24 Eye on the reef </w:t>
        </w:r>
        <w:r w:rsidR="00E22E14">
          <w:rPr>
            <w:rStyle w:val="Hyperlink"/>
          </w:rPr>
          <w:t xml:space="preserve">bleaching </w:t>
        </w:r>
        <w:r w:rsidR="004774D3" w:rsidRPr="0040130D">
          <w:rPr>
            <w:rStyle w:val="Hyperlink"/>
          </w:rPr>
          <w:t>observations 2016</w:t>
        </w:r>
        <w:r w:rsidR="004774D3" w:rsidRPr="0040130D">
          <w:rPr>
            <w:rStyle w:val="Hyperlink"/>
            <w:lang w:val="en-AU"/>
          </w:rPr>
          <w:t>.</w:t>
        </w:r>
        <w:r w:rsidR="004774D3">
          <w:rPr>
            <w:webHidden/>
          </w:rPr>
          <w:tab/>
        </w:r>
        <w:r w:rsidR="004774D3">
          <w:rPr>
            <w:webHidden/>
          </w:rPr>
          <w:fldChar w:fldCharType="begin"/>
        </w:r>
        <w:r w:rsidR="004774D3">
          <w:rPr>
            <w:webHidden/>
          </w:rPr>
          <w:instrText xml:space="preserve"> PAGEREF _Toc491846850 \h </w:instrText>
        </w:r>
        <w:r w:rsidR="004774D3">
          <w:rPr>
            <w:webHidden/>
          </w:rPr>
        </w:r>
        <w:r w:rsidR="004774D3">
          <w:rPr>
            <w:webHidden/>
          </w:rPr>
          <w:fldChar w:fldCharType="separate"/>
        </w:r>
        <w:r w:rsidR="00D806F2">
          <w:rPr>
            <w:webHidden/>
          </w:rPr>
          <w:t>70</w:t>
        </w:r>
        <w:r w:rsidR="004774D3">
          <w:rPr>
            <w:webHidden/>
          </w:rPr>
          <w:fldChar w:fldCharType="end"/>
        </w:r>
      </w:hyperlink>
    </w:p>
    <w:p w14:paraId="032BD1BA" w14:textId="6A1EE84B" w:rsidR="004774D3" w:rsidRDefault="00EF4C08">
      <w:pPr>
        <w:pStyle w:val="TableofFigures"/>
        <w:rPr>
          <w:rFonts w:asciiTheme="minorHAnsi" w:eastAsiaTheme="minorEastAsia" w:hAnsiTheme="minorHAnsi" w:cstheme="minorBidi"/>
          <w:bCs w:val="0"/>
          <w:szCs w:val="22"/>
          <w:lang w:val="en-AU" w:eastAsia="en-AU"/>
        </w:rPr>
      </w:pPr>
      <w:hyperlink w:anchor="_Toc491846851" w:history="1">
        <w:r w:rsidR="004774D3" w:rsidRPr="0040130D">
          <w:rPr>
            <w:rStyle w:val="Hyperlink"/>
          </w:rPr>
          <w:t>Figure 25 Seasonally adjusted temperature anomalies for (sub)-regions..</w:t>
        </w:r>
        <w:r w:rsidR="004774D3">
          <w:rPr>
            <w:webHidden/>
          </w:rPr>
          <w:tab/>
        </w:r>
        <w:r w:rsidR="004774D3">
          <w:rPr>
            <w:webHidden/>
          </w:rPr>
          <w:fldChar w:fldCharType="begin"/>
        </w:r>
        <w:r w:rsidR="004774D3">
          <w:rPr>
            <w:webHidden/>
          </w:rPr>
          <w:instrText xml:space="preserve"> PAGEREF _Toc491846851 \h </w:instrText>
        </w:r>
        <w:r w:rsidR="004774D3">
          <w:rPr>
            <w:webHidden/>
          </w:rPr>
        </w:r>
        <w:r w:rsidR="004774D3">
          <w:rPr>
            <w:webHidden/>
          </w:rPr>
          <w:fldChar w:fldCharType="separate"/>
        </w:r>
        <w:r w:rsidR="00D806F2">
          <w:rPr>
            <w:webHidden/>
          </w:rPr>
          <w:t>72</w:t>
        </w:r>
        <w:r w:rsidR="004774D3">
          <w:rPr>
            <w:webHidden/>
          </w:rPr>
          <w:fldChar w:fldCharType="end"/>
        </w:r>
      </w:hyperlink>
    </w:p>
    <w:p w14:paraId="431971BC" w14:textId="3EC26947" w:rsidR="004774D3" w:rsidRDefault="00EF4C08">
      <w:pPr>
        <w:pStyle w:val="TableofFigures"/>
        <w:rPr>
          <w:rFonts w:asciiTheme="minorHAnsi" w:eastAsiaTheme="minorEastAsia" w:hAnsiTheme="minorHAnsi" w:cstheme="minorBidi"/>
          <w:bCs w:val="0"/>
          <w:szCs w:val="22"/>
          <w:lang w:val="en-AU" w:eastAsia="en-AU"/>
        </w:rPr>
      </w:pPr>
      <w:hyperlink w:anchor="_Toc491846852" w:history="1">
        <w:r w:rsidR="004774D3" w:rsidRPr="0040130D">
          <w:rPr>
            <w:rStyle w:val="Hyperlink"/>
          </w:rPr>
          <w:t>Figure 26 Brown macroalgae proportion relationships to environmental conditions</w:t>
        </w:r>
        <w:r w:rsidR="004774D3">
          <w:rPr>
            <w:webHidden/>
          </w:rPr>
          <w:tab/>
        </w:r>
        <w:r w:rsidR="004774D3">
          <w:rPr>
            <w:webHidden/>
          </w:rPr>
          <w:fldChar w:fldCharType="begin"/>
        </w:r>
        <w:r w:rsidR="004774D3">
          <w:rPr>
            <w:webHidden/>
          </w:rPr>
          <w:instrText xml:space="preserve"> PAGEREF _Toc491846852 \h </w:instrText>
        </w:r>
        <w:r w:rsidR="004774D3">
          <w:rPr>
            <w:webHidden/>
          </w:rPr>
        </w:r>
        <w:r w:rsidR="004774D3">
          <w:rPr>
            <w:webHidden/>
          </w:rPr>
          <w:fldChar w:fldCharType="separate"/>
        </w:r>
        <w:r w:rsidR="00D806F2">
          <w:rPr>
            <w:webHidden/>
          </w:rPr>
          <w:t>75</w:t>
        </w:r>
        <w:r w:rsidR="004774D3">
          <w:rPr>
            <w:webHidden/>
          </w:rPr>
          <w:fldChar w:fldCharType="end"/>
        </w:r>
      </w:hyperlink>
    </w:p>
    <w:p w14:paraId="422D16BC" w14:textId="434D8F13" w:rsidR="004774D3" w:rsidRDefault="00EF4C08">
      <w:pPr>
        <w:pStyle w:val="TableofFigures"/>
        <w:rPr>
          <w:rFonts w:asciiTheme="minorHAnsi" w:eastAsiaTheme="minorEastAsia" w:hAnsiTheme="minorHAnsi" w:cstheme="minorBidi"/>
          <w:bCs w:val="0"/>
          <w:szCs w:val="22"/>
          <w:lang w:val="en-AU" w:eastAsia="en-AU"/>
        </w:rPr>
      </w:pPr>
      <w:hyperlink w:anchor="_Toc491846853" w:history="1">
        <w:r w:rsidR="004774D3" w:rsidRPr="0040130D">
          <w:rPr>
            <w:rStyle w:val="Hyperlink"/>
          </w:rPr>
          <w:t>Figure 27 Distribution of environmental condition thresholds supportive of brown macroalgae.</w:t>
        </w:r>
        <w:r w:rsidR="004774D3">
          <w:rPr>
            <w:webHidden/>
          </w:rPr>
          <w:tab/>
        </w:r>
        <w:r w:rsidR="004774D3">
          <w:rPr>
            <w:webHidden/>
          </w:rPr>
          <w:fldChar w:fldCharType="begin"/>
        </w:r>
        <w:r w:rsidR="004774D3">
          <w:rPr>
            <w:webHidden/>
          </w:rPr>
          <w:instrText xml:space="preserve"> PAGEREF _Toc491846853 \h </w:instrText>
        </w:r>
        <w:r w:rsidR="004774D3">
          <w:rPr>
            <w:webHidden/>
          </w:rPr>
        </w:r>
        <w:r w:rsidR="004774D3">
          <w:rPr>
            <w:webHidden/>
          </w:rPr>
          <w:fldChar w:fldCharType="separate"/>
        </w:r>
        <w:r w:rsidR="00D806F2">
          <w:rPr>
            <w:webHidden/>
          </w:rPr>
          <w:t>76</w:t>
        </w:r>
        <w:r w:rsidR="004774D3">
          <w:rPr>
            <w:webHidden/>
          </w:rPr>
          <w:fldChar w:fldCharType="end"/>
        </w:r>
      </w:hyperlink>
    </w:p>
    <w:p w14:paraId="11EA8BB3" w14:textId="77777777" w:rsidR="00361331" w:rsidRPr="00F439FB" w:rsidRDefault="00044E50" w:rsidP="0026052F">
      <w:pPr>
        <w:ind w:right="284"/>
        <w:rPr>
          <w:rFonts w:cs="Arial"/>
          <w:bCs/>
          <w:color w:val="4F81BD" w:themeColor="accent1"/>
          <w:szCs w:val="22"/>
        </w:rPr>
      </w:pPr>
      <w:r w:rsidRPr="00F439FB">
        <w:rPr>
          <w:rFonts w:cs="Arial"/>
          <w:bCs/>
          <w:color w:val="4F81BD" w:themeColor="accent1"/>
          <w:szCs w:val="22"/>
        </w:rPr>
        <w:fldChar w:fldCharType="end"/>
      </w:r>
    </w:p>
    <w:p w14:paraId="60F9C7F7" w14:textId="41CD39DF" w:rsidR="004774D3" w:rsidRDefault="00044E50">
      <w:pPr>
        <w:pStyle w:val="TableofFigures"/>
        <w:rPr>
          <w:rFonts w:asciiTheme="minorHAnsi" w:eastAsiaTheme="minorEastAsia" w:hAnsiTheme="minorHAnsi" w:cstheme="minorBidi"/>
          <w:bCs w:val="0"/>
          <w:szCs w:val="22"/>
          <w:lang w:val="en-AU" w:eastAsia="en-AU"/>
        </w:rPr>
      </w:pPr>
      <w:r w:rsidRPr="00F439FB">
        <w:rPr>
          <w:color w:val="4F81BD" w:themeColor="accent1"/>
        </w:rPr>
        <w:fldChar w:fldCharType="begin"/>
      </w:r>
      <w:r w:rsidR="0026052F" w:rsidRPr="00F439FB">
        <w:rPr>
          <w:color w:val="4F81BD" w:themeColor="accent1"/>
        </w:rPr>
        <w:instrText xml:space="preserve"> TOC \h \z \c "Table" </w:instrText>
      </w:r>
      <w:r w:rsidRPr="00F439FB">
        <w:rPr>
          <w:color w:val="4F81BD" w:themeColor="accent1"/>
        </w:rPr>
        <w:fldChar w:fldCharType="separate"/>
      </w:r>
      <w:hyperlink w:anchor="_Toc491847020" w:history="1">
        <w:r w:rsidR="004774D3" w:rsidRPr="00E866EB">
          <w:rPr>
            <w:rStyle w:val="Hyperlink"/>
          </w:rPr>
          <w:t>Table 1 Sampling locations.</w:t>
        </w:r>
        <w:r w:rsidR="004774D3">
          <w:rPr>
            <w:webHidden/>
          </w:rPr>
          <w:tab/>
        </w:r>
        <w:r w:rsidR="004774D3">
          <w:rPr>
            <w:webHidden/>
          </w:rPr>
          <w:fldChar w:fldCharType="begin"/>
        </w:r>
        <w:r w:rsidR="004774D3">
          <w:rPr>
            <w:webHidden/>
          </w:rPr>
          <w:instrText xml:space="preserve"> PAGEREF _Toc491847020 \h </w:instrText>
        </w:r>
        <w:r w:rsidR="004774D3">
          <w:rPr>
            <w:webHidden/>
          </w:rPr>
        </w:r>
        <w:r w:rsidR="004774D3">
          <w:rPr>
            <w:webHidden/>
          </w:rPr>
          <w:fldChar w:fldCharType="separate"/>
        </w:r>
        <w:r w:rsidR="00D806F2">
          <w:rPr>
            <w:webHidden/>
          </w:rPr>
          <w:t>12</w:t>
        </w:r>
        <w:r w:rsidR="004774D3">
          <w:rPr>
            <w:webHidden/>
          </w:rPr>
          <w:fldChar w:fldCharType="end"/>
        </w:r>
      </w:hyperlink>
    </w:p>
    <w:p w14:paraId="69792A11" w14:textId="77777777" w:rsidR="004774D3" w:rsidRDefault="00EF4C08">
      <w:pPr>
        <w:pStyle w:val="TableofFigures"/>
        <w:rPr>
          <w:rFonts w:asciiTheme="minorHAnsi" w:eastAsiaTheme="minorEastAsia" w:hAnsiTheme="minorHAnsi" w:cstheme="minorBidi"/>
          <w:bCs w:val="0"/>
          <w:szCs w:val="22"/>
          <w:lang w:val="en-AU" w:eastAsia="en-AU"/>
        </w:rPr>
      </w:pPr>
      <w:hyperlink w:anchor="_Toc491847021" w:history="1">
        <w:r w:rsidR="004774D3" w:rsidRPr="00E866EB">
          <w:rPr>
            <w:rStyle w:val="Hyperlink"/>
          </w:rPr>
          <w:t>Table 2 Summary of climate and environment data included in this report</w:t>
        </w:r>
        <w:r w:rsidR="004774D3">
          <w:rPr>
            <w:webHidden/>
          </w:rPr>
          <w:tab/>
        </w:r>
        <w:r w:rsidR="004774D3">
          <w:rPr>
            <w:webHidden/>
          </w:rPr>
          <w:fldChar w:fldCharType="begin"/>
        </w:r>
        <w:r w:rsidR="004774D3">
          <w:rPr>
            <w:webHidden/>
          </w:rPr>
          <w:instrText xml:space="preserve"> PAGEREF _Toc491847021 \h </w:instrText>
        </w:r>
        <w:r w:rsidR="004774D3">
          <w:rPr>
            <w:webHidden/>
          </w:rPr>
        </w:r>
        <w:r w:rsidR="004774D3">
          <w:rPr>
            <w:webHidden/>
          </w:rPr>
          <w:fldChar w:fldCharType="separate"/>
        </w:r>
        <w:r w:rsidR="00D806F2">
          <w:rPr>
            <w:webHidden/>
          </w:rPr>
          <w:t>16</w:t>
        </w:r>
        <w:r w:rsidR="004774D3">
          <w:rPr>
            <w:webHidden/>
          </w:rPr>
          <w:fldChar w:fldCharType="end"/>
        </w:r>
      </w:hyperlink>
    </w:p>
    <w:p w14:paraId="684FB81F" w14:textId="77777777" w:rsidR="004774D3" w:rsidRDefault="00EF4C08">
      <w:pPr>
        <w:pStyle w:val="TableofFigures"/>
        <w:rPr>
          <w:rFonts w:asciiTheme="minorHAnsi" w:eastAsiaTheme="minorEastAsia" w:hAnsiTheme="minorHAnsi" w:cstheme="minorBidi"/>
          <w:bCs w:val="0"/>
          <w:szCs w:val="22"/>
          <w:lang w:val="en-AU" w:eastAsia="en-AU"/>
        </w:rPr>
      </w:pPr>
      <w:hyperlink w:anchor="_Toc491847022" w:history="1">
        <w:r w:rsidR="004774D3" w:rsidRPr="00E866EB">
          <w:rPr>
            <w:rStyle w:val="Hyperlink"/>
          </w:rPr>
          <w:t>Table 3 Categorisation of disturbances</w:t>
        </w:r>
        <w:r w:rsidR="004774D3">
          <w:rPr>
            <w:webHidden/>
          </w:rPr>
          <w:tab/>
        </w:r>
        <w:r w:rsidR="004774D3">
          <w:rPr>
            <w:webHidden/>
          </w:rPr>
          <w:fldChar w:fldCharType="begin"/>
        </w:r>
        <w:r w:rsidR="004774D3">
          <w:rPr>
            <w:webHidden/>
          </w:rPr>
          <w:instrText xml:space="preserve"> PAGEREF _Toc491847022 \h </w:instrText>
        </w:r>
        <w:r w:rsidR="004774D3">
          <w:rPr>
            <w:webHidden/>
          </w:rPr>
        </w:r>
        <w:r w:rsidR="004774D3">
          <w:rPr>
            <w:webHidden/>
          </w:rPr>
          <w:fldChar w:fldCharType="separate"/>
        </w:r>
        <w:r w:rsidR="00D806F2">
          <w:rPr>
            <w:webHidden/>
          </w:rPr>
          <w:t>17</w:t>
        </w:r>
        <w:r w:rsidR="004774D3">
          <w:rPr>
            <w:webHidden/>
          </w:rPr>
          <w:fldChar w:fldCharType="end"/>
        </w:r>
      </w:hyperlink>
    </w:p>
    <w:p w14:paraId="55577752" w14:textId="77777777" w:rsidR="004774D3" w:rsidRDefault="00EF4C08">
      <w:pPr>
        <w:pStyle w:val="TableofFigures"/>
        <w:rPr>
          <w:rFonts w:asciiTheme="minorHAnsi" w:eastAsiaTheme="minorEastAsia" w:hAnsiTheme="minorHAnsi" w:cstheme="minorBidi"/>
          <w:bCs w:val="0"/>
          <w:szCs w:val="22"/>
          <w:lang w:val="en-AU" w:eastAsia="en-AU"/>
        </w:rPr>
      </w:pPr>
      <w:hyperlink w:anchor="_Toc491847023" w:history="1">
        <w:r w:rsidR="004774D3" w:rsidRPr="00E866EB">
          <w:rPr>
            <w:rStyle w:val="Hyperlink"/>
          </w:rPr>
          <w:t>Table 4 Survey methods used by the MMP and LTMP to describe coral communities</w:t>
        </w:r>
        <w:r w:rsidR="004774D3">
          <w:rPr>
            <w:webHidden/>
          </w:rPr>
          <w:tab/>
        </w:r>
        <w:r w:rsidR="004774D3">
          <w:rPr>
            <w:webHidden/>
          </w:rPr>
          <w:fldChar w:fldCharType="begin"/>
        </w:r>
        <w:r w:rsidR="004774D3">
          <w:rPr>
            <w:webHidden/>
          </w:rPr>
          <w:instrText xml:space="preserve"> PAGEREF _Toc491847023 \h </w:instrText>
        </w:r>
        <w:r w:rsidR="004774D3">
          <w:rPr>
            <w:webHidden/>
          </w:rPr>
        </w:r>
        <w:r w:rsidR="004774D3">
          <w:rPr>
            <w:webHidden/>
          </w:rPr>
          <w:fldChar w:fldCharType="separate"/>
        </w:r>
        <w:r w:rsidR="00D806F2">
          <w:rPr>
            <w:webHidden/>
          </w:rPr>
          <w:t>18</w:t>
        </w:r>
        <w:r w:rsidR="004774D3">
          <w:rPr>
            <w:webHidden/>
          </w:rPr>
          <w:fldChar w:fldCharType="end"/>
        </w:r>
      </w:hyperlink>
    </w:p>
    <w:p w14:paraId="17895A83" w14:textId="77777777" w:rsidR="004774D3" w:rsidRDefault="00EF4C08">
      <w:pPr>
        <w:pStyle w:val="TableofFigures"/>
        <w:rPr>
          <w:rFonts w:asciiTheme="minorHAnsi" w:eastAsiaTheme="minorEastAsia" w:hAnsiTheme="minorHAnsi" w:cstheme="minorBidi"/>
          <w:bCs w:val="0"/>
          <w:szCs w:val="22"/>
          <w:lang w:val="en-AU" w:eastAsia="en-AU"/>
        </w:rPr>
      </w:pPr>
      <w:hyperlink w:anchor="_Toc491847024" w:history="1">
        <w:r w:rsidR="004774D3" w:rsidRPr="00E866EB">
          <w:rPr>
            <w:rStyle w:val="Hyperlink"/>
          </w:rPr>
          <w:t>Table 5 Presentation of community condition</w:t>
        </w:r>
        <w:r w:rsidR="004774D3">
          <w:rPr>
            <w:webHidden/>
          </w:rPr>
          <w:tab/>
        </w:r>
        <w:r w:rsidR="004774D3">
          <w:rPr>
            <w:webHidden/>
          </w:rPr>
          <w:fldChar w:fldCharType="begin"/>
        </w:r>
        <w:r w:rsidR="004774D3">
          <w:rPr>
            <w:webHidden/>
          </w:rPr>
          <w:instrText xml:space="preserve"> PAGEREF _Toc491847024 \h </w:instrText>
        </w:r>
        <w:r w:rsidR="004774D3">
          <w:rPr>
            <w:webHidden/>
          </w:rPr>
        </w:r>
        <w:r w:rsidR="004774D3">
          <w:rPr>
            <w:webHidden/>
          </w:rPr>
          <w:fldChar w:fldCharType="separate"/>
        </w:r>
        <w:r w:rsidR="00D806F2">
          <w:rPr>
            <w:webHidden/>
          </w:rPr>
          <w:t>19</w:t>
        </w:r>
        <w:r w:rsidR="004774D3">
          <w:rPr>
            <w:webHidden/>
          </w:rPr>
          <w:fldChar w:fldCharType="end"/>
        </w:r>
      </w:hyperlink>
    </w:p>
    <w:p w14:paraId="0B61FF47" w14:textId="1176B448" w:rsidR="004774D3" w:rsidRDefault="00EF4C08">
      <w:pPr>
        <w:pStyle w:val="TableofFigures"/>
        <w:rPr>
          <w:rFonts w:asciiTheme="minorHAnsi" w:eastAsiaTheme="minorEastAsia" w:hAnsiTheme="minorHAnsi" w:cstheme="minorBidi"/>
          <w:bCs w:val="0"/>
          <w:szCs w:val="22"/>
          <w:lang w:val="en-AU" w:eastAsia="en-AU"/>
        </w:rPr>
      </w:pPr>
      <w:hyperlink w:anchor="_Toc491847025" w:history="1">
        <w:r w:rsidR="004774D3" w:rsidRPr="00E866EB">
          <w:rPr>
            <w:rStyle w:val="Hyperlink"/>
          </w:rPr>
          <w:t>Table 6 Threshold values for the assessment of coral reef condition and resilience indicators.</w:t>
        </w:r>
        <w:r w:rsidR="004774D3">
          <w:rPr>
            <w:webHidden/>
          </w:rPr>
          <w:tab/>
        </w:r>
        <w:r w:rsidR="004774D3">
          <w:rPr>
            <w:webHidden/>
          </w:rPr>
          <w:fldChar w:fldCharType="begin"/>
        </w:r>
        <w:r w:rsidR="004774D3">
          <w:rPr>
            <w:webHidden/>
          </w:rPr>
          <w:instrText xml:space="preserve"> PAGEREF _Toc491847025 \h </w:instrText>
        </w:r>
        <w:r w:rsidR="004774D3">
          <w:rPr>
            <w:webHidden/>
          </w:rPr>
        </w:r>
        <w:r w:rsidR="004774D3">
          <w:rPr>
            <w:webHidden/>
          </w:rPr>
          <w:fldChar w:fldCharType="separate"/>
        </w:r>
        <w:r w:rsidR="00D806F2">
          <w:rPr>
            <w:webHidden/>
          </w:rPr>
          <w:t>28</w:t>
        </w:r>
        <w:r w:rsidR="004774D3">
          <w:rPr>
            <w:webHidden/>
          </w:rPr>
          <w:fldChar w:fldCharType="end"/>
        </w:r>
      </w:hyperlink>
    </w:p>
    <w:p w14:paraId="498AF64C" w14:textId="11EEE29C" w:rsidR="004774D3" w:rsidRDefault="00EF4C08">
      <w:pPr>
        <w:pStyle w:val="TableofFigures"/>
        <w:rPr>
          <w:rFonts w:asciiTheme="minorHAnsi" w:eastAsiaTheme="minorEastAsia" w:hAnsiTheme="minorHAnsi" w:cstheme="minorBidi"/>
          <w:bCs w:val="0"/>
          <w:szCs w:val="22"/>
          <w:lang w:val="en-AU" w:eastAsia="en-AU"/>
        </w:rPr>
      </w:pPr>
      <w:hyperlink w:anchor="_Toc491847026" w:history="1">
        <w:r w:rsidR="004774D3" w:rsidRPr="00E866EB">
          <w:rPr>
            <w:rStyle w:val="Hyperlink"/>
          </w:rPr>
          <w:t>Table 7 Regional differences in index and metric scores</w:t>
        </w:r>
        <w:r w:rsidR="004774D3">
          <w:rPr>
            <w:rStyle w:val="Hyperlink"/>
          </w:rPr>
          <w:t>.</w:t>
        </w:r>
        <w:r w:rsidR="004774D3">
          <w:rPr>
            <w:webHidden/>
          </w:rPr>
          <w:tab/>
        </w:r>
        <w:r w:rsidR="004774D3">
          <w:rPr>
            <w:webHidden/>
          </w:rPr>
          <w:fldChar w:fldCharType="begin"/>
        </w:r>
        <w:r w:rsidR="004774D3">
          <w:rPr>
            <w:webHidden/>
          </w:rPr>
          <w:instrText xml:space="preserve"> PAGEREF _Toc491847026 \h </w:instrText>
        </w:r>
        <w:r w:rsidR="004774D3">
          <w:rPr>
            <w:webHidden/>
          </w:rPr>
        </w:r>
        <w:r w:rsidR="004774D3">
          <w:rPr>
            <w:webHidden/>
          </w:rPr>
          <w:fldChar w:fldCharType="separate"/>
        </w:r>
        <w:r w:rsidR="00D806F2">
          <w:rPr>
            <w:webHidden/>
          </w:rPr>
          <w:t>29</w:t>
        </w:r>
        <w:r w:rsidR="004774D3">
          <w:rPr>
            <w:webHidden/>
          </w:rPr>
          <w:fldChar w:fldCharType="end"/>
        </w:r>
      </w:hyperlink>
    </w:p>
    <w:p w14:paraId="7317A197" w14:textId="147833D8" w:rsidR="004774D3" w:rsidRDefault="00EF4C08">
      <w:pPr>
        <w:pStyle w:val="TableofFigures"/>
        <w:rPr>
          <w:rFonts w:asciiTheme="minorHAnsi" w:eastAsiaTheme="minorEastAsia" w:hAnsiTheme="minorHAnsi" w:cstheme="minorBidi"/>
          <w:bCs w:val="0"/>
          <w:szCs w:val="22"/>
          <w:lang w:val="en-AU" w:eastAsia="en-AU"/>
        </w:rPr>
      </w:pPr>
      <w:hyperlink w:anchor="_Toc491847027" w:history="1">
        <w:r w:rsidR="004774D3" w:rsidRPr="00E866EB">
          <w:rPr>
            <w:rStyle w:val="Hyperlink"/>
          </w:rPr>
          <w:t>Table 8 Influence of depth on index and metric scores</w:t>
        </w:r>
        <w:r w:rsidR="004774D3" w:rsidRPr="00E866EB">
          <w:rPr>
            <w:rStyle w:val="Hyperlink"/>
            <w:lang w:val="en-US"/>
          </w:rPr>
          <w:t>.</w:t>
        </w:r>
        <w:r w:rsidR="004774D3">
          <w:rPr>
            <w:webHidden/>
          </w:rPr>
          <w:tab/>
        </w:r>
        <w:r w:rsidR="004774D3">
          <w:rPr>
            <w:webHidden/>
          </w:rPr>
          <w:fldChar w:fldCharType="begin"/>
        </w:r>
        <w:r w:rsidR="004774D3">
          <w:rPr>
            <w:webHidden/>
          </w:rPr>
          <w:instrText xml:space="preserve"> PAGEREF _Toc491847027 \h </w:instrText>
        </w:r>
        <w:r w:rsidR="004774D3">
          <w:rPr>
            <w:webHidden/>
          </w:rPr>
        </w:r>
        <w:r w:rsidR="004774D3">
          <w:rPr>
            <w:webHidden/>
          </w:rPr>
          <w:fldChar w:fldCharType="separate"/>
        </w:r>
        <w:r w:rsidR="00D806F2">
          <w:rPr>
            <w:webHidden/>
          </w:rPr>
          <w:t>30</w:t>
        </w:r>
        <w:r w:rsidR="004774D3">
          <w:rPr>
            <w:webHidden/>
          </w:rPr>
          <w:fldChar w:fldCharType="end"/>
        </w:r>
      </w:hyperlink>
    </w:p>
    <w:p w14:paraId="6C9F11D8" w14:textId="0B844667" w:rsidR="004774D3" w:rsidRDefault="00EF4C08">
      <w:pPr>
        <w:pStyle w:val="TableofFigures"/>
        <w:rPr>
          <w:rFonts w:asciiTheme="minorHAnsi" w:eastAsiaTheme="minorEastAsia" w:hAnsiTheme="minorHAnsi" w:cstheme="minorBidi"/>
          <w:bCs w:val="0"/>
          <w:szCs w:val="22"/>
          <w:lang w:val="en-AU" w:eastAsia="en-AU"/>
        </w:rPr>
      </w:pPr>
      <w:hyperlink w:anchor="_Toc491847028" w:history="1">
        <w:r w:rsidR="004774D3" w:rsidRPr="00E866EB">
          <w:rPr>
            <w:rStyle w:val="Hyperlink"/>
          </w:rPr>
          <w:t xml:space="preserve">Table 9 Relationship between changes in index scores and </w:t>
        </w:r>
        <w:r w:rsidR="0042623E">
          <w:rPr>
            <w:rStyle w:val="Hyperlink"/>
          </w:rPr>
          <w:t>run-off</w:t>
        </w:r>
        <w:r w:rsidR="004774D3" w:rsidRPr="00E866EB">
          <w:rPr>
            <w:rStyle w:val="Hyperlink"/>
          </w:rPr>
          <w:t>.</w:t>
        </w:r>
        <w:r w:rsidR="004774D3">
          <w:rPr>
            <w:webHidden/>
          </w:rPr>
          <w:tab/>
        </w:r>
        <w:r w:rsidR="004774D3">
          <w:rPr>
            <w:webHidden/>
          </w:rPr>
          <w:fldChar w:fldCharType="begin"/>
        </w:r>
        <w:r w:rsidR="004774D3">
          <w:rPr>
            <w:webHidden/>
          </w:rPr>
          <w:instrText xml:space="preserve"> PAGEREF _Toc491847028 \h </w:instrText>
        </w:r>
        <w:r w:rsidR="004774D3">
          <w:rPr>
            <w:webHidden/>
          </w:rPr>
        </w:r>
        <w:r w:rsidR="004774D3">
          <w:rPr>
            <w:webHidden/>
          </w:rPr>
          <w:fldChar w:fldCharType="separate"/>
        </w:r>
        <w:r w:rsidR="00D806F2">
          <w:rPr>
            <w:webHidden/>
          </w:rPr>
          <w:t>34</w:t>
        </w:r>
        <w:r w:rsidR="004774D3">
          <w:rPr>
            <w:webHidden/>
          </w:rPr>
          <w:fldChar w:fldCharType="end"/>
        </w:r>
      </w:hyperlink>
    </w:p>
    <w:p w14:paraId="2D7C6C34" w14:textId="6C8DA1C0" w:rsidR="004774D3" w:rsidRDefault="00EF4C08">
      <w:pPr>
        <w:pStyle w:val="TableofFigures"/>
        <w:rPr>
          <w:rFonts w:asciiTheme="minorHAnsi" w:eastAsiaTheme="minorEastAsia" w:hAnsiTheme="minorHAnsi" w:cstheme="minorBidi"/>
          <w:bCs w:val="0"/>
          <w:szCs w:val="22"/>
          <w:lang w:val="en-AU" w:eastAsia="en-AU"/>
        </w:rPr>
      </w:pPr>
      <w:hyperlink w:anchor="_Toc491847029" w:history="1">
        <w:r w:rsidR="004774D3" w:rsidRPr="00E866EB">
          <w:rPr>
            <w:rStyle w:val="Hyperlink"/>
          </w:rPr>
          <w:t xml:space="preserve">Table 10 </w:t>
        </w:r>
        <w:r w:rsidR="00E22E14">
          <w:rPr>
            <w:rStyle w:val="Hyperlink"/>
          </w:rPr>
          <w:t xml:space="preserve">Changes in </w:t>
        </w:r>
        <w:r w:rsidR="004774D3" w:rsidRPr="00E866EB">
          <w:rPr>
            <w:rStyle w:val="Hyperlink"/>
          </w:rPr>
          <w:t>index and metric scores in the Barren Daintree sub-region.</w:t>
        </w:r>
        <w:r w:rsidR="004774D3">
          <w:rPr>
            <w:webHidden/>
          </w:rPr>
          <w:tab/>
        </w:r>
        <w:r w:rsidR="004774D3">
          <w:rPr>
            <w:webHidden/>
          </w:rPr>
          <w:fldChar w:fldCharType="begin"/>
        </w:r>
        <w:r w:rsidR="004774D3">
          <w:rPr>
            <w:webHidden/>
          </w:rPr>
          <w:instrText xml:space="preserve"> PAGEREF _Toc491847029 \h </w:instrText>
        </w:r>
        <w:r w:rsidR="004774D3">
          <w:rPr>
            <w:webHidden/>
          </w:rPr>
        </w:r>
        <w:r w:rsidR="004774D3">
          <w:rPr>
            <w:webHidden/>
          </w:rPr>
          <w:fldChar w:fldCharType="separate"/>
        </w:r>
        <w:r w:rsidR="00D806F2">
          <w:rPr>
            <w:webHidden/>
          </w:rPr>
          <w:t>35</w:t>
        </w:r>
        <w:r w:rsidR="004774D3">
          <w:rPr>
            <w:webHidden/>
          </w:rPr>
          <w:fldChar w:fldCharType="end"/>
        </w:r>
      </w:hyperlink>
    </w:p>
    <w:p w14:paraId="194FCD8D" w14:textId="108335C5" w:rsidR="004774D3" w:rsidRDefault="00EF4C08">
      <w:pPr>
        <w:pStyle w:val="TableofFigures"/>
        <w:rPr>
          <w:rFonts w:asciiTheme="minorHAnsi" w:eastAsiaTheme="minorEastAsia" w:hAnsiTheme="minorHAnsi" w:cstheme="minorBidi"/>
          <w:bCs w:val="0"/>
          <w:szCs w:val="22"/>
          <w:lang w:val="en-AU" w:eastAsia="en-AU"/>
        </w:rPr>
      </w:pPr>
      <w:hyperlink w:anchor="_Toc491847030" w:history="1">
        <w:r w:rsidR="004774D3" w:rsidRPr="00E866EB">
          <w:rPr>
            <w:rStyle w:val="Hyperlink"/>
          </w:rPr>
          <w:t xml:space="preserve">Table 11 </w:t>
        </w:r>
        <w:r w:rsidR="00E22E14">
          <w:rPr>
            <w:rStyle w:val="Hyperlink"/>
          </w:rPr>
          <w:t>Changes in</w:t>
        </w:r>
        <w:r w:rsidR="004774D3" w:rsidRPr="00E866EB">
          <w:rPr>
            <w:rStyle w:val="Hyperlink"/>
          </w:rPr>
          <w:t xml:space="preserve"> index and metric scores in the Johnstone Russell-Mulgrave sub-region.</w:t>
        </w:r>
        <w:r w:rsidR="004774D3">
          <w:rPr>
            <w:webHidden/>
          </w:rPr>
          <w:tab/>
        </w:r>
        <w:r w:rsidR="004774D3">
          <w:rPr>
            <w:webHidden/>
          </w:rPr>
          <w:fldChar w:fldCharType="begin"/>
        </w:r>
        <w:r w:rsidR="004774D3">
          <w:rPr>
            <w:webHidden/>
          </w:rPr>
          <w:instrText xml:space="preserve"> PAGEREF _Toc491847030 \h </w:instrText>
        </w:r>
        <w:r w:rsidR="004774D3">
          <w:rPr>
            <w:webHidden/>
          </w:rPr>
        </w:r>
        <w:r w:rsidR="004774D3">
          <w:rPr>
            <w:webHidden/>
          </w:rPr>
          <w:fldChar w:fldCharType="separate"/>
        </w:r>
        <w:r w:rsidR="00D806F2">
          <w:rPr>
            <w:webHidden/>
          </w:rPr>
          <w:t>39</w:t>
        </w:r>
        <w:r w:rsidR="004774D3">
          <w:rPr>
            <w:webHidden/>
          </w:rPr>
          <w:fldChar w:fldCharType="end"/>
        </w:r>
      </w:hyperlink>
    </w:p>
    <w:p w14:paraId="258D58B7" w14:textId="14B27327" w:rsidR="004774D3" w:rsidRDefault="00EF4C08">
      <w:pPr>
        <w:pStyle w:val="TableofFigures"/>
        <w:rPr>
          <w:rFonts w:asciiTheme="minorHAnsi" w:eastAsiaTheme="minorEastAsia" w:hAnsiTheme="minorHAnsi" w:cstheme="minorBidi"/>
          <w:bCs w:val="0"/>
          <w:szCs w:val="22"/>
          <w:lang w:val="en-AU" w:eastAsia="en-AU"/>
        </w:rPr>
      </w:pPr>
      <w:hyperlink w:anchor="_Toc491847031" w:history="1">
        <w:r w:rsidR="004774D3" w:rsidRPr="00E866EB">
          <w:rPr>
            <w:rStyle w:val="Hyperlink"/>
          </w:rPr>
          <w:t xml:space="preserve">Table 12 </w:t>
        </w:r>
        <w:r w:rsidR="00E22E14">
          <w:rPr>
            <w:rStyle w:val="Hyperlink"/>
          </w:rPr>
          <w:t>Changes in</w:t>
        </w:r>
        <w:r w:rsidR="004774D3" w:rsidRPr="00E866EB">
          <w:rPr>
            <w:rStyle w:val="Hyperlink"/>
          </w:rPr>
          <w:t xml:space="preserve"> index and metric scores in the Herbert Tully sub-region..</w:t>
        </w:r>
        <w:r w:rsidR="004774D3">
          <w:rPr>
            <w:webHidden/>
          </w:rPr>
          <w:tab/>
        </w:r>
        <w:r w:rsidR="004774D3">
          <w:rPr>
            <w:webHidden/>
          </w:rPr>
          <w:fldChar w:fldCharType="begin"/>
        </w:r>
        <w:r w:rsidR="004774D3">
          <w:rPr>
            <w:webHidden/>
          </w:rPr>
          <w:instrText xml:space="preserve"> PAGEREF _Toc491847031 \h </w:instrText>
        </w:r>
        <w:r w:rsidR="004774D3">
          <w:rPr>
            <w:webHidden/>
          </w:rPr>
        </w:r>
        <w:r w:rsidR="004774D3">
          <w:rPr>
            <w:webHidden/>
          </w:rPr>
          <w:fldChar w:fldCharType="separate"/>
        </w:r>
        <w:r w:rsidR="00D806F2">
          <w:rPr>
            <w:webHidden/>
          </w:rPr>
          <w:t>43</w:t>
        </w:r>
        <w:r w:rsidR="004774D3">
          <w:rPr>
            <w:webHidden/>
          </w:rPr>
          <w:fldChar w:fldCharType="end"/>
        </w:r>
      </w:hyperlink>
    </w:p>
    <w:p w14:paraId="3A912AB0" w14:textId="1CF85592" w:rsidR="004774D3" w:rsidRDefault="00EF4C08">
      <w:pPr>
        <w:pStyle w:val="TableofFigures"/>
        <w:rPr>
          <w:rFonts w:asciiTheme="minorHAnsi" w:eastAsiaTheme="minorEastAsia" w:hAnsiTheme="minorHAnsi" w:cstheme="minorBidi"/>
          <w:bCs w:val="0"/>
          <w:szCs w:val="22"/>
          <w:lang w:val="en-AU" w:eastAsia="en-AU"/>
        </w:rPr>
      </w:pPr>
      <w:hyperlink w:anchor="_Toc491847032" w:history="1">
        <w:r w:rsidR="004774D3" w:rsidRPr="00E866EB">
          <w:rPr>
            <w:rStyle w:val="Hyperlink"/>
          </w:rPr>
          <w:t xml:space="preserve">Table 13 </w:t>
        </w:r>
        <w:r w:rsidR="00E22E14">
          <w:rPr>
            <w:rStyle w:val="Hyperlink"/>
          </w:rPr>
          <w:t xml:space="preserve">Changes in index </w:t>
        </w:r>
        <w:r w:rsidR="004774D3" w:rsidRPr="00E866EB">
          <w:rPr>
            <w:rStyle w:val="Hyperlink"/>
          </w:rPr>
          <w:t>and metric scores in the Burdekin Region.</w:t>
        </w:r>
        <w:r w:rsidR="004774D3">
          <w:rPr>
            <w:webHidden/>
          </w:rPr>
          <w:tab/>
        </w:r>
        <w:r w:rsidR="004774D3">
          <w:rPr>
            <w:webHidden/>
          </w:rPr>
          <w:fldChar w:fldCharType="begin"/>
        </w:r>
        <w:r w:rsidR="004774D3">
          <w:rPr>
            <w:webHidden/>
          </w:rPr>
          <w:instrText xml:space="preserve"> PAGEREF _Toc491847032 \h </w:instrText>
        </w:r>
        <w:r w:rsidR="004774D3">
          <w:rPr>
            <w:webHidden/>
          </w:rPr>
        </w:r>
        <w:r w:rsidR="004774D3">
          <w:rPr>
            <w:webHidden/>
          </w:rPr>
          <w:fldChar w:fldCharType="separate"/>
        </w:r>
        <w:r w:rsidR="00D806F2">
          <w:rPr>
            <w:webHidden/>
          </w:rPr>
          <w:t>46</w:t>
        </w:r>
        <w:r w:rsidR="004774D3">
          <w:rPr>
            <w:webHidden/>
          </w:rPr>
          <w:fldChar w:fldCharType="end"/>
        </w:r>
      </w:hyperlink>
    </w:p>
    <w:p w14:paraId="6E1F8357" w14:textId="7DF77091" w:rsidR="004774D3" w:rsidRDefault="00EF4C08">
      <w:pPr>
        <w:pStyle w:val="TableofFigures"/>
        <w:rPr>
          <w:rFonts w:asciiTheme="minorHAnsi" w:eastAsiaTheme="minorEastAsia" w:hAnsiTheme="minorHAnsi" w:cstheme="minorBidi"/>
          <w:bCs w:val="0"/>
          <w:szCs w:val="22"/>
          <w:lang w:val="en-AU" w:eastAsia="en-AU"/>
        </w:rPr>
      </w:pPr>
      <w:hyperlink w:anchor="_Toc491847033" w:history="1">
        <w:r w:rsidR="004774D3" w:rsidRPr="00E866EB">
          <w:rPr>
            <w:rStyle w:val="Hyperlink"/>
          </w:rPr>
          <w:t xml:space="preserve">Table 14 </w:t>
        </w:r>
        <w:r w:rsidR="00E22E14">
          <w:rPr>
            <w:rStyle w:val="Hyperlink"/>
          </w:rPr>
          <w:t xml:space="preserve">Changes in </w:t>
        </w:r>
        <w:r w:rsidR="004774D3" w:rsidRPr="00E866EB">
          <w:rPr>
            <w:rStyle w:val="Hyperlink"/>
          </w:rPr>
          <w:t>index and metric scores in the Mackay Whitsunday Region.</w:t>
        </w:r>
        <w:r w:rsidR="004774D3">
          <w:rPr>
            <w:webHidden/>
          </w:rPr>
          <w:tab/>
        </w:r>
        <w:r w:rsidR="004774D3">
          <w:rPr>
            <w:webHidden/>
          </w:rPr>
          <w:fldChar w:fldCharType="begin"/>
        </w:r>
        <w:r w:rsidR="004774D3">
          <w:rPr>
            <w:webHidden/>
          </w:rPr>
          <w:instrText xml:space="preserve"> PAGEREF _Toc491847033 \h </w:instrText>
        </w:r>
        <w:r w:rsidR="004774D3">
          <w:rPr>
            <w:webHidden/>
          </w:rPr>
        </w:r>
        <w:r w:rsidR="004774D3">
          <w:rPr>
            <w:webHidden/>
          </w:rPr>
          <w:fldChar w:fldCharType="separate"/>
        </w:r>
        <w:r w:rsidR="00D806F2">
          <w:rPr>
            <w:webHidden/>
          </w:rPr>
          <w:t>50</w:t>
        </w:r>
        <w:r w:rsidR="004774D3">
          <w:rPr>
            <w:webHidden/>
          </w:rPr>
          <w:fldChar w:fldCharType="end"/>
        </w:r>
      </w:hyperlink>
    </w:p>
    <w:p w14:paraId="49FEA5E7" w14:textId="18A6632A" w:rsidR="004774D3" w:rsidRDefault="00EF4C08">
      <w:pPr>
        <w:pStyle w:val="TableofFigures"/>
        <w:rPr>
          <w:rFonts w:asciiTheme="minorHAnsi" w:eastAsiaTheme="minorEastAsia" w:hAnsiTheme="minorHAnsi" w:cstheme="minorBidi"/>
          <w:bCs w:val="0"/>
          <w:szCs w:val="22"/>
          <w:lang w:val="en-AU" w:eastAsia="en-AU"/>
        </w:rPr>
      </w:pPr>
      <w:hyperlink w:anchor="_Toc491847034" w:history="1">
        <w:r w:rsidR="004774D3" w:rsidRPr="00E866EB">
          <w:rPr>
            <w:rStyle w:val="Hyperlink"/>
          </w:rPr>
          <w:t xml:space="preserve">Table 15 </w:t>
        </w:r>
        <w:r w:rsidR="00E22E14">
          <w:rPr>
            <w:rStyle w:val="Hyperlink"/>
          </w:rPr>
          <w:t xml:space="preserve">Changes in </w:t>
        </w:r>
        <w:r w:rsidR="004774D3" w:rsidRPr="00E866EB">
          <w:rPr>
            <w:rStyle w:val="Hyperlink"/>
          </w:rPr>
          <w:t>index and metric s</w:t>
        </w:r>
        <w:r w:rsidR="006D1A71">
          <w:rPr>
            <w:rStyle w:val="Hyperlink"/>
          </w:rPr>
          <w:t>cores in the Fitzroy Region.</w:t>
        </w:r>
        <w:r w:rsidR="004774D3">
          <w:rPr>
            <w:webHidden/>
          </w:rPr>
          <w:tab/>
        </w:r>
        <w:r w:rsidR="004774D3">
          <w:rPr>
            <w:webHidden/>
          </w:rPr>
          <w:fldChar w:fldCharType="begin"/>
        </w:r>
        <w:r w:rsidR="004774D3">
          <w:rPr>
            <w:webHidden/>
          </w:rPr>
          <w:instrText xml:space="preserve"> PAGEREF _Toc491847034 \h </w:instrText>
        </w:r>
        <w:r w:rsidR="004774D3">
          <w:rPr>
            <w:webHidden/>
          </w:rPr>
        </w:r>
        <w:r w:rsidR="004774D3">
          <w:rPr>
            <w:webHidden/>
          </w:rPr>
          <w:fldChar w:fldCharType="separate"/>
        </w:r>
        <w:r w:rsidR="00D806F2">
          <w:rPr>
            <w:webHidden/>
          </w:rPr>
          <w:t>54</w:t>
        </w:r>
        <w:r w:rsidR="004774D3">
          <w:rPr>
            <w:webHidden/>
          </w:rPr>
          <w:fldChar w:fldCharType="end"/>
        </w:r>
      </w:hyperlink>
    </w:p>
    <w:p w14:paraId="492F6E27" w14:textId="4236F8BB" w:rsidR="004774D3" w:rsidRDefault="00EF4C08">
      <w:pPr>
        <w:pStyle w:val="TableofFigures"/>
        <w:rPr>
          <w:rFonts w:asciiTheme="minorHAnsi" w:eastAsiaTheme="minorEastAsia" w:hAnsiTheme="minorHAnsi" w:cstheme="minorBidi"/>
          <w:bCs w:val="0"/>
          <w:szCs w:val="22"/>
          <w:lang w:val="en-AU" w:eastAsia="en-AU"/>
        </w:rPr>
      </w:pPr>
      <w:hyperlink w:anchor="_Toc491847035" w:history="1">
        <w:r w:rsidR="004774D3" w:rsidRPr="00E866EB">
          <w:rPr>
            <w:rStyle w:val="Hyperlink"/>
          </w:rPr>
          <w:t>Table 16 Bleaching categorisation used by GBRMPA Eye on the Reef and AIMS MMP surveys.</w:t>
        </w:r>
        <w:r w:rsidR="004774D3">
          <w:rPr>
            <w:webHidden/>
          </w:rPr>
          <w:tab/>
        </w:r>
        <w:r w:rsidR="004774D3">
          <w:rPr>
            <w:webHidden/>
          </w:rPr>
          <w:fldChar w:fldCharType="begin"/>
        </w:r>
        <w:r w:rsidR="004774D3">
          <w:rPr>
            <w:webHidden/>
          </w:rPr>
          <w:instrText xml:space="preserve"> PAGEREF _Toc491847035 \h </w:instrText>
        </w:r>
        <w:r w:rsidR="004774D3">
          <w:rPr>
            <w:webHidden/>
          </w:rPr>
        </w:r>
        <w:r w:rsidR="004774D3">
          <w:rPr>
            <w:webHidden/>
          </w:rPr>
          <w:fldChar w:fldCharType="separate"/>
        </w:r>
        <w:r w:rsidR="00D806F2">
          <w:rPr>
            <w:webHidden/>
          </w:rPr>
          <w:t>67</w:t>
        </w:r>
        <w:r w:rsidR="004774D3">
          <w:rPr>
            <w:webHidden/>
          </w:rPr>
          <w:fldChar w:fldCharType="end"/>
        </w:r>
      </w:hyperlink>
    </w:p>
    <w:p w14:paraId="3BA1A2D6" w14:textId="51F0F9CB" w:rsidR="004774D3" w:rsidRDefault="00EF4C08">
      <w:pPr>
        <w:pStyle w:val="TableofFigures"/>
        <w:rPr>
          <w:rFonts w:asciiTheme="minorHAnsi" w:eastAsiaTheme="minorEastAsia" w:hAnsiTheme="minorHAnsi" w:cstheme="minorBidi"/>
          <w:bCs w:val="0"/>
          <w:szCs w:val="22"/>
          <w:lang w:val="en-AU" w:eastAsia="en-AU"/>
        </w:rPr>
      </w:pPr>
      <w:hyperlink w:anchor="_Toc491847036" w:history="1">
        <w:r w:rsidR="004774D3" w:rsidRPr="00E866EB">
          <w:rPr>
            <w:rStyle w:val="Hyperlink"/>
          </w:rPr>
          <w:t>Table 17 Eye on the Reef bleaching categories.</w:t>
        </w:r>
        <w:r w:rsidR="004774D3">
          <w:rPr>
            <w:webHidden/>
          </w:rPr>
          <w:tab/>
        </w:r>
        <w:r w:rsidR="004774D3">
          <w:rPr>
            <w:webHidden/>
          </w:rPr>
          <w:fldChar w:fldCharType="begin"/>
        </w:r>
        <w:r w:rsidR="004774D3">
          <w:rPr>
            <w:webHidden/>
          </w:rPr>
          <w:instrText xml:space="preserve"> PAGEREF _Toc491847036 \h </w:instrText>
        </w:r>
        <w:r w:rsidR="004774D3">
          <w:rPr>
            <w:webHidden/>
          </w:rPr>
        </w:r>
        <w:r w:rsidR="004774D3">
          <w:rPr>
            <w:webHidden/>
          </w:rPr>
          <w:fldChar w:fldCharType="separate"/>
        </w:r>
        <w:r w:rsidR="00D806F2">
          <w:rPr>
            <w:webHidden/>
          </w:rPr>
          <w:t>68</w:t>
        </w:r>
        <w:r w:rsidR="004774D3">
          <w:rPr>
            <w:webHidden/>
          </w:rPr>
          <w:fldChar w:fldCharType="end"/>
        </w:r>
      </w:hyperlink>
    </w:p>
    <w:p w14:paraId="42F0CF52" w14:textId="24ABD51D" w:rsidR="004774D3" w:rsidRDefault="00EF4C08">
      <w:pPr>
        <w:pStyle w:val="TableofFigures"/>
        <w:rPr>
          <w:rFonts w:asciiTheme="minorHAnsi" w:eastAsiaTheme="minorEastAsia" w:hAnsiTheme="minorHAnsi" w:cstheme="minorBidi"/>
          <w:bCs w:val="0"/>
          <w:szCs w:val="22"/>
          <w:lang w:val="en-AU" w:eastAsia="en-AU"/>
        </w:rPr>
      </w:pPr>
      <w:hyperlink w:anchor="_Toc491847037" w:history="1">
        <w:r w:rsidR="004774D3" w:rsidRPr="00E866EB">
          <w:rPr>
            <w:rStyle w:val="Hyperlink"/>
          </w:rPr>
          <w:t>Table 18 Degree Heating Days (DHD) for 2016 and 2015.</w:t>
        </w:r>
        <w:r w:rsidR="004774D3">
          <w:rPr>
            <w:webHidden/>
          </w:rPr>
          <w:tab/>
        </w:r>
        <w:r w:rsidR="004774D3">
          <w:rPr>
            <w:webHidden/>
          </w:rPr>
          <w:fldChar w:fldCharType="begin"/>
        </w:r>
        <w:r w:rsidR="004774D3">
          <w:rPr>
            <w:webHidden/>
          </w:rPr>
          <w:instrText xml:space="preserve"> PAGEREF _Toc491847037 \h </w:instrText>
        </w:r>
        <w:r w:rsidR="004774D3">
          <w:rPr>
            <w:webHidden/>
          </w:rPr>
        </w:r>
        <w:r w:rsidR="004774D3">
          <w:rPr>
            <w:webHidden/>
          </w:rPr>
          <w:fldChar w:fldCharType="separate"/>
        </w:r>
        <w:r w:rsidR="00D806F2">
          <w:rPr>
            <w:webHidden/>
          </w:rPr>
          <w:t>69</w:t>
        </w:r>
        <w:r w:rsidR="004774D3">
          <w:rPr>
            <w:webHidden/>
          </w:rPr>
          <w:fldChar w:fldCharType="end"/>
        </w:r>
      </w:hyperlink>
    </w:p>
    <w:p w14:paraId="2B4E65FD" w14:textId="6F1B7061" w:rsidR="004774D3" w:rsidRDefault="00EF4C08">
      <w:pPr>
        <w:pStyle w:val="TableofFigures"/>
        <w:rPr>
          <w:rFonts w:asciiTheme="minorHAnsi" w:eastAsiaTheme="minorEastAsia" w:hAnsiTheme="minorHAnsi" w:cstheme="minorBidi"/>
          <w:bCs w:val="0"/>
          <w:szCs w:val="22"/>
          <w:lang w:val="en-AU" w:eastAsia="en-AU"/>
        </w:rPr>
      </w:pPr>
      <w:hyperlink w:anchor="_Toc491847038" w:history="1">
        <w:r w:rsidR="004774D3" w:rsidRPr="00E866EB">
          <w:rPr>
            <w:rStyle w:val="Hyperlink"/>
          </w:rPr>
          <w:t>Table 19 Bleaching distribution among MMP reefs in 2016.</w:t>
        </w:r>
        <w:r w:rsidR="004774D3">
          <w:rPr>
            <w:webHidden/>
          </w:rPr>
          <w:tab/>
        </w:r>
        <w:r w:rsidR="004774D3">
          <w:rPr>
            <w:webHidden/>
          </w:rPr>
          <w:fldChar w:fldCharType="begin"/>
        </w:r>
        <w:r w:rsidR="004774D3">
          <w:rPr>
            <w:webHidden/>
          </w:rPr>
          <w:instrText xml:space="preserve"> PAGEREF _Toc491847038 \h </w:instrText>
        </w:r>
        <w:r w:rsidR="004774D3">
          <w:rPr>
            <w:webHidden/>
          </w:rPr>
        </w:r>
        <w:r w:rsidR="004774D3">
          <w:rPr>
            <w:webHidden/>
          </w:rPr>
          <w:fldChar w:fldCharType="separate"/>
        </w:r>
        <w:r w:rsidR="00D806F2">
          <w:rPr>
            <w:webHidden/>
          </w:rPr>
          <w:t>71</w:t>
        </w:r>
        <w:r w:rsidR="004774D3">
          <w:rPr>
            <w:webHidden/>
          </w:rPr>
          <w:fldChar w:fldCharType="end"/>
        </w:r>
      </w:hyperlink>
    </w:p>
    <w:p w14:paraId="79AB75A5" w14:textId="0AB337F2" w:rsidR="004774D3" w:rsidRDefault="00EF4C08">
      <w:pPr>
        <w:pStyle w:val="TableofFigures"/>
        <w:rPr>
          <w:rFonts w:asciiTheme="minorHAnsi" w:eastAsiaTheme="minorEastAsia" w:hAnsiTheme="minorHAnsi" w:cstheme="minorBidi"/>
          <w:bCs w:val="0"/>
          <w:szCs w:val="22"/>
          <w:lang w:val="en-AU" w:eastAsia="en-AU"/>
        </w:rPr>
      </w:pPr>
      <w:hyperlink w:anchor="_Toc491847039" w:history="1">
        <w:r w:rsidR="004774D3" w:rsidRPr="00E866EB">
          <w:rPr>
            <w:rStyle w:val="Hyperlink"/>
          </w:rPr>
          <w:t xml:space="preserve">Table 20 </w:t>
        </w:r>
        <w:r w:rsidR="00E22E14">
          <w:rPr>
            <w:rStyle w:val="Hyperlink"/>
          </w:rPr>
          <w:t>Distribution of c</w:t>
        </w:r>
        <w:r w:rsidR="004774D3" w:rsidRPr="00E866EB">
          <w:rPr>
            <w:rStyle w:val="Hyperlink"/>
          </w:rPr>
          <w:t>onditions supporting high abundance of brown macroalgae.</w:t>
        </w:r>
        <w:r w:rsidR="004774D3">
          <w:rPr>
            <w:webHidden/>
          </w:rPr>
          <w:tab/>
        </w:r>
        <w:r w:rsidR="004774D3">
          <w:rPr>
            <w:webHidden/>
          </w:rPr>
          <w:fldChar w:fldCharType="begin"/>
        </w:r>
        <w:r w:rsidR="004774D3">
          <w:rPr>
            <w:webHidden/>
          </w:rPr>
          <w:instrText xml:space="preserve"> PAGEREF _Toc491847039 \h </w:instrText>
        </w:r>
        <w:r w:rsidR="004774D3">
          <w:rPr>
            <w:webHidden/>
          </w:rPr>
        </w:r>
        <w:r w:rsidR="004774D3">
          <w:rPr>
            <w:webHidden/>
          </w:rPr>
          <w:fldChar w:fldCharType="separate"/>
        </w:r>
        <w:r w:rsidR="00D806F2">
          <w:rPr>
            <w:webHidden/>
          </w:rPr>
          <w:t>77</w:t>
        </w:r>
        <w:r w:rsidR="004774D3">
          <w:rPr>
            <w:webHidden/>
          </w:rPr>
          <w:fldChar w:fldCharType="end"/>
        </w:r>
      </w:hyperlink>
    </w:p>
    <w:p w14:paraId="11EA8BBD" w14:textId="77777777" w:rsidR="00F63B2F" w:rsidRPr="00F439FB" w:rsidRDefault="00044E50" w:rsidP="0026052F">
      <w:pPr>
        <w:ind w:right="340"/>
        <w:rPr>
          <w:color w:val="4F81BD" w:themeColor="accent1"/>
        </w:rPr>
      </w:pPr>
      <w:r w:rsidRPr="00F439FB">
        <w:rPr>
          <w:rFonts w:eastAsiaTheme="majorEastAsia" w:cs="Arial"/>
          <w:noProof/>
          <w:color w:val="4F81BD" w:themeColor="accent1"/>
        </w:rPr>
        <w:fldChar w:fldCharType="end"/>
      </w:r>
    </w:p>
    <w:p w14:paraId="11EA8BBE" w14:textId="77777777" w:rsidR="00F63B2F" w:rsidRPr="00F439FB" w:rsidRDefault="00F63B2F" w:rsidP="00F63B2F">
      <w:pPr>
        <w:rPr>
          <w:color w:val="4F81BD" w:themeColor="accent1"/>
        </w:rPr>
      </w:pPr>
      <w:r w:rsidRPr="00F439FB">
        <w:rPr>
          <w:color w:val="4F81BD" w:themeColor="accent1"/>
        </w:rPr>
        <w:br w:type="page"/>
      </w:r>
    </w:p>
    <w:p w14:paraId="11EA8BBF" w14:textId="77777777" w:rsidR="006E3C16" w:rsidRPr="001C3FA7" w:rsidRDefault="006E3C16" w:rsidP="00F352CD">
      <w:pPr>
        <w:rPr>
          <w:b/>
          <w:i/>
          <w:color w:val="000000" w:themeColor="text1"/>
          <w:sz w:val="32"/>
        </w:rPr>
      </w:pPr>
      <w:r w:rsidRPr="001C3FA7">
        <w:rPr>
          <w:b/>
          <w:i/>
          <w:color w:val="000000" w:themeColor="text1"/>
          <w:sz w:val="32"/>
        </w:rPr>
        <w:t>List of Figures and Tables – Appendices</w:t>
      </w:r>
    </w:p>
    <w:bookmarkStart w:id="6" w:name="_List_of_Figures"/>
    <w:bookmarkStart w:id="7" w:name="_Toc330115298"/>
    <w:bookmarkStart w:id="8" w:name="_Toc330177377"/>
    <w:bookmarkStart w:id="9" w:name="_Toc330177721"/>
    <w:bookmarkStart w:id="10" w:name="_Toc330191319"/>
    <w:bookmarkStart w:id="11" w:name="_Toc330281932"/>
    <w:bookmarkStart w:id="12" w:name="_Toc437424398"/>
    <w:bookmarkStart w:id="13" w:name="_Toc437424522"/>
    <w:bookmarkStart w:id="14" w:name="_Toc437432452"/>
    <w:bookmarkStart w:id="15" w:name="_Toc437432525"/>
    <w:bookmarkEnd w:id="6"/>
    <w:p w14:paraId="561937A8" w14:textId="1875F863" w:rsidR="0082344A" w:rsidRDefault="0082344A">
      <w:pPr>
        <w:pStyle w:val="TableofFigures"/>
        <w:rPr>
          <w:rFonts w:asciiTheme="minorHAnsi" w:eastAsiaTheme="minorEastAsia" w:hAnsiTheme="minorHAnsi" w:cstheme="minorBidi"/>
          <w:bCs w:val="0"/>
          <w:szCs w:val="22"/>
          <w:lang w:val="en-AU" w:eastAsia="en-AU"/>
        </w:rPr>
      </w:pPr>
      <w:r>
        <w:rPr>
          <w:color w:val="4F81BD" w:themeColor="accent1"/>
          <w:sz w:val="24"/>
        </w:rPr>
        <w:fldChar w:fldCharType="begin"/>
      </w:r>
      <w:r>
        <w:rPr>
          <w:color w:val="4F81BD" w:themeColor="accent1"/>
          <w:sz w:val="24"/>
        </w:rPr>
        <w:instrText xml:space="preserve"> TOC \h \z \c "Figure A1." </w:instrText>
      </w:r>
      <w:r>
        <w:rPr>
          <w:color w:val="4F81BD" w:themeColor="accent1"/>
          <w:sz w:val="24"/>
        </w:rPr>
        <w:fldChar w:fldCharType="separate"/>
      </w:r>
      <w:hyperlink w:anchor="_Toc492389706" w:history="1">
        <w:r w:rsidRPr="00CA493F">
          <w:rPr>
            <w:rStyle w:val="Hyperlink"/>
          </w:rPr>
          <w:t>Figure A1. 1 Barron Daintree sub-region benthic community composition</w:t>
        </w:r>
        <w:r>
          <w:rPr>
            <w:webHidden/>
          </w:rPr>
          <w:tab/>
        </w:r>
        <w:r>
          <w:rPr>
            <w:webHidden/>
          </w:rPr>
          <w:fldChar w:fldCharType="begin"/>
        </w:r>
        <w:r>
          <w:rPr>
            <w:webHidden/>
          </w:rPr>
          <w:instrText xml:space="preserve"> PAGEREF _Toc492389706 \h </w:instrText>
        </w:r>
        <w:r>
          <w:rPr>
            <w:webHidden/>
          </w:rPr>
        </w:r>
        <w:r>
          <w:rPr>
            <w:webHidden/>
          </w:rPr>
          <w:fldChar w:fldCharType="separate"/>
        </w:r>
        <w:r w:rsidR="00D806F2">
          <w:rPr>
            <w:webHidden/>
          </w:rPr>
          <w:t>99</w:t>
        </w:r>
        <w:r>
          <w:rPr>
            <w:webHidden/>
          </w:rPr>
          <w:fldChar w:fldCharType="end"/>
        </w:r>
      </w:hyperlink>
    </w:p>
    <w:p w14:paraId="2078FD60" w14:textId="00C6ADA8" w:rsidR="0082344A" w:rsidRDefault="00EF4C08">
      <w:pPr>
        <w:pStyle w:val="TableofFigures"/>
        <w:rPr>
          <w:rFonts w:asciiTheme="minorHAnsi" w:eastAsiaTheme="minorEastAsia" w:hAnsiTheme="minorHAnsi" w:cstheme="minorBidi"/>
          <w:bCs w:val="0"/>
          <w:szCs w:val="22"/>
          <w:lang w:val="en-AU" w:eastAsia="en-AU"/>
        </w:rPr>
      </w:pPr>
      <w:hyperlink w:anchor="_Toc492389707" w:history="1">
        <w:r w:rsidR="0082344A" w:rsidRPr="00CA493F">
          <w:rPr>
            <w:rStyle w:val="Hyperlink"/>
          </w:rPr>
          <w:t>Figure A1. 2 Johnstone Russell-Mulgrave sub-regio</w:t>
        </w:r>
        <w:r w:rsidR="0082344A">
          <w:rPr>
            <w:rStyle w:val="Hyperlink"/>
          </w:rPr>
          <w:t>n benthic community composition</w:t>
        </w:r>
        <w:r w:rsidR="0082344A">
          <w:rPr>
            <w:webHidden/>
          </w:rPr>
          <w:tab/>
        </w:r>
        <w:r w:rsidR="0082344A">
          <w:rPr>
            <w:webHidden/>
          </w:rPr>
          <w:fldChar w:fldCharType="begin"/>
        </w:r>
        <w:r w:rsidR="0082344A">
          <w:rPr>
            <w:webHidden/>
          </w:rPr>
          <w:instrText xml:space="preserve"> PAGEREF _Toc492389707 \h </w:instrText>
        </w:r>
        <w:r w:rsidR="0082344A">
          <w:rPr>
            <w:webHidden/>
          </w:rPr>
        </w:r>
        <w:r w:rsidR="0082344A">
          <w:rPr>
            <w:webHidden/>
          </w:rPr>
          <w:fldChar w:fldCharType="separate"/>
        </w:r>
        <w:r w:rsidR="00D806F2">
          <w:rPr>
            <w:webHidden/>
          </w:rPr>
          <w:t>100</w:t>
        </w:r>
        <w:r w:rsidR="0082344A">
          <w:rPr>
            <w:webHidden/>
          </w:rPr>
          <w:fldChar w:fldCharType="end"/>
        </w:r>
      </w:hyperlink>
    </w:p>
    <w:p w14:paraId="5C9D2171" w14:textId="6100C8A4" w:rsidR="0082344A" w:rsidRDefault="00EF4C08">
      <w:pPr>
        <w:pStyle w:val="TableofFigures"/>
        <w:rPr>
          <w:rFonts w:asciiTheme="minorHAnsi" w:eastAsiaTheme="minorEastAsia" w:hAnsiTheme="minorHAnsi" w:cstheme="minorBidi"/>
          <w:bCs w:val="0"/>
          <w:szCs w:val="22"/>
          <w:lang w:val="en-AU" w:eastAsia="en-AU"/>
        </w:rPr>
      </w:pPr>
      <w:hyperlink w:anchor="_Toc492389708" w:history="1">
        <w:r w:rsidR="0082344A" w:rsidRPr="00CA493F">
          <w:rPr>
            <w:rStyle w:val="Hyperlink"/>
          </w:rPr>
          <w:t>Figure A1. 3 Herbert-Tully sub- region benthic community composition.</w:t>
        </w:r>
        <w:r w:rsidR="0082344A">
          <w:rPr>
            <w:webHidden/>
          </w:rPr>
          <w:tab/>
        </w:r>
        <w:r w:rsidR="0082344A">
          <w:rPr>
            <w:webHidden/>
          </w:rPr>
          <w:fldChar w:fldCharType="begin"/>
        </w:r>
        <w:r w:rsidR="0082344A">
          <w:rPr>
            <w:webHidden/>
          </w:rPr>
          <w:instrText xml:space="preserve"> PAGEREF _Toc492389708 \h </w:instrText>
        </w:r>
        <w:r w:rsidR="0082344A">
          <w:rPr>
            <w:webHidden/>
          </w:rPr>
        </w:r>
        <w:r w:rsidR="0082344A">
          <w:rPr>
            <w:webHidden/>
          </w:rPr>
          <w:fldChar w:fldCharType="separate"/>
        </w:r>
        <w:r w:rsidR="00D806F2">
          <w:rPr>
            <w:webHidden/>
          </w:rPr>
          <w:t>103</w:t>
        </w:r>
        <w:r w:rsidR="0082344A">
          <w:rPr>
            <w:webHidden/>
          </w:rPr>
          <w:fldChar w:fldCharType="end"/>
        </w:r>
      </w:hyperlink>
    </w:p>
    <w:p w14:paraId="1318D687" w14:textId="761E27C6" w:rsidR="0082344A" w:rsidRDefault="00EF4C08">
      <w:pPr>
        <w:pStyle w:val="TableofFigures"/>
        <w:rPr>
          <w:rFonts w:asciiTheme="minorHAnsi" w:eastAsiaTheme="minorEastAsia" w:hAnsiTheme="minorHAnsi" w:cstheme="minorBidi"/>
          <w:bCs w:val="0"/>
          <w:szCs w:val="22"/>
          <w:lang w:val="en-AU" w:eastAsia="en-AU"/>
        </w:rPr>
      </w:pPr>
      <w:hyperlink w:anchor="_Toc492389709" w:history="1">
        <w:r w:rsidR="0082344A" w:rsidRPr="00CA493F">
          <w:rPr>
            <w:rStyle w:val="Hyperlink"/>
          </w:rPr>
          <w:t>Figure A1. 4 Burdekin Region benthic community composition..</w:t>
        </w:r>
        <w:r w:rsidR="0082344A">
          <w:rPr>
            <w:webHidden/>
          </w:rPr>
          <w:tab/>
        </w:r>
        <w:r w:rsidR="0082344A">
          <w:rPr>
            <w:webHidden/>
          </w:rPr>
          <w:fldChar w:fldCharType="begin"/>
        </w:r>
        <w:r w:rsidR="0082344A">
          <w:rPr>
            <w:webHidden/>
          </w:rPr>
          <w:instrText xml:space="preserve"> PAGEREF _Toc492389709 \h </w:instrText>
        </w:r>
        <w:r w:rsidR="0082344A">
          <w:rPr>
            <w:webHidden/>
          </w:rPr>
        </w:r>
        <w:r w:rsidR="0082344A">
          <w:rPr>
            <w:webHidden/>
          </w:rPr>
          <w:fldChar w:fldCharType="separate"/>
        </w:r>
        <w:r w:rsidR="00D806F2">
          <w:rPr>
            <w:webHidden/>
          </w:rPr>
          <w:t>105</w:t>
        </w:r>
        <w:r w:rsidR="0082344A">
          <w:rPr>
            <w:webHidden/>
          </w:rPr>
          <w:fldChar w:fldCharType="end"/>
        </w:r>
      </w:hyperlink>
    </w:p>
    <w:p w14:paraId="3AEAB0CA" w14:textId="7DE8C752" w:rsidR="0082344A" w:rsidRDefault="00EF4C08">
      <w:pPr>
        <w:pStyle w:val="TableofFigures"/>
        <w:rPr>
          <w:rFonts w:asciiTheme="minorHAnsi" w:eastAsiaTheme="minorEastAsia" w:hAnsiTheme="minorHAnsi" w:cstheme="minorBidi"/>
          <w:bCs w:val="0"/>
          <w:szCs w:val="22"/>
          <w:lang w:val="en-AU" w:eastAsia="en-AU"/>
        </w:rPr>
      </w:pPr>
      <w:hyperlink w:anchor="_Toc492389710" w:history="1">
        <w:r w:rsidR="0082344A" w:rsidRPr="00CA493F">
          <w:rPr>
            <w:rStyle w:val="Hyperlink"/>
          </w:rPr>
          <w:t>Figure A1. 5 Mackay Whitsunday Region benthic community composition.</w:t>
        </w:r>
        <w:r w:rsidR="0082344A">
          <w:rPr>
            <w:webHidden/>
          </w:rPr>
          <w:tab/>
        </w:r>
        <w:r w:rsidR="0082344A">
          <w:rPr>
            <w:webHidden/>
          </w:rPr>
          <w:fldChar w:fldCharType="begin"/>
        </w:r>
        <w:r w:rsidR="0082344A">
          <w:rPr>
            <w:webHidden/>
          </w:rPr>
          <w:instrText xml:space="preserve"> PAGEREF _Toc492389710 \h </w:instrText>
        </w:r>
        <w:r w:rsidR="0082344A">
          <w:rPr>
            <w:webHidden/>
          </w:rPr>
        </w:r>
        <w:r w:rsidR="0082344A">
          <w:rPr>
            <w:webHidden/>
          </w:rPr>
          <w:fldChar w:fldCharType="separate"/>
        </w:r>
        <w:r w:rsidR="00D806F2">
          <w:rPr>
            <w:webHidden/>
          </w:rPr>
          <w:t>109</w:t>
        </w:r>
        <w:r w:rsidR="0082344A">
          <w:rPr>
            <w:webHidden/>
          </w:rPr>
          <w:fldChar w:fldCharType="end"/>
        </w:r>
      </w:hyperlink>
    </w:p>
    <w:p w14:paraId="588D149E" w14:textId="6633804F" w:rsidR="0082344A" w:rsidRDefault="00EF4C08">
      <w:pPr>
        <w:pStyle w:val="TableofFigures"/>
        <w:rPr>
          <w:rFonts w:asciiTheme="minorHAnsi" w:eastAsiaTheme="minorEastAsia" w:hAnsiTheme="minorHAnsi" w:cstheme="minorBidi"/>
          <w:bCs w:val="0"/>
          <w:szCs w:val="22"/>
          <w:lang w:val="en-AU" w:eastAsia="en-AU"/>
        </w:rPr>
      </w:pPr>
      <w:hyperlink w:anchor="_Toc492389711" w:history="1">
        <w:r w:rsidR="0082344A" w:rsidRPr="00CA493F">
          <w:rPr>
            <w:rStyle w:val="Hyperlink"/>
          </w:rPr>
          <w:t>Figure A1. 6 Fitzroy Region benthic community composition.</w:t>
        </w:r>
        <w:r w:rsidR="0082344A">
          <w:rPr>
            <w:webHidden/>
          </w:rPr>
          <w:tab/>
        </w:r>
        <w:r w:rsidR="0082344A">
          <w:rPr>
            <w:webHidden/>
          </w:rPr>
          <w:fldChar w:fldCharType="begin"/>
        </w:r>
        <w:r w:rsidR="0082344A">
          <w:rPr>
            <w:webHidden/>
          </w:rPr>
          <w:instrText xml:space="preserve"> PAGEREF _Toc492389711 \h </w:instrText>
        </w:r>
        <w:r w:rsidR="0082344A">
          <w:rPr>
            <w:webHidden/>
          </w:rPr>
        </w:r>
        <w:r w:rsidR="0082344A">
          <w:rPr>
            <w:webHidden/>
          </w:rPr>
          <w:fldChar w:fldCharType="separate"/>
        </w:r>
        <w:r w:rsidR="00D806F2">
          <w:rPr>
            <w:webHidden/>
          </w:rPr>
          <w:t>113</w:t>
        </w:r>
        <w:r w:rsidR="0082344A">
          <w:rPr>
            <w:webHidden/>
          </w:rPr>
          <w:fldChar w:fldCharType="end"/>
        </w:r>
      </w:hyperlink>
    </w:p>
    <w:p w14:paraId="375CC611" w14:textId="60CE49B6" w:rsidR="0082344A" w:rsidRDefault="00EF4C08">
      <w:pPr>
        <w:pStyle w:val="TableofFigures"/>
        <w:rPr>
          <w:rFonts w:asciiTheme="minorHAnsi" w:eastAsiaTheme="minorEastAsia" w:hAnsiTheme="minorHAnsi" w:cstheme="minorBidi"/>
          <w:bCs w:val="0"/>
          <w:szCs w:val="22"/>
          <w:lang w:val="en-AU" w:eastAsia="en-AU"/>
        </w:rPr>
      </w:pPr>
      <w:hyperlink w:anchor="_Toc492389712" w:history="1">
        <w:r w:rsidR="0082344A" w:rsidRPr="00CA493F">
          <w:rPr>
            <w:rStyle w:val="Hyperlink"/>
          </w:rPr>
          <w:t>Figure A1. 7 Coral disease by year in each region.</w:t>
        </w:r>
        <w:r w:rsidR="0082344A">
          <w:rPr>
            <w:webHidden/>
          </w:rPr>
          <w:tab/>
        </w:r>
        <w:r w:rsidR="0082344A">
          <w:rPr>
            <w:webHidden/>
          </w:rPr>
          <w:fldChar w:fldCharType="begin"/>
        </w:r>
        <w:r w:rsidR="0082344A">
          <w:rPr>
            <w:webHidden/>
          </w:rPr>
          <w:instrText xml:space="preserve"> PAGEREF _Toc492389712 \h </w:instrText>
        </w:r>
        <w:r w:rsidR="0082344A">
          <w:rPr>
            <w:webHidden/>
          </w:rPr>
        </w:r>
        <w:r w:rsidR="0082344A">
          <w:rPr>
            <w:webHidden/>
          </w:rPr>
          <w:fldChar w:fldCharType="separate"/>
        </w:r>
        <w:r w:rsidR="00D806F2">
          <w:rPr>
            <w:webHidden/>
          </w:rPr>
          <w:t>115</w:t>
        </w:r>
        <w:r w:rsidR="0082344A">
          <w:rPr>
            <w:webHidden/>
          </w:rPr>
          <w:fldChar w:fldCharType="end"/>
        </w:r>
      </w:hyperlink>
    </w:p>
    <w:p w14:paraId="7D275DC1" w14:textId="64EEC459" w:rsidR="0082344A" w:rsidRDefault="00EF4C08">
      <w:pPr>
        <w:pStyle w:val="TableofFigures"/>
        <w:rPr>
          <w:rFonts w:asciiTheme="minorHAnsi" w:eastAsiaTheme="minorEastAsia" w:hAnsiTheme="minorHAnsi" w:cstheme="minorBidi"/>
          <w:bCs w:val="0"/>
          <w:szCs w:val="22"/>
          <w:lang w:val="en-AU" w:eastAsia="en-AU"/>
        </w:rPr>
      </w:pPr>
      <w:hyperlink w:anchor="_Toc492389713" w:history="1">
        <w:r w:rsidR="0082344A" w:rsidRPr="00CA493F">
          <w:rPr>
            <w:rStyle w:val="Hyperlink"/>
          </w:rPr>
          <w:t>Figure A1. 8 Cyclone exposure history.</w:t>
        </w:r>
        <w:r w:rsidR="0082344A">
          <w:rPr>
            <w:webHidden/>
          </w:rPr>
          <w:tab/>
        </w:r>
        <w:r w:rsidR="0082344A">
          <w:rPr>
            <w:webHidden/>
          </w:rPr>
          <w:fldChar w:fldCharType="begin"/>
        </w:r>
        <w:r w:rsidR="0082344A">
          <w:rPr>
            <w:webHidden/>
          </w:rPr>
          <w:instrText xml:space="preserve"> PAGEREF _Toc492389713 \h </w:instrText>
        </w:r>
        <w:r w:rsidR="0082344A">
          <w:rPr>
            <w:webHidden/>
          </w:rPr>
        </w:r>
        <w:r w:rsidR="0082344A">
          <w:rPr>
            <w:webHidden/>
          </w:rPr>
          <w:fldChar w:fldCharType="separate"/>
        </w:r>
        <w:r w:rsidR="00D806F2">
          <w:rPr>
            <w:webHidden/>
          </w:rPr>
          <w:t>127</w:t>
        </w:r>
        <w:r w:rsidR="0082344A">
          <w:rPr>
            <w:webHidden/>
          </w:rPr>
          <w:fldChar w:fldCharType="end"/>
        </w:r>
      </w:hyperlink>
    </w:p>
    <w:p w14:paraId="6A449E4F" w14:textId="36EF867D" w:rsidR="0082344A" w:rsidRDefault="00EF4C08">
      <w:pPr>
        <w:pStyle w:val="TableofFigures"/>
        <w:rPr>
          <w:rFonts w:asciiTheme="minorHAnsi" w:eastAsiaTheme="minorEastAsia" w:hAnsiTheme="minorHAnsi" w:cstheme="minorBidi"/>
          <w:bCs w:val="0"/>
          <w:szCs w:val="22"/>
          <w:lang w:val="en-AU" w:eastAsia="en-AU"/>
        </w:rPr>
      </w:pPr>
      <w:hyperlink w:anchor="_Toc492389714" w:history="1">
        <w:r w:rsidR="0082344A" w:rsidRPr="00CA493F">
          <w:rPr>
            <w:rStyle w:val="Hyperlink"/>
          </w:rPr>
          <w:t>Figure A1. 9 Temporal trends in water quality: Baron Daintree sub-region..</w:t>
        </w:r>
        <w:r w:rsidR="0082344A">
          <w:rPr>
            <w:webHidden/>
          </w:rPr>
          <w:tab/>
        </w:r>
        <w:r w:rsidR="0082344A">
          <w:rPr>
            <w:webHidden/>
          </w:rPr>
          <w:fldChar w:fldCharType="begin"/>
        </w:r>
        <w:r w:rsidR="0082344A">
          <w:rPr>
            <w:webHidden/>
          </w:rPr>
          <w:instrText xml:space="preserve"> PAGEREF _Toc492389714 \h </w:instrText>
        </w:r>
        <w:r w:rsidR="0082344A">
          <w:rPr>
            <w:webHidden/>
          </w:rPr>
        </w:r>
        <w:r w:rsidR="0082344A">
          <w:rPr>
            <w:webHidden/>
          </w:rPr>
          <w:fldChar w:fldCharType="separate"/>
        </w:r>
        <w:r w:rsidR="00D806F2">
          <w:rPr>
            <w:webHidden/>
          </w:rPr>
          <w:t>128</w:t>
        </w:r>
        <w:r w:rsidR="0082344A">
          <w:rPr>
            <w:webHidden/>
          </w:rPr>
          <w:fldChar w:fldCharType="end"/>
        </w:r>
      </w:hyperlink>
    </w:p>
    <w:p w14:paraId="657A3DCC" w14:textId="1E07426D" w:rsidR="0082344A" w:rsidRDefault="00EF4C08">
      <w:pPr>
        <w:pStyle w:val="TableofFigures"/>
        <w:rPr>
          <w:rFonts w:asciiTheme="minorHAnsi" w:eastAsiaTheme="minorEastAsia" w:hAnsiTheme="minorHAnsi" w:cstheme="minorBidi"/>
          <w:bCs w:val="0"/>
          <w:szCs w:val="22"/>
          <w:lang w:val="en-AU" w:eastAsia="en-AU"/>
        </w:rPr>
      </w:pPr>
      <w:hyperlink w:anchor="_Toc492389715" w:history="1">
        <w:r w:rsidR="0082344A" w:rsidRPr="00CA493F">
          <w:rPr>
            <w:rStyle w:val="Hyperlink"/>
          </w:rPr>
          <w:t>Figure A1. 10 Temporal trends in water quality: Johnstone Russell-Mulgrave sub-region..</w:t>
        </w:r>
        <w:r w:rsidR="0082344A">
          <w:rPr>
            <w:webHidden/>
          </w:rPr>
          <w:tab/>
        </w:r>
        <w:r w:rsidR="0082344A">
          <w:rPr>
            <w:webHidden/>
          </w:rPr>
          <w:fldChar w:fldCharType="begin"/>
        </w:r>
        <w:r w:rsidR="0082344A">
          <w:rPr>
            <w:webHidden/>
          </w:rPr>
          <w:instrText xml:space="preserve"> PAGEREF _Toc492389715 \h </w:instrText>
        </w:r>
        <w:r w:rsidR="0082344A">
          <w:rPr>
            <w:webHidden/>
          </w:rPr>
        </w:r>
        <w:r w:rsidR="0082344A">
          <w:rPr>
            <w:webHidden/>
          </w:rPr>
          <w:fldChar w:fldCharType="separate"/>
        </w:r>
        <w:r w:rsidR="00D806F2">
          <w:rPr>
            <w:webHidden/>
          </w:rPr>
          <w:t>129</w:t>
        </w:r>
        <w:r w:rsidR="0082344A">
          <w:rPr>
            <w:webHidden/>
          </w:rPr>
          <w:fldChar w:fldCharType="end"/>
        </w:r>
      </w:hyperlink>
    </w:p>
    <w:p w14:paraId="1DA1BA0A" w14:textId="178C2159" w:rsidR="0082344A" w:rsidRDefault="00EF4C08">
      <w:pPr>
        <w:pStyle w:val="TableofFigures"/>
        <w:rPr>
          <w:rFonts w:asciiTheme="minorHAnsi" w:eastAsiaTheme="minorEastAsia" w:hAnsiTheme="minorHAnsi" w:cstheme="minorBidi"/>
          <w:bCs w:val="0"/>
          <w:szCs w:val="22"/>
          <w:lang w:val="en-AU" w:eastAsia="en-AU"/>
        </w:rPr>
      </w:pPr>
      <w:hyperlink w:anchor="_Toc492389716" w:history="1">
        <w:r w:rsidR="0082344A" w:rsidRPr="00CA493F">
          <w:rPr>
            <w:rStyle w:val="Hyperlink"/>
          </w:rPr>
          <w:t>Figure A1. 11 Temporal trends in water quality: Herbert Tully sub-region.</w:t>
        </w:r>
        <w:r w:rsidR="0082344A">
          <w:rPr>
            <w:webHidden/>
          </w:rPr>
          <w:tab/>
        </w:r>
        <w:r w:rsidR="0082344A">
          <w:rPr>
            <w:webHidden/>
          </w:rPr>
          <w:fldChar w:fldCharType="begin"/>
        </w:r>
        <w:r w:rsidR="0082344A">
          <w:rPr>
            <w:webHidden/>
          </w:rPr>
          <w:instrText xml:space="preserve"> PAGEREF _Toc492389716 \h </w:instrText>
        </w:r>
        <w:r w:rsidR="0082344A">
          <w:rPr>
            <w:webHidden/>
          </w:rPr>
        </w:r>
        <w:r w:rsidR="0082344A">
          <w:rPr>
            <w:webHidden/>
          </w:rPr>
          <w:fldChar w:fldCharType="separate"/>
        </w:r>
        <w:r w:rsidR="00D806F2">
          <w:rPr>
            <w:webHidden/>
          </w:rPr>
          <w:t>130</w:t>
        </w:r>
        <w:r w:rsidR="0082344A">
          <w:rPr>
            <w:webHidden/>
          </w:rPr>
          <w:fldChar w:fldCharType="end"/>
        </w:r>
      </w:hyperlink>
    </w:p>
    <w:p w14:paraId="606ADFEE" w14:textId="75E80D53" w:rsidR="0082344A" w:rsidRDefault="00EF4C08">
      <w:pPr>
        <w:pStyle w:val="TableofFigures"/>
        <w:rPr>
          <w:rFonts w:asciiTheme="minorHAnsi" w:eastAsiaTheme="minorEastAsia" w:hAnsiTheme="minorHAnsi" w:cstheme="minorBidi"/>
          <w:bCs w:val="0"/>
          <w:szCs w:val="22"/>
          <w:lang w:val="en-AU" w:eastAsia="en-AU"/>
        </w:rPr>
      </w:pPr>
      <w:hyperlink w:anchor="_Toc492389717" w:history="1">
        <w:r w:rsidR="0082344A" w:rsidRPr="00CA493F">
          <w:rPr>
            <w:rStyle w:val="Hyperlink"/>
          </w:rPr>
          <w:t>Figure A1. 12 Temporal trends in water quality: Burdekin region.</w:t>
        </w:r>
        <w:r w:rsidR="0082344A">
          <w:rPr>
            <w:webHidden/>
          </w:rPr>
          <w:tab/>
        </w:r>
        <w:r w:rsidR="0082344A">
          <w:rPr>
            <w:webHidden/>
          </w:rPr>
          <w:fldChar w:fldCharType="begin"/>
        </w:r>
        <w:r w:rsidR="0082344A">
          <w:rPr>
            <w:webHidden/>
          </w:rPr>
          <w:instrText xml:space="preserve"> PAGEREF _Toc492389717 \h </w:instrText>
        </w:r>
        <w:r w:rsidR="0082344A">
          <w:rPr>
            <w:webHidden/>
          </w:rPr>
        </w:r>
        <w:r w:rsidR="0082344A">
          <w:rPr>
            <w:webHidden/>
          </w:rPr>
          <w:fldChar w:fldCharType="separate"/>
        </w:r>
        <w:r w:rsidR="00D806F2">
          <w:rPr>
            <w:webHidden/>
          </w:rPr>
          <w:t>131</w:t>
        </w:r>
        <w:r w:rsidR="0082344A">
          <w:rPr>
            <w:webHidden/>
          </w:rPr>
          <w:fldChar w:fldCharType="end"/>
        </w:r>
      </w:hyperlink>
    </w:p>
    <w:p w14:paraId="7F1DA68B" w14:textId="6254199E" w:rsidR="0082344A" w:rsidRDefault="00EF4C08">
      <w:pPr>
        <w:pStyle w:val="TableofFigures"/>
        <w:rPr>
          <w:rFonts w:asciiTheme="minorHAnsi" w:eastAsiaTheme="minorEastAsia" w:hAnsiTheme="minorHAnsi" w:cstheme="minorBidi"/>
          <w:bCs w:val="0"/>
          <w:szCs w:val="22"/>
          <w:lang w:val="en-AU" w:eastAsia="en-AU"/>
        </w:rPr>
      </w:pPr>
      <w:hyperlink w:anchor="_Toc492389718" w:history="1">
        <w:r w:rsidR="0082344A" w:rsidRPr="00CA493F">
          <w:rPr>
            <w:rStyle w:val="Hyperlink"/>
          </w:rPr>
          <w:t>Figure A1. 13 Temporal trends in water quality: Mackay Whitsundays region..</w:t>
        </w:r>
        <w:r w:rsidR="0082344A">
          <w:rPr>
            <w:webHidden/>
          </w:rPr>
          <w:tab/>
        </w:r>
        <w:r w:rsidR="0082344A">
          <w:rPr>
            <w:webHidden/>
          </w:rPr>
          <w:fldChar w:fldCharType="begin"/>
        </w:r>
        <w:r w:rsidR="0082344A">
          <w:rPr>
            <w:webHidden/>
          </w:rPr>
          <w:instrText xml:space="preserve"> PAGEREF _Toc492389718 \h </w:instrText>
        </w:r>
        <w:r w:rsidR="0082344A">
          <w:rPr>
            <w:webHidden/>
          </w:rPr>
        </w:r>
        <w:r w:rsidR="0082344A">
          <w:rPr>
            <w:webHidden/>
          </w:rPr>
          <w:fldChar w:fldCharType="separate"/>
        </w:r>
        <w:r w:rsidR="00D806F2">
          <w:rPr>
            <w:webHidden/>
          </w:rPr>
          <w:t>132</w:t>
        </w:r>
        <w:r w:rsidR="0082344A">
          <w:rPr>
            <w:webHidden/>
          </w:rPr>
          <w:fldChar w:fldCharType="end"/>
        </w:r>
      </w:hyperlink>
    </w:p>
    <w:p w14:paraId="2F8B10B8" w14:textId="4F67B4F7" w:rsidR="0082344A" w:rsidRDefault="00EF4C08">
      <w:pPr>
        <w:pStyle w:val="TableofFigures"/>
        <w:rPr>
          <w:rFonts w:asciiTheme="minorHAnsi" w:eastAsiaTheme="minorEastAsia" w:hAnsiTheme="minorHAnsi" w:cstheme="minorBidi"/>
          <w:bCs w:val="0"/>
          <w:szCs w:val="22"/>
          <w:lang w:val="en-AU" w:eastAsia="en-AU"/>
        </w:rPr>
      </w:pPr>
      <w:hyperlink w:anchor="_Toc492389719" w:history="1">
        <w:r w:rsidR="0082344A" w:rsidRPr="00CA493F">
          <w:rPr>
            <w:rStyle w:val="Hyperlink"/>
          </w:rPr>
          <w:t>Figure A1. 14 Temporal trends in water quality: Fitzroy region.</w:t>
        </w:r>
        <w:r w:rsidR="0082344A">
          <w:rPr>
            <w:webHidden/>
          </w:rPr>
          <w:tab/>
        </w:r>
        <w:r w:rsidR="0082344A">
          <w:rPr>
            <w:webHidden/>
          </w:rPr>
          <w:fldChar w:fldCharType="begin"/>
        </w:r>
        <w:r w:rsidR="0082344A">
          <w:rPr>
            <w:webHidden/>
          </w:rPr>
          <w:instrText xml:space="preserve"> PAGEREF _Toc492389719 \h </w:instrText>
        </w:r>
        <w:r w:rsidR="0082344A">
          <w:rPr>
            <w:webHidden/>
          </w:rPr>
        </w:r>
        <w:r w:rsidR="0082344A">
          <w:rPr>
            <w:webHidden/>
          </w:rPr>
          <w:fldChar w:fldCharType="separate"/>
        </w:r>
        <w:r w:rsidR="00D806F2">
          <w:rPr>
            <w:webHidden/>
          </w:rPr>
          <w:t>133</w:t>
        </w:r>
        <w:r w:rsidR="0082344A">
          <w:rPr>
            <w:webHidden/>
          </w:rPr>
          <w:fldChar w:fldCharType="end"/>
        </w:r>
      </w:hyperlink>
    </w:p>
    <w:p w14:paraId="11EA8BCE" w14:textId="2D85D9C4" w:rsidR="00274BB1" w:rsidRPr="00F439FB" w:rsidRDefault="0082344A" w:rsidP="00E4136F">
      <w:pPr>
        <w:pStyle w:val="TableofFigures"/>
        <w:rPr>
          <w:color w:val="4F81BD" w:themeColor="accent1"/>
          <w:sz w:val="24"/>
        </w:rPr>
      </w:pPr>
      <w:r>
        <w:rPr>
          <w:color w:val="4F81BD" w:themeColor="accent1"/>
          <w:sz w:val="24"/>
        </w:rPr>
        <w:fldChar w:fldCharType="end"/>
      </w:r>
    </w:p>
    <w:p w14:paraId="11EA8BCF" w14:textId="58963727" w:rsidR="001C3FA7" w:rsidRDefault="00044E50">
      <w:pPr>
        <w:pStyle w:val="TableofFigures"/>
        <w:rPr>
          <w:rFonts w:asciiTheme="minorHAnsi" w:eastAsiaTheme="minorEastAsia" w:hAnsiTheme="minorHAnsi" w:cstheme="minorBidi"/>
          <w:bCs w:val="0"/>
          <w:szCs w:val="22"/>
          <w:lang w:val="en-AU" w:eastAsia="en-AU"/>
        </w:rPr>
      </w:pPr>
      <w:r w:rsidRPr="00F439FB">
        <w:rPr>
          <w:color w:val="4F81BD" w:themeColor="accent1"/>
          <w:szCs w:val="22"/>
        </w:rPr>
        <w:fldChar w:fldCharType="begin"/>
      </w:r>
      <w:r w:rsidR="006A31B8" w:rsidRPr="00F439FB">
        <w:rPr>
          <w:color w:val="4F81BD" w:themeColor="accent1"/>
          <w:szCs w:val="22"/>
        </w:rPr>
        <w:instrText xml:space="preserve"> TOC \h \z \c "Table A" </w:instrText>
      </w:r>
      <w:r w:rsidRPr="00F439FB">
        <w:rPr>
          <w:color w:val="4F81BD" w:themeColor="accent1"/>
          <w:szCs w:val="22"/>
        </w:rPr>
        <w:fldChar w:fldCharType="separate"/>
      </w:r>
      <w:hyperlink w:anchor="_Toc471373377" w:history="1">
        <w:r w:rsidR="001C3FA7" w:rsidRPr="00B11DAD">
          <w:rPr>
            <w:rStyle w:val="Hyperlink"/>
          </w:rPr>
          <w:t>Table A 1 Thresholds for proportion of macroalgae in the algae communities.</w:t>
        </w:r>
        <w:r w:rsidR="001C3FA7">
          <w:rPr>
            <w:webHidden/>
          </w:rPr>
          <w:tab/>
        </w:r>
        <w:r>
          <w:rPr>
            <w:webHidden/>
          </w:rPr>
          <w:fldChar w:fldCharType="begin"/>
        </w:r>
        <w:r w:rsidR="001C3FA7">
          <w:rPr>
            <w:webHidden/>
          </w:rPr>
          <w:instrText xml:space="preserve"> PAGEREF _Toc471373377 \h </w:instrText>
        </w:r>
        <w:r>
          <w:rPr>
            <w:webHidden/>
          </w:rPr>
        </w:r>
        <w:r>
          <w:rPr>
            <w:webHidden/>
          </w:rPr>
          <w:fldChar w:fldCharType="separate"/>
        </w:r>
        <w:r w:rsidR="00D806F2">
          <w:rPr>
            <w:webHidden/>
          </w:rPr>
          <w:t>90</w:t>
        </w:r>
        <w:r>
          <w:rPr>
            <w:webHidden/>
          </w:rPr>
          <w:fldChar w:fldCharType="end"/>
        </w:r>
      </w:hyperlink>
    </w:p>
    <w:p w14:paraId="11EA8BD0" w14:textId="15CEC1B1" w:rsidR="001C3FA7" w:rsidRDefault="00EF4C08">
      <w:pPr>
        <w:pStyle w:val="TableofFigures"/>
        <w:rPr>
          <w:rFonts w:asciiTheme="minorHAnsi" w:eastAsiaTheme="minorEastAsia" w:hAnsiTheme="minorHAnsi" w:cstheme="minorBidi"/>
          <w:bCs w:val="0"/>
          <w:szCs w:val="22"/>
          <w:lang w:val="en-AU" w:eastAsia="en-AU"/>
        </w:rPr>
      </w:pPr>
      <w:hyperlink w:anchor="_Toc471373378" w:history="1">
        <w:r w:rsidR="001C3FA7" w:rsidRPr="00B11DAD">
          <w:rPr>
            <w:rStyle w:val="Hyperlink"/>
          </w:rPr>
          <w:t>Table A 2 Eigenvalues for hard coral genera along constrained water quality axis..</w:t>
        </w:r>
        <w:r w:rsidR="001C3FA7">
          <w:rPr>
            <w:webHidden/>
          </w:rPr>
          <w:tab/>
        </w:r>
        <w:r w:rsidR="00044E50">
          <w:rPr>
            <w:webHidden/>
          </w:rPr>
          <w:fldChar w:fldCharType="begin"/>
        </w:r>
        <w:r w:rsidR="001C3FA7">
          <w:rPr>
            <w:webHidden/>
          </w:rPr>
          <w:instrText xml:space="preserve"> PAGEREF _Toc471373378 \h </w:instrText>
        </w:r>
        <w:r w:rsidR="00044E50">
          <w:rPr>
            <w:webHidden/>
          </w:rPr>
        </w:r>
        <w:r w:rsidR="00044E50">
          <w:rPr>
            <w:webHidden/>
          </w:rPr>
          <w:fldChar w:fldCharType="separate"/>
        </w:r>
        <w:r w:rsidR="00D806F2">
          <w:rPr>
            <w:webHidden/>
          </w:rPr>
          <w:t>91</w:t>
        </w:r>
        <w:r w:rsidR="00044E50">
          <w:rPr>
            <w:webHidden/>
          </w:rPr>
          <w:fldChar w:fldCharType="end"/>
        </w:r>
      </w:hyperlink>
    </w:p>
    <w:p w14:paraId="11EA8BD1" w14:textId="37E953B5" w:rsidR="001C3FA7" w:rsidRDefault="00EF4C08">
      <w:pPr>
        <w:pStyle w:val="TableofFigures"/>
        <w:rPr>
          <w:rFonts w:asciiTheme="minorHAnsi" w:eastAsiaTheme="minorEastAsia" w:hAnsiTheme="minorHAnsi" w:cstheme="minorBidi"/>
          <w:bCs w:val="0"/>
          <w:szCs w:val="22"/>
          <w:lang w:val="en-AU" w:eastAsia="en-AU"/>
        </w:rPr>
      </w:pPr>
      <w:hyperlink w:anchor="_Toc471373379" w:history="1">
        <w:r w:rsidR="001C3FA7" w:rsidRPr="00B11DAD">
          <w:rPr>
            <w:rStyle w:val="Hyperlink"/>
          </w:rPr>
          <w:t xml:space="preserve">Table A 3 </w:t>
        </w:r>
        <w:r w:rsidR="001C3FA7" w:rsidRPr="00B11DAD">
          <w:rPr>
            <w:rStyle w:val="Hyperlink"/>
            <w:rFonts w:eastAsia="SimSun"/>
          </w:rPr>
          <w:t>Annual freshwater discharge for the major Reef Catchments.</w:t>
        </w:r>
        <w:r w:rsidR="001C3FA7">
          <w:rPr>
            <w:webHidden/>
          </w:rPr>
          <w:tab/>
        </w:r>
        <w:r w:rsidR="00044E50">
          <w:rPr>
            <w:webHidden/>
          </w:rPr>
          <w:fldChar w:fldCharType="begin"/>
        </w:r>
        <w:r w:rsidR="001C3FA7">
          <w:rPr>
            <w:webHidden/>
          </w:rPr>
          <w:instrText xml:space="preserve"> PAGEREF _Toc471373379 \h </w:instrText>
        </w:r>
        <w:r w:rsidR="00044E50">
          <w:rPr>
            <w:webHidden/>
          </w:rPr>
        </w:r>
        <w:r w:rsidR="00044E50">
          <w:rPr>
            <w:webHidden/>
          </w:rPr>
          <w:fldChar w:fldCharType="separate"/>
        </w:r>
        <w:r w:rsidR="00D806F2">
          <w:rPr>
            <w:webHidden/>
          </w:rPr>
          <w:t>92</w:t>
        </w:r>
        <w:r w:rsidR="00044E50">
          <w:rPr>
            <w:webHidden/>
          </w:rPr>
          <w:fldChar w:fldCharType="end"/>
        </w:r>
      </w:hyperlink>
    </w:p>
    <w:p w14:paraId="11EA8BD2" w14:textId="0D3D0745" w:rsidR="001C3FA7" w:rsidRDefault="00EF4C08">
      <w:pPr>
        <w:pStyle w:val="TableofFigures"/>
        <w:rPr>
          <w:rFonts w:asciiTheme="minorHAnsi" w:eastAsiaTheme="minorEastAsia" w:hAnsiTheme="minorHAnsi" w:cstheme="minorBidi"/>
          <w:bCs w:val="0"/>
          <w:szCs w:val="22"/>
          <w:lang w:val="en-AU" w:eastAsia="en-AU"/>
        </w:rPr>
      </w:pPr>
      <w:hyperlink w:anchor="_Toc471373380" w:history="1">
        <w:r w:rsidR="001C3FA7" w:rsidRPr="00B11DAD">
          <w:rPr>
            <w:rStyle w:val="Hyperlink"/>
          </w:rPr>
          <w:t>Table A 4 Disturbance records for each reef..</w:t>
        </w:r>
        <w:r w:rsidR="001C3FA7">
          <w:rPr>
            <w:webHidden/>
          </w:rPr>
          <w:tab/>
        </w:r>
        <w:r w:rsidR="00044E50">
          <w:rPr>
            <w:webHidden/>
          </w:rPr>
          <w:fldChar w:fldCharType="begin"/>
        </w:r>
        <w:r w:rsidR="001C3FA7">
          <w:rPr>
            <w:webHidden/>
          </w:rPr>
          <w:instrText xml:space="preserve"> PAGEREF _Toc471373380 \h </w:instrText>
        </w:r>
        <w:r w:rsidR="00044E50">
          <w:rPr>
            <w:webHidden/>
          </w:rPr>
        </w:r>
        <w:r w:rsidR="00044E50">
          <w:rPr>
            <w:webHidden/>
          </w:rPr>
          <w:fldChar w:fldCharType="separate"/>
        </w:r>
        <w:r w:rsidR="00D806F2">
          <w:rPr>
            <w:webHidden/>
          </w:rPr>
          <w:t>93</w:t>
        </w:r>
        <w:r w:rsidR="00044E50">
          <w:rPr>
            <w:webHidden/>
          </w:rPr>
          <w:fldChar w:fldCharType="end"/>
        </w:r>
      </w:hyperlink>
    </w:p>
    <w:p w14:paraId="11EA8BD3" w14:textId="794CA499" w:rsidR="001C3FA7" w:rsidRDefault="00EF4C08">
      <w:pPr>
        <w:pStyle w:val="TableofFigures"/>
        <w:rPr>
          <w:rFonts w:asciiTheme="minorHAnsi" w:eastAsiaTheme="minorEastAsia" w:hAnsiTheme="minorHAnsi" w:cstheme="minorBidi"/>
          <w:bCs w:val="0"/>
          <w:szCs w:val="22"/>
          <w:lang w:val="en-AU" w:eastAsia="en-AU"/>
        </w:rPr>
      </w:pPr>
      <w:hyperlink w:anchor="_Toc471373381" w:history="1">
        <w:r w:rsidR="001C3FA7" w:rsidRPr="00B11DAD">
          <w:rPr>
            <w:rStyle w:val="Hyperlink"/>
          </w:rPr>
          <w:t>Table A 5</w:t>
        </w:r>
        <w:r w:rsidR="001C3FA7" w:rsidRPr="00B11DAD">
          <w:rPr>
            <w:rStyle w:val="Hyperlink"/>
            <w:rFonts w:eastAsia="SimSun"/>
          </w:rPr>
          <w:t xml:space="preserve"> Re</w:t>
        </w:r>
        <w:r w:rsidR="001C3FA7" w:rsidRPr="00B11DAD">
          <w:rPr>
            <w:rStyle w:val="Hyperlink"/>
          </w:rPr>
          <w:t>ef level indicator scores.</w:t>
        </w:r>
        <w:r w:rsidR="001C3FA7">
          <w:rPr>
            <w:webHidden/>
          </w:rPr>
          <w:tab/>
        </w:r>
        <w:r w:rsidR="00044E50">
          <w:rPr>
            <w:webHidden/>
          </w:rPr>
          <w:fldChar w:fldCharType="begin"/>
        </w:r>
        <w:r w:rsidR="001C3FA7">
          <w:rPr>
            <w:webHidden/>
          </w:rPr>
          <w:instrText xml:space="preserve"> PAGEREF _Toc471373381 \h </w:instrText>
        </w:r>
        <w:r w:rsidR="00044E50">
          <w:rPr>
            <w:webHidden/>
          </w:rPr>
        </w:r>
        <w:r w:rsidR="00044E50">
          <w:rPr>
            <w:webHidden/>
          </w:rPr>
          <w:fldChar w:fldCharType="separate"/>
        </w:r>
        <w:r w:rsidR="00D806F2">
          <w:rPr>
            <w:webHidden/>
          </w:rPr>
          <w:t>96</w:t>
        </w:r>
        <w:r w:rsidR="00044E50">
          <w:rPr>
            <w:webHidden/>
          </w:rPr>
          <w:fldChar w:fldCharType="end"/>
        </w:r>
      </w:hyperlink>
    </w:p>
    <w:p w14:paraId="11EA8BD4" w14:textId="0C538D2D" w:rsidR="001C3FA7" w:rsidRDefault="00EF4C08">
      <w:pPr>
        <w:pStyle w:val="TableofFigures"/>
        <w:rPr>
          <w:rFonts w:asciiTheme="minorHAnsi" w:eastAsiaTheme="minorEastAsia" w:hAnsiTheme="minorHAnsi" w:cstheme="minorBidi"/>
          <w:bCs w:val="0"/>
          <w:szCs w:val="22"/>
          <w:lang w:val="en-AU" w:eastAsia="en-AU"/>
        </w:rPr>
      </w:pPr>
      <w:hyperlink w:anchor="_Toc471373382" w:history="1">
        <w:r w:rsidR="001C3FA7" w:rsidRPr="00B11DAD">
          <w:rPr>
            <w:rStyle w:val="Hyperlink"/>
          </w:rPr>
          <w:t>Table A 6 Environmental covariates for coral locations.</w:t>
        </w:r>
        <w:r w:rsidR="001C3FA7">
          <w:rPr>
            <w:webHidden/>
          </w:rPr>
          <w:tab/>
        </w:r>
        <w:r w:rsidR="00044E50">
          <w:rPr>
            <w:webHidden/>
          </w:rPr>
          <w:fldChar w:fldCharType="begin"/>
        </w:r>
        <w:r w:rsidR="001C3FA7">
          <w:rPr>
            <w:webHidden/>
          </w:rPr>
          <w:instrText xml:space="preserve"> PAGEREF _Toc471373382 \h </w:instrText>
        </w:r>
        <w:r w:rsidR="00044E50">
          <w:rPr>
            <w:webHidden/>
          </w:rPr>
        </w:r>
        <w:r w:rsidR="00044E50">
          <w:rPr>
            <w:webHidden/>
          </w:rPr>
          <w:fldChar w:fldCharType="separate"/>
        </w:r>
        <w:r w:rsidR="00D806F2">
          <w:rPr>
            <w:webHidden/>
          </w:rPr>
          <w:t>98</w:t>
        </w:r>
        <w:r w:rsidR="00044E50">
          <w:rPr>
            <w:webHidden/>
          </w:rPr>
          <w:fldChar w:fldCharType="end"/>
        </w:r>
      </w:hyperlink>
    </w:p>
    <w:p w14:paraId="11EA8BD5" w14:textId="7C5BBA1B" w:rsidR="001C3FA7" w:rsidRDefault="00EF4C08">
      <w:pPr>
        <w:pStyle w:val="TableofFigures"/>
        <w:rPr>
          <w:rFonts w:asciiTheme="minorHAnsi" w:eastAsiaTheme="minorEastAsia" w:hAnsiTheme="minorHAnsi" w:cstheme="minorBidi"/>
          <w:bCs w:val="0"/>
          <w:szCs w:val="22"/>
          <w:lang w:val="en-AU" w:eastAsia="en-AU"/>
        </w:rPr>
      </w:pPr>
      <w:hyperlink w:anchor="_Toc471373383" w:history="1">
        <w:r w:rsidR="001C3FA7" w:rsidRPr="00B11DAD">
          <w:rPr>
            <w:rStyle w:val="Hyperlink"/>
          </w:rPr>
          <w:t>Table A 7 Composition of hard coral communities.</w:t>
        </w:r>
        <w:r w:rsidR="001C3FA7">
          <w:rPr>
            <w:webHidden/>
          </w:rPr>
          <w:tab/>
        </w:r>
        <w:r w:rsidR="00044E50">
          <w:rPr>
            <w:webHidden/>
          </w:rPr>
          <w:fldChar w:fldCharType="begin"/>
        </w:r>
        <w:r w:rsidR="001C3FA7">
          <w:rPr>
            <w:webHidden/>
          </w:rPr>
          <w:instrText xml:space="preserve"> PAGEREF _Toc471373383 \h </w:instrText>
        </w:r>
        <w:r w:rsidR="00044E50">
          <w:rPr>
            <w:webHidden/>
          </w:rPr>
        </w:r>
        <w:r w:rsidR="00044E50">
          <w:rPr>
            <w:webHidden/>
          </w:rPr>
          <w:fldChar w:fldCharType="separate"/>
        </w:r>
        <w:r w:rsidR="00D806F2">
          <w:rPr>
            <w:webHidden/>
          </w:rPr>
          <w:t>116</w:t>
        </w:r>
        <w:r w:rsidR="00044E50">
          <w:rPr>
            <w:webHidden/>
          </w:rPr>
          <w:fldChar w:fldCharType="end"/>
        </w:r>
      </w:hyperlink>
    </w:p>
    <w:p w14:paraId="11EA8BD6" w14:textId="65FF97F1" w:rsidR="001C3FA7" w:rsidRDefault="00EF4C08">
      <w:pPr>
        <w:pStyle w:val="TableofFigures"/>
        <w:rPr>
          <w:rFonts w:asciiTheme="minorHAnsi" w:eastAsiaTheme="minorEastAsia" w:hAnsiTheme="minorHAnsi" w:cstheme="minorBidi"/>
          <w:bCs w:val="0"/>
          <w:szCs w:val="22"/>
          <w:lang w:val="en-AU" w:eastAsia="en-AU"/>
        </w:rPr>
      </w:pPr>
      <w:hyperlink w:anchor="_Toc471373384" w:history="1">
        <w:r w:rsidR="001C3FA7" w:rsidRPr="00B11DAD">
          <w:rPr>
            <w:rStyle w:val="Hyperlink"/>
          </w:rPr>
          <w:t>Table A 8 Composition of soft coral communities.</w:t>
        </w:r>
        <w:r w:rsidR="001C3FA7">
          <w:rPr>
            <w:webHidden/>
          </w:rPr>
          <w:tab/>
        </w:r>
        <w:r w:rsidR="00044E50">
          <w:rPr>
            <w:webHidden/>
          </w:rPr>
          <w:fldChar w:fldCharType="begin"/>
        </w:r>
        <w:r w:rsidR="001C3FA7">
          <w:rPr>
            <w:webHidden/>
          </w:rPr>
          <w:instrText xml:space="preserve"> PAGEREF _Toc471373384 \h </w:instrText>
        </w:r>
        <w:r w:rsidR="00044E50">
          <w:rPr>
            <w:webHidden/>
          </w:rPr>
        </w:r>
        <w:r w:rsidR="00044E50">
          <w:rPr>
            <w:webHidden/>
          </w:rPr>
          <w:fldChar w:fldCharType="separate"/>
        </w:r>
        <w:r w:rsidR="00D806F2">
          <w:rPr>
            <w:webHidden/>
          </w:rPr>
          <w:t>120</w:t>
        </w:r>
        <w:r w:rsidR="00044E50">
          <w:rPr>
            <w:webHidden/>
          </w:rPr>
          <w:fldChar w:fldCharType="end"/>
        </w:r>
      </w:hyperlink>
    </w:p>
    <w:p w14:paraId="11EA8BD7" w14:textId="1974D564" w:rsidR="001C3FA7" w:rsidRDefault="00EF4C08">
      <w:pPr>
        <w:pStyle w:val="TableofFigures"/>
        <w:rPr>
          <w:rFonts w:asciiTheme="minorHAnsi" w:eastAsiaTheme="minorEastAsia" w:hAnsiTheme="minorHAnsi" w:cstheme="minorBidi"/>
          <w:bCs w:val="0"/>
          <w:szCs w:val="22"/>
          <w:lang w:val="en-AU" w:eastAsia="en-AU"/>
        </w:rPr>
      </w:pPr>
      <w:hyperlink w:anchor="_Toc471373385" w:history="1">
        <w:r w:rsidR="001C3FA7" w:rsidRPr="00B11DAD">
          <w:rPr>
            <w:rStyle w:val="Hyperlink"/>
          </w:rPr>
          <w:t>Table A 9 Composition of macroalgal communities.</w:t>
        </w:r>
        <w:r w:rsidR="001C3FA7">
          <w:rPr>
            <w:webHidden/>
          </w:rPr>
          <w:tab/>
        </w:r>
        <w:r w:rsidR="00044E50">
          <w:rPr>
            <w:webHidden/>
          </w:rPr>
          <w:fldChar w:fldCharType="begin"/>
        </w:r>
        <w:r w:rsidR="001C3FA7">
          <w:rPr>
            <w:webHidden/>
          </w:rPr>
          <w:instrText xml:space="preserve"> PAGEREF _Toc471373385 \h </w:instrText>
        </w:r>
        <w:r w:rsidR="00044E50">
          <w:rPr>
            <w:webHidden/>
          </w:rPr>
        </w:r>
        <w:r w:rsidR="00044E50">
          <w:rPr>
            <w:webHidden/>
          </w:rPr>
          <w:fldChar w:fldCharType="separate"/>
        </w:r>
        <w:r w:rsidR="00D806F2">
          <w:rPr>
            <w:webHidden/>
          </w:rPr>
          <w:t>123</w:t>
        </w:r>
        <w:r w:rsidR="00044E50">
          <w:rPr>
            <w:webHidden/>
          </w:rPr>
          <w:fldChar w:fldCharType="end"/>
        </w:r>
      </w:hyperlink>
    </w:p>
    <w:p w14:paraId="11EA8BD8" w14:textId="77777777" w:rsidR="006D561F" w:rsidRPr="00F439FB" w:rsidRDefault="00044E50">
      <w:pPr>
        <w:rPr>
          <w:rFonts w:cs="Arial"/>
          <w:color w:val="4F81BD" w:themeColor="accent1"/>
          <w:szCs w:val="22"/>
        </w:rPr>
      </w:pPr>
      <w:r w:rsidRPr="00F439FB">
        <w:rPr>
          <w:rFonts w:cs="Arial"/>
          <w:color w:val="4F81BD" w:themeColor="accent1"/>
          <w:szCs w:val="22"/>
        </w:rPr>
        <w:fldChar w:fldCharType="end"/>
      </w:r>
    </w:p>
    <w:p w14:paraId="11EA8BD9" w14:textId="77777777" w:rsidR="00274BB1" w:rsidRPr="00F439FB" w:rsidRDefault="00274BB1">
      <w:pPr>
        <w:rPr>
          <w:color w:val="4F81BD" w:themeColor="accent1"/>
        </w:rPr>
      </w:pPr>
    </w:p>
    <w:p w14:paraId="11EA8BDA" w14:textId="4A6F6ACF" w:rsidR="006E3C16" w:rsidRPr="004B62DE" w:rsidRDefault="00180836">
      <w:r w:rsidRPr="004B62DE">
        <w:t>Abbreviations used:</w:t>
      </w:r>
    </w:p>
    <w:p w14:paraId="79EE9297" w14:textId="45ECD2CC" w:rsidR="00180836" w:rsidRPr="004B62DE" w:rsidRDefault="00180836">
      <w:r w:rsidRPr="004B62DE">
        <w:t>AIMS - Australian Institute of Marine Science</w:t>
      </w:r>
    </w:p>
    <w:p w14:paraId="6750FF8D" w14:textId="77777777" w:rsidR="0042623E" w:rsidRDefault="0042623E" w:rsidP="0042623E">
      <w:r>
        <w:t>COTS – crown-of-thorns starfish</w:t>
      </w:r>
    </w:p>
    <w:p w14:paraId="041DB50E" w14:textId="0BE4E5CF" w:rsidR="00180836" w:rsidRPr="004B62DE" w:rsidRDefault="00180836">
      <w:r w:rsidRPr="004B62DE">
        <w:t>The Reef - Great Barrier Reef World Heritage Area</w:t>
      </w:r>
    </w:p>
    <w:p w14:paraId="77C685D6" w14:textId="295FBCC5" w:rsidR="00180836" w:rsidRPr="004B62DE" w:rsidRDefault="00180836">
      <w:r w:rsidRPr="004B62DE">
        <w:t>MMP- Marine Monitoring Program</w:t>
      </w:r>
    </w:p>
    <w:p w14:paraId="1DEFF009" w14:textId="58D9912E" w:rsidR="00180836" w:rsidRPr="004B62DE" w:rsidRDefault="00180836">
      <w:r w:rsidRPr="004B62DE">
        <w:t>Reef Plan - Reef Water Quality Protection Plan</w:t>
      </w:r>
    </w:p>
    <w:p w14:paraId="5DFC0E9C" w14:textId="2DA373B8" w:rsidR="00180836" w:rsidRPr="004B62DE" w:rsidRDefault="00180836">
      <w:r w:rsidRPr="004B62DE">
        <w:t>Reef 2050 Plan - Reef 2050 Long Term Sustainability Plan</w:t>
      </w:r>
    </w:p>
    <w:p w14:paraId="0129D145" w14:textId="729B23CC" w:rsidR="00180836" w:rsidRPr="004B62DE" w:rsidRDefault="00180836">
      <w:r w:rsidRPr="004B62DE">
        <w:t>BOM - Bureau of Meteorology</w:t>
      </w:r>
    </w:p>
    <w:p w14:paraId="50A949D1" w14:textId="44B92DAA" w:rsidR="00180836" w:rsidRPr="004B62DE" w:rsidRDefault="00180836">
      <w:r w:rsidRPr="004B62DE">
        <w:t xml:space="preserve">JCU - James Cook University </w:t>
      </w:r>
    </w:p>
    <w:p w14:paraId="6BEFBDE0" w14:textId="7FE38E29" w:rsidR="00180836" w:rsidRPr="004B62DE" w:rsidRDefault="00180836">
      <w:pPr>
        <w:sectPr w:rsidR="00180836" w:rsidRPr="004B62DE" w:rsidSect="006E3C16">
          <w:headerReference w:type="even" r:id="rId27"/>
          <w:footerReference w:type="default" r:id="rId28"/>
          <w:headerReference w:type="first" r:id="rId29"/>
          <w:pgSz w:w="11907" w:h="16840" w:code="9"/>
          <w:pgMar w:top="1440" w:right="1134" w:bottom="1135" w:left="1134" w:header="709" w:footer="709" w:gutter="0"/>
          <w:pgNumType w:fmt="lowerRoman" w:start="1"/>
          <w:cols w:space="708"/>
          <w:docGrid w:linePitch="360"/>
        </w:sectPr>
      </w:pPr>
      <w:r w:rsidRPr="004B62DE">
        <w:t>GBRMPA – Great Barrier Reef Marine Park Authority</w:t>
      </w:r>
    </w:p>
    <w:p w14:paraId="11EA8BDB" w14:textId="77777777" w:rsidR="0001199E" w:rsidRPr="00F439FB" w:rsidRDefault="0001199E" w:rsidP="00B05739">
      <w:pPr>
        <w:pStyle w:val="Heading1"/>
        <w:numPr>
          <w:ilvl w:val="0"/>
          <w:numId w:val="42"/>
        </w:numPr>
      </w:pPr>
      <w:bookmarkStart w:id="16" w:name="_Toc491847354"/>
      <w:bookmarkStart w:id="17" w:name="_Toc493153289"/>
      <w:r w:rsidRPr="00F439FB">
        <w:t>Executive Summary</w:t>
      </w:r>
      <w:bookmarkEnd w:id="7"/>
      <w:bookmarkEnd w:id="8"/>
      <w:bookmarkEnd w:id="9"/>
      <w:bookmarkEnd w:id="10"/>
      <w:bookmarkEnd w:id="11"/>
      <w:bookmarkEnd w:id="12"/>
      <w:bookmarkEnd w:id="13"/>
      <w:bookmarkEnd w:id="14"/>
      <w:bookmarkEnd w:id="15"/>
      <w:bookmarkEnd w:id="16"/>
      <w:bookmarkEnd w:id="17"/>
    </w:p>
    <w:p w14:paraId="73C41D6B" w14:textId="3377B5D8" w:rsidR="006D21A5" w:rsidRDefault="00077039" w:rsidP="00085F46">
      <w:pPr>
        <w:rPr>
          <w:color w:val="000000" w:themeColor="text1"/>
        </w:rPr>
      </w:pPr>
      <w:r w:rsidRPr="002D6E82">
        <w:rPr>
          <w:rFonts w:eastAsia="MS Mincho"/>
        </w:rPr>
        <w:t xml:space="preserve">The </w:t>
      </w:r>
      <w:r>
        <w:rPr>
          <w:rFonts w:eastAsia="MS Mincho"/>
        </w:rPr>
        <w:t xml:space="preserve">Marine Monitoring Program </w:t>
      </w:r>
      <w:r w:rsidR="00352B5B">
        <w:rPr>
          <w:rFonts w:eastAsia="MS Mincho"/>
        </w:rPr>
        <w:t xml:space="preserve">(MMP) was established in 2005 </w:t>
      </w:r>
      <w:r w:rsidR="00A62CC0">
        <w:rPr>
          <w:rFonts w:eastAsia="MS Mincho"/>
        </w:rPr>
        <w:t>to</w:t>
      </w:r>
      <w:r w:rsidR="00A62CC0" w:rsidRPr="002D6E82">
        <w:rPr>
          <w:rFonts w:eastAsia="MS Mincho"/>
        </w:rPr>
        <w:t xml:space="preserve"> </w:t>
      </w:r>
      <w:r w:rsidR="00A62CC0" w:rsidRPr="002D6E82">
        <w:rPr>
          <w:rFonts w:cs="Arial"/>
          <w:szCs w:val="22"/>
        </w:rPr>
        <w:t xml:space="preserve">assess status and trends in ecosystem health and resilience indicators for the Great Barrier Reef </w:t>
      </w:r>
      <w:r w:rsidR="00A62CC0">
        <w:rPr>
          <w:rFonts w:cs="Arial"/>
          <w:szCs w:val="22"/>
        </w:rPr>
        <w:t xml:space="preserve">(the Reef). The results of the MMP are integral to </w:t>
      </w:r>
      <w:r w:rsidRPr="002D6E82">
        <w:rPr>
          <w:rFonts w:cs="Arial"/>
          <w:szCs w:val="22"/>
        </w:rPr>
        <w:t>assess</w:t>
      </w:r>
      <w:r w:rsidR="00A62CC0">
        <w:rPr>
          <w:rFonts w:cs="Arial"/>
          <w:szCs w:val="22"/>
        </w:rPr>
        <w:t>ing</w:t>
      </w:r>
      <w:r w:rsidRPr="002D6E82">
        <w:rPr>
          <w:rFonts w:cs="Arial"/>
          <w:szCs w:val="22"/>
        </w:rPr>
        <w:t xml:space="preserve"> </w:t>
      </w:r>
      <w:r w:rsidR="00F33418">
        <w:rPr>
          <w:rFonts w:cs="Arial"/>
          <w:szCs w:val="22"/>
        </w:rPr>
        <w:t xml:space="preserve">the long-term </w:t>
      </w:r>
      <w:r w:rsidR="00A62CC0">
        <w:rPr>
          <w:rFonts w:cs="Arial"/>
          <w:szCs w:val="22"/>
        </w:rPr>
        <w:t xml:space="preserve">effectiveness of the Reef Water Quality Protection Plan (Reef Plan) and are the basis for marine condition scores reported in annual Reef Report Cards. </w:t>
      </w:r>
      <w:r w:rsidR="0001199E" w:rsidRPr="005F31E5">
        <w:rPr>
          <w:color w:val="000000" w:themeColor="text1"/>
        </w:rPr>
        <w:t>This report</w:t>
      </w:r>
      <w:r w:rsidR="00C071F4">
        <w:rPr>
          <w:color w:val="000000" w:themeColor="text1"/>
        </w:rPr>
        <w:t xml:space="preserve"> </w:t>
      </w:r>
      <w:r w:rsidR="0001199E" w:rsidRPr="005F31E5">
        <w:rPr>
          <w:color w:val="000000" w:themeColor="text1"/>
        </w:rPr>
        <w:t xml:space="preserve">summarises </w:t>
      </w:r>
      <w:r w:rsidR="00D03AEE">
        <w:rPr>
          <w:color w:val="000000" w:themeColor="text1"/>
        </w:rPr>
        <w:t xml:space="preserve">coral reef benthic community </w:t>
      </w:r>
      <w:r w:rsidR="0001199E" w:rsidRPr="005F31E5">
        <w:rPr>
          <w:color w:val="000000" w:themeColor="text1"/>
        </w:rPr>
        <w:t xml:space="preserve">results </w:t>
      </w:r>
      <w:r w:rsidR="00D03AEE">
        <w:rPr>
          <w:color w:val="000000" w:themeColor="text1"/>
        </w:rPr>
        <w:t xml:space="preserve">used to derive </w:t>
      </w:r>
      <w:r w:rsidR="00C071F4">
        <w:rPr>
          <w:color w:val="000000" w:themeColor="text1"/>
        </w:rPr>
        <w:t>report card scores for 2016.</w:t>
      </w:r>
      <w:r w:rsidR="00E75F5C">
        <w:rPr>
          <w:color w:val="000000" w:themeColor="text1"/>
        </w:rPr>
        <w:t xml:space="preserve"> </w:t>
      </w:r>
    </w:p>
    <w:p w14:paraId="11EA8BE4" w14:textId="05E43855" w:rsidR="005F65D5" w:rsidRDefault="00736B37" w:rsidP="00016545">
      <w:r>
        <w:t xml:space="preserve">Report card scores </w:t>
      </w:r>
      <w:r w:rsidR="00707446">
        <w:t xml:space="preserve">are estimated at the scale </w:t>
      </w:r>
      <w:r w:rsidR="00707446">
        <w:rPr>
          <w:color w:val="000000" w:themeColor="text1"/>
        </w:rPr>
        <w:t>Natural Resource Management (NRM) regions</w:t>
      </w:r>
      <w:r w:rsidR="00707446">
        <w:t xml:space="preserve"> </w:t>
      </w:r>
      <w:r w:rsidR="00A4795C">
        <w:t>and represent</w:t>
      </w:r>
      <w:r>
        <w:t xml:space="preserve"> an index </w:t>
      </w:r>
      <w:r w:rsidR="00E617EE">
        <w:t xml:space="preserve">that aggregates over </w:t>
      </w:r>
      <w:r w:rsidR="00707446">
        <w:t xml:space="preserve">five </w:t>
      </w:r>
      <w:r w:rsidR="0001199E" w:rsidRPr="002D6E82">
        <w:t>indicators</w:t>
      </w:r>
      <w:r w:rsidR="00DA4936" w:rsidRPr="002D6E82">
        <w:t>; coral cover, hard coral community composition, macroalgae cover, juvenile coral density and the rate of coral cover increase</w:t>
      </w:r>
      <w:r w:rsidR="00860E07" w:rsidRPr="002D6E82">
        <w:t>.</w:t>
      </w:r>
      <w:r w:rsidR="00A43F29" w:rsidRPr="002D6E82">
        <w:t xml:space="preserve"> </w:t>
      </w:r>
      <w:r w:rsidR="00707446">
        <w:rPr>
          <w:color w:val="000000" w:themeColor="text1"/>
        </w:rPr>
        <w:t xml:space="preserve">Data were derived from 2 m and 5 m depths at 32 reefs monitored by the MMP in addition to data from single depths at 9 inshore reefs monitored the </w:t>
      </w:r>
      <w:r w:rsidR="00707446" w:rsidRPr="005F31E5">
        <w:rPr>
          <w:color w:val="000000" w:themeColor="text1"/>
        </w:rPr>
        <w:t>Australian Institute of Marine Science</w:t>
      </w:r>
      <w:r w:rsidR="00707446">
        <w:rPr>
          <w:color w:val="000000" w:themeColor="text1"/>
        </w:rPr>
        <w:t xml:space="preserve"> – Long Term Monitoring Program</w:t>
      </w:r>
      <w:r w:rsidR="00707446" w:rsidRPr="005F31E5">
        <w:rPr>
          <w:color w:val="000000" w:themeColor="text1"/>
        </w:rPr>
        <w:t xml:space="preserve"> (</w:t>
      </w:r>
      <w:r w:rsidR="00707446">
        <w:rPr>
          <w:color w:val="000000" w:themeColor="text1"/>
        </w:rPr>
        <w:t>LTMP)</w:t>
      </w:r>
      <w:r w:rsidR="00707446" w:rsidRPr="005F31E5">
        <w:rPr>
          <w:color w:val="000000" w:themeColor="text1"/>
        </w:rPr>
        <w:t>.</w:t>
      </w:r>
      <w:r w:rsidR="00707446">
        <w:rPr>
          <w:color w:val="000000" w:themeColor="text1"/>
        </w:rPr>
        <w:t xml:space="preserve"> Interpretation of trends in the index and individual indicators was reliant on the consideration of environmental data collected at coral monitoring sites or sourced from the Australian Bureau of Meteorology, the Queensland Department of Natural Resources and Mines and the water quality subprogram of the MMP.</w:t>
      </w:r>
      <w:r w:rsidR="00E75F5C">
        <w:rPr>
          <w:color w:val="000000" w:themeColor="text1"/>
        </w:rPr>
        <w:t xml:space="preserve"> </w:t>
      </w:r>
    </w:p>
    <w:p w14:paraId="191054CD" w14:textId="2F5A0369" w:rsidR="00DC3A6A" w:rsidRDefault="00D4780D" w:rsidP="00016545">
      <w:r>
        <w:t xml:space="preserve">Conditions over the </w:t>
      </w:r>
      <w:r w:rsidR="00E16351">
        <w:t>2015-16 summer w</w:t>
      </w:r>
      <w:r>
        <w:t>ere</w:t>
      </w:r>
      <w:r w:rsidR="00E16351">
        <w:t xml:space="preserve"> relatively benign in the areas of the Reef covered by this report. There were no cyclones and discharge from rivers was below long-term medians in all regions</w:t>
      </w:r>
      <w:r w:rsidR="00976100">
        <w:t>,</w:t>
      </w:r>
      <w:r w:rsidR="00E16351">
        <w:t xml:space="preserve"> with the exception of </w:t>
      </w:r>
      <w:r w:rsidR="00B63E50">
        <w:t xml:space="preserve">the </w:t>
      </w:r>
      <w:r w:rsidR="00E16351">
        <w:t>Fitzroy</w:t>
      </w:r>
      <w:r w:rsidR="00B63E50">
        <w:t xml:space="preserve"> region. D</w:t>
      </w:r>
      <w:r w:rsidR="00E16351">
        <w:t xml:space="preserve">ischarge from the Fitzroy River was 1.3 times median </w:t>
      </w:r>
      <w:r w:rsidR="005B52B1">
        <w:t>though</w:t>
      </w:r>
      <w:r w:rsidR="00E16351">
        <w:t xml:space="preserve"> no major flooding was recorded. Water temperatures were above site specific</w:t>
      </w:r>
      <w:r w:rsidR="007B74C5">
        <w:t xml:space="preserve"> medians recorded over the last decade</w:t>
      </w:r>
      <w:r w:rsidR="00976100">
        <w:t>,</w:t>
      </w:r>
      <w:r w:rsidR="007B74C5">
        <w:t xml:space="preserve"> </w:t>
      </w:r>
      <w:r w:rsidR="00976100">
        <w:t>however</w:t>
      </w:r>
      <w:r w:rsidR="007B74C5">
        <w:t xml:space="preserve"> only minor coral bleaching occurred. Elevated populations of crown-of-thorns starfish were restricted to reefs in the Johnstone Russell – Mulgrave sub-region of the Wet Tropics</w:t>
      </w:r>
      <w:r w:rsidR="00B63E50">
        <w:t xml:space="preserve"> where </w:t>
      </w:r>
      <w:r w:rsidR="007B74C5">
        <w:t xml:space="preserve">loss of </w:t>
      </w:r>
      <w:r w:rsidR="00B63E50">
        <w:t xml:space="preserve">coral </w:t>
      </w:r>
      <w:r w:rsidR="007B74C5">
        <w:t xml:space="preserve">cover was minimal. </w:t>
      </w:r>
    </w:p>
    <w:p w14:paraId="4A0AC24E" w14:textId="6DE5509B" w:rsidR="00C37013" w:rsidRDefault="00094507" w:rsidP="00B56F9A">
      <w:pPr>
        <w:rPr>
          <w:rFonts w:cs="Arial"/>
        </w:rPr>
      </w:pPr>
      <w:r>
        <w:rPr>
          <w:rFonts w:cs="Arial"/>
        </w:rPr>
        <w:t xml:space="preserve">In 2016 the </w:t>
      </w:r>
      <w:r w:rsidRPr="00C90034">
        <w:rPr>
          <w:rFonts w:cs="Arial"/>
        </w:rPr>
        <w:t xml:space="preserve">coral index </w:t>
      </w:r>
      <w:r>
        <w:rPr>
          <w:rFonts w:cs="Arial"/>
        </w:rPr>
        <w:t xml:space="preserve">scores continued to improve </w:t>
      </w:r>
      <w:r w:rsidRPr="00C90034">
        <w:rPr>
          <w:rFonts w:cs="Arial"/>
        </w:rPr>
        <w:t xml:space="preserve">in all </w:t>
      </w:r>
      <w:r w:rsidR="007B74C5">
        <w:rPr>
          <w:rFonts w:cs="Arial"/>
        </w:rPr>
        <w:t>regions</w:t>
      </w:r>
      <w:r w:rsidR="007B74C5">
        <w:rPr>
          <w:rStyle w:val="CommentReference"/>
          <w:rFonts w:ascii="Gill Sans MT" w:hAnsi="Gill Sans MT"/>
          <w:lang w:val="en-AU" w:eastAsia="en-AU"/>
        </w:rPr>
        <w:t>.</w:t>
      </w:r>
      <w:r w:rsidR="007B74C5">
        <w:rPr>
          <w:rFonts w:cs="Arial"/>
        </w:rPr>
        <w:t xml:space="preserve"> </w:t>
      </w:r>
      <w:r w:rsidR="00F60324">
        <w:rPr>
          <w:rFonts w:cs="Arial"/>
        </w:rPr>
        <w:t>I</w:t>
      </w:r>
      <w:r w:rsidRPr="00C90034">
        <w:rPr>
          <w:rFonts w:cs="Arial"/>
        </w:rPr>
        <w:t>mprovement</w:t>
      </w:r>
      <w:r>
        <w:rPr>
          <w:rFonts w:cs="Arial"/>
        </w:rPr>
        <w:t xml:space="preserve">s </w:t>
      </w:r>
      <w:r w:rsidR="00D4780D">
        <w:rPr>
          <w:rFonts w:cs="Arial"/>
        </w:rPr>
        <w:t>we</w:t>
      </w:r>
      <w:r>
        <w:rPr>
          <w:rFonts w:cs="Arial"/>
        </w:rPr>
        <w:t xml:space="preserve">re generally </w:t>
      </w:r>
      <w:r w:rsidRPr="00C90034">
        <w:rPr>
          <w:rFonts w:cs="Arial"/>
        </w:rPr>
        <w:t xml:space="preserve">consistent across community resilience indicators and </w:t>
      </w:r>
      <w:r w:rsidR="00F60324">
        <w:rPr>
          <w:rFonts w:cs="Arial"/>
        </w:rPr>
        <w:t xml:space="preserve">contrast declining scores observed through to 2012-2014, depending on region. Declines in the index occurred as a result of the cumulative impact of acute disturbance events that coincided with a period of high rainfall that led to </w:t>
      </w:r>
      <w:r w:rsidR="008A37BF">
        <w:rPr>
          <w:rFonts w:cs="Arial"/>
        </w:rPr>
        <w:t>high l</w:t>
      </w:r>
      <w:r w:rsidRPr="00C90034">
        <w:rPr>
          <w:rFonts w:cs="Arial"/>
        </w:rPr>
        <w:t xml:space="preserve">oads of nutrients and sediments entering the Great Barrier Reef (the </w:t>
      </w:r>
      <w:r>
        <w:rPr>
          <w:rFonts w:cs="Arial"/>
        </w:rPr>
        <w:t>Reef)</w:t>
      </w:r>
      <w:r w:rsidR="00F60324">
        <w:rPr>
          <w:rFonts w:cs="Arial"/>
        </w:rPr>
        <w:t xml:space="preserve">. </w:t>
      </w:r>
      <w:r w:rsidR="003A7017">
        <w:rPr>
          <w:rFonts w:cs="Arial"/>
        </w:rPr>
        <w:t xml:space="preserve">Importantly the observed improvements in index scores illustrate an underlying capacity for coral communities to recover when cumulative pressures are relatively low. </w:t>
      </w:r>
      <w:r w:rsidR="005C0CA1">
        <w:rPr>
          <w:rFonts w:cs="Arial"/>
        </w:rPr>
        <w:t xml:space="preserve">Disentangling the role of acute disturbances in reducing index scores, revealed that </w:t>
      </w:r>
      <w:r w:rsidR="00846F96">
        <w:rPr>
          <w:rFonts w:cs="Arial"/>
        </w:rPr>
        <w:t>in three of the four Regions (Mackay Whitsunday excepted)</w:t>
      </w:r>
      <w:r w:rsidR="001C28D6">
        <w:rPr>
          <w:rFonts w:cs="Arial"/>
        </w:rPr>
        <w:t>,</w:t>
      </w:r>
      <w:r w:rsidR="00846F96">
        <w:rPr>
          <w:rFonts w:cs="Arial"/>
        </w:rPr>
        <w:t xml:space="preserve"> </w:t>
      </w:r>
      <w:r w:rsidR="005C0CA1">
        <w:rPr>
          <w:rFonts w:cs="Arial"/>
        </w:rPr>
        <w:t xml:space="preserve">there was evidence for greater </w:t>
      </w:r>
      <w:r w:rsidR="00C37013">
        <w:rPr>
          <w:rFonts w:cs="Arial"/>
        </w:rPr>
        <w:t xml:space="preserve">improvement in index scores </w:t>
      </w:r>
      <w:r w:rsidR="00976100">
        <w:rPr>
          <w:rFonts w:cs="Arial"/>
        </w:rPr>
        <w:t xml:space="preserve">when </w:t>
      </w:r>
      <w:r w:rsidR="0042623E">
        <w:rPr>
          <w:rFonts w:cs="Arial"/>
        </w:rPr>
        <w:t>run-off</w:t>
      </w:r>
      <w:r w:rsidR="00976100">
        <w:rPr>
          <w:rFonts w:cs="Arial"/>
        </w:rPr>
        <w:t xml:space="preserve"> from adjacent catchments was </w:t>
      </w:r>
      <w:r w:rsidR="00C37013">
        <w:rPr>
          <w:rFonts w:cs="Arial"/>
        </w:rPr>
        <w:t>relatively low.</w:t>
      </w:r>
      <w:r w:rsidR="005C0CA1">
        <w:rPr>
          <w:rFonts w:cs="Arial"/>
        </w:rPr>
        <w:t xml:space="preserve"> This sensitivity to changes in </w:t>
      </w:r>
      <w:r w:rsidR="0042623E">
        <w:rPr>
          <w:rFonts w:cs="Arial"/>
        </w:rPr>
        <w:t>run-off</w:t>
      </w:r>
      <w:r w:rsidR="005C0CA1">
        <w:rPr>
          <w:rFonts w:cs="Arial"/>
        </w:rPr>
        <w:t xml:space="preserve"> was in addition to a tendency for higher index scores on reefs less exposed to poor water quality.</w:t>
      </w:r>
    </w:p>
    <w:p w14:paraId="11EA8BED" w14:textId="1E580A0E" w:rsidR="002D6E82" w:rsidRPr="00503677" w:rsidRDefault="002D6E82" w:rsidP="00B56F9A">
      <w:r w:rsidRPr="007A7605">
        <w:t xml:space="preserve">The </w:t>
      </w:r>
      <w:r w:rsidR="0001199E" w:rsidRPr="007A7605">
        <w:t xml:space="preserve">coral index </w:t>
      </w:r>
      <w:r w:rsidR="00705D74" w:rsidRPr="007A7605">
        <w:t xml:space="preserve">for the </w:t>
      </w:r>
      <w:r w:rsidR="0001199E" w:rsidRPr="007A7605">
        <w:rPr>
          <w:b/>
        </w:rPr>
        <w:t>Wet Tropics</w:t>
      </w:r>
      <w:r w:rsidR="00705D74" w:rsidRPr="007A7605">
        <w:t xml:space="preserve"> remains in the </w:t>
      </w:r>
      <w:r w:rsidR="0001199E" w:rsidRPr="007A7605">
        <w:t xml:space="preserve">‘moderate’ </w:t>
      </w:r>
      <w:r w:rsidR="00705D74" w:rsidRPr="007A7605">
        <w:t>condition category</w:t>
      </w:r>
      <w:r w:rsidR="00AD6384">
        <w:t xml:space="preserve">, </w:t>
      </w:r>
      <w:r w:rsidR="009F7667">
        <w:t>although</w:t>
      </w:r>
      <w:r w:rsidR="00AD6384">
        <w:t xml:space="preserve"> </w:t>
      </w:r>
      <w:r w:rsidR="00DD45CD">
        <w:t xml:space="preserve">has </w:t>
      </w:r>
      <w:r w:rsidRPr="007A7605">
        <w:t xml:space="preserve">continued </w:t>
      </w:r>
      <w:r w:rsidR="00705D74" w:rsidRPr="007A7605">
        <w:t xml:space="preserve">to </w:t>
      </w:r>
      <w:r w:rsidR="0001199E" w:rsidRPr="007A7605">
        <w:t xml:space="preserve">improve from a low point recorded in 2013 </w:t>
      </w:r>
      <w:r w:rsidR="004A2C55">
        <w:t>(</w:t>
      </w:r>
      <w:r w:rsidR="004A2C55">
        <w:fldChar w:fldCharType="begin"/>
      </w:r>
      <w:r w:rsidR="004A2C55">
        <w:instrText xml:space="preserve"> REF _Ref491090713 \h </w:instrText>
      </w:r>
      <w:r w:rsidR="004A2C55">
        <w:fldChar w:fldCharType="separate"/>
      </w:r>
      <w:r w:rsidR="00D806F2">
        <w:t xml:space="preserve">Figure </w:t>
      </w:r>
      <w:r w:rsidR="00D806F2">
        <w:rPr>
          <w:noProof/>
        </w:rPr>
        <w:t>1</w:t>
      </w:r>
      <w:r w:rsidR="004A2C55">
        <w:fldChar w:fldCharType="end"/>
      </w:r>
      <w:r w:rsidR="004A2C55">
        <w:t xml:space="preserve">). </w:t>
      </w:r>
      <w:r w:rsidR="00503677">
        <w:t xml:space="preserve">Improvements in the index have </w:t>
      </w:r>
      <w:r w:rsidR="00503677" w:rsidRPr="00786FA8">
        <w:t>coincide</w:t>
      </w:r>
      <w:r w:rsidR="00503677">
        <w:t>d</w:t>
      </w:r>
      <w:r w:rsidR="00503677" w:rsidRPr="00786FA8">
        <w:t xml:space="preserve"> with a</w:t>
      </w:r>
      <w:r w:rsidR="00503677">
        <w:t xml:space="preserve"> period of reduced discharge </w:t>
      </w:r>
      <w:r w:rsidR="00503677" w:rsidRPr="00786FA8">
        <w:t>from the adjacent catchments</w:t>
      </w:r>
      <w:r w:rsidR="00B05739">
        <w:t>,</w:t>
      </w:r>
      <w:r w:rsidR="00503677">
        <w:t xml:space="preserve"> </w:t>
      </w:r>
      <w:r w:rsidR="00B05739">
        <w:t>al</w:t>
      </w:r>
      <w:r w:rsidR="00503677">
        <w:t>though ongoing pressure from crown-of-thorns starfish (COTS)</w:t>
      </w:r>
      <w:r w:rsidR="00B05739">
        <w:t xml:space="preserve"> continued to </w:t>
      </w:r>
      <w:r w:rsidR="00131E09">
        <w:t>affect some reefs</w:t>
      </w:r>
      <w:r w:rsidR="00503677">
        <w:t xml:space="preserve">. </w:t>
      </w:r>
      <w:r w:rsidR="001974D4">
        <w:t>Partly mitigating the influence of COTS</w:t>
      </w:r>
      <w:r w:rsidR="00976100">
        <w:t>,</w:t>
      </w:r>
      <w:r w:rsidR="001974D4">
        <w:t xml:space="preserve"> has been </w:t>
      </w:r>
      <w:r w:rsidR="00FF78CC">
        <w:t xml:space="preserve">an active </w:t>
      </w:r>
      <w:r w:rsidR="001974D4">
        <w:t>population control program</w:t>
      </w:r>
      <w:r w:rsidR="00F41217">
        <w:t>me</w:t>
      </w:r>
      <w:r w:rsidR="00FF78CC">
        <w:rPr>
          <w:rStyle w:val="FootnoteReference"/>
        </w:rPr>
        <w:footnoteReference w:id="2"/>
      </w:r>
      <w:r w:rsidR="001974D4">
        <w:t xml:space="preserve"> with </w:t>
      </w:r>
      <w:r w:rsidR="008E78BD">
        <w:t>13,339</w:t>
      </w:r>
      <w:r w:rsidR="001974D4">
        <w:t xml:space="preserve"> individuals removed from the reefs reported here</w:t>
      </w:r>
      <w:r w:rsidR="00FF78CC">
        <w:t xml:space="preserve">in prior to surveys </w:t>
      </w:r>
      <w:r w:rsidR="008E78BD">
        <w:t xml:space="preserve">in </w:t>
      </w:r>
      <w:r w:rsidR="001974D4">
        <w:t>2016</w:t>
      </w:r>
      <w:r w:rsidR="00FF78CC">
        <w:t xml:space="preserve">. </w:t>
      </w:r>
      <w:r w:rsidR="009671C9">
        <w:t>Within the region</w:t>
      </w:r>
      <w:r w:rsidR="009F7667">
        <w:t>,</w:t>
      </w:r>
      <w:r w:rsidR="009671C9">
        <w:t xml:space="preserve"> improvement in the index is most evident in the Herbert Tully sub-region where</w:t>
      </w:r>
      <w:r w:rsidR="00C82369">
        <w:t>,</w:t>
      </w:r>
      <w:r w:rsidR="009671C9">
        <w:t xml:space="preserve"> of the five metrics included in the index</w:t>
      </w:r>
      <w:r w:rsidR="00C82369">
        <w:t>,</w:t>
      </w:r>
      <w:r w:rsidR="009671C9">
        <w:t xml:space="preserve"> it was only Macroalgae at 5 m depth that </w:t>
      </w:r>
      <w:r w:rsidR="00B05739">
        <w:t>had not improved</w:t>
      </w:r>
      <w:r w:rsidR="00131E09">
        <w:t xml:space="preserve">. The legacy of impacts associated with Cyclone Yasi </w:t>
      </w:r>
      <w:r w:rsidR="00C82369">
        <w:t xml:space="preserve">that contributed to </w:t>
      </w:r>
      <w:r w:rsidR="00131E09">
        <w:t>low coral cover and loss of sensitive species continue</w:t>
      </w:r>
      <w:r w:rsidR="00976100">
        <w:t>s</w:t>
      </w:r>
      <w:r w:rsidR="00131E09">
        <w:t xml:space="preserve"> to suppress the coral index in the Herbert Tully sub-region</w:t>
      </w:r>
      <w:r w:rsidR="009671C9">
        <w:t xml:space="preserve">. In the Johnstone Russell-Mulgrave sub-region the index achieved a ‘good’ categorisation for the first time since 2010 demonstrating the ongoing recovery from the impacts of Cyclone Tasha in late 2010 and Cyclone Yasi in early 2011, despite ongoing presence of COTS. </w:t>
      </w:r>
      <w:r w:rsidR="009F7667">
        <w:t>Changes in the index were most evident at 2</w:t>
      </w:r>
      <w:r w:rsidR="008A37BF">
        <w:t xml:space="preserve"> </w:t>
      </w:r>
      <w:r w:rsidR="009F7667">
        <w:t>m depths where only the Cover Change and Macroalgae metric scores showed little change as a result of maintaining consistently high scores. At 5</w:t>
      </w:r>
      <w:r w:rsidR="008A37BF">
        <w:t xml:space="preserve"> </w:t>
      </w:r>
      <w:r w:rsidR="009F7667">
        <w:t>m depths</w:t>
      </w:r>
      <w:r w:rsidR="008A37BF">
        <w:t xml:space="preserve"> improvement in the index since 2012 was limited by low scores of Macroalgae in the Frankland Group and a reduction </w:t>
      </w:r>
      <w:r w:rsidR="00131E09">
        <w:t xml:space="preserve">in </w:t>
      </w:r>
      <w:r w:rsidR="008A37BF">
        <w:t>Composition scores</w:t>
      </w:r>
      <w:r w:rsidR="00E06C8B">
        <w:t>,</w:t>
      </w:r>
      <w:r w:rsidR="008A37BF">
        <w:t xml:space="preserve"> likely as a result of COTS</w:t>
      </w:r>
      <w:r w:rsidR="00131E09">
        <w:t xml:space="preserve"> feeding on corals that are also sensitive to poor water quality</w:t>
      </w:r>
      <w:r w:rsidR="008A37BF">
        <w:t xml:space="preserve">. In the Barron </w:t>
      </w:r>
      <w:r w:rsidR="00C93702">
        <w:t xml:space="preserve">Daintree </w:t>
      </w:r>
      <w:r w:rsidR="00131E09">
        <w:t>sub-</w:t>
      </w:r>
      <w:r w:rsidR="008A37BF">
        <w:t>region improvement in the index has been limited since the low point reach</w:t>
      </w:r>
      <w:r w:rsidR="00846F96">
        <w:t>ed</w:t>
      </w:r>
      <w:r w:rsidR="008A37BF">
        <w:t xml:space="preserve"> in 2014</w:t>
      </w:r>
      <w:r w:rsidR="00846F96">
        <w:t>. Recover</w:t>
      </w:r>
      <w:r w:rsidR="00C37013">
        <w:t>y</w:t>
      </w:r>
      <w:r w:rsidR="00846F96">
        <w:t xml:space="preserve"> was most evident at 5 m depths where scores for the Macroalgae and Cover Change metrics have improved. At 2 m depths clear improvement in the Cover Change and Coral Cover scores contrast declines in Composition and Macroalgae scores.</w:t>
      </w:r>
      <w:r w:rsidR="00E75F5C">
        <w:t xml:space="preserve"> </w:t>
      </w:r>
    </w:p>
    <w:p w14:paraId="11EA8BEE" w14:textId="7C4DF628" w:rsidR="0001199E" w:rsidRPr="00A52123" w:rsidRDefault="00C37013" w:rsidP="002B6DF5">
      <w:pPr>
        <w:spacing w:after="240"/>
        <w:rPr>
          <w:rFonts w:cs="Arial"/>
          <w:color w:val="000000" w:themeColor="text1"/>
        </w:rPr>
      </w:pPr>
      <w:r>
        <w:rPr>
          <w:rFonts w:cs="Arial"/>
          <w:color w:val="000000" w:themeColor="text1"/>
        </w:rPr>
        <w:t xml:space="preserve">Since 2012 the coral index in the </w:t>
      </w:r>
      <w:r w:rsidR="0001199E" w:rsidRPr="00A52123">
        <w:rPr>
          <w:rFonts w:cs="Arial"/>
          <w:b/>
          <w:color w:val="000000" w:themeColor="text1"/>
        </w:rPr>
        <w:t>Burdekin Region</w:t>
      </w:r>
      <w:r w:rsidR="0001199E" w:rsidRPr="00A52123">
        <w:rPr>
          <w:rFonts w:cs="Arial"/>
          <w:color w:val="000000" w:themeColor="text1"/>
        </w:rPr>
        <w:t xml:space="preserve"> </w:t>
      </w:r>
      <w:r>
        <w:rPr>
          <w:rFonts w:cs="Arial"/>
          <w:color w:val="000000" w:themeColor="text1"/>
        </w:rPr>
        <w:t>has continued to improve with the current ‘moderate’ categorisation improving on the ‘poor’ categorisation recorded through to 2015</w:t>
      </w:r>
      <w:r w:rsidR="009C028F">
        <w:rPr>
          <w:rFonts w:cs="Arial"/>
          <w:color w:val="000000" w:themeColor="text1"/>
        </w:rPr>
        <w:t xml:space="preserve"> (</w:t>
      </w:r>
      <w:r w:rsidR="004A2C55">
        <w:rPr>
          <w:rFonts w:cs="Arial"/>
          <w:color w:val="000000" w:themeColor="text1"/>
        </w:rPr>
        <w:fldChar w:fldCharType="begin"/>
      </w:r>
      <w:r w:rsidR="004A2C55">
        <w:rPr>
          <w:rFonts w:cs="Arial"/>
          <w:color w:val="000000" w:themeColor="text1"/>
        </w:rPr>
        <w:instrText xml:space="preserve"> REF _Ref491090713 \h </w:instrText>
      </w:r>
      <w:r w:rsidR="004A2C55">
        <w:rPr>
          <w:rFonts w:cs="Arial"/>
          <w:color w:val="000000" w:themeColor="text1"/>
        </w:rPr>
      </w:r>
      <w:r w:rsidR="004A2C55">
        <w:rPr>
          <w:rFonts w:cs="Arial"/>
          <w:color w:val="000000" w:themeColor="text1"/>
        </w:rPr>
        <w:fldChar w:fldCharType="separate"/>
      </w:r>
      <w:r w:rsidR="00D806F2">
        <w:t xml:space="preserve">Figure </w:t>
      </w:r>
      <w:r w:rsidR="00D806F2">
        <w:rPr>
          <w:noProof/>
        </w:rPr>
        <w:t>1</w:t>
      </w:r>
      <w:r w:rsidR="004A2C55">
        <w:rPr>
          <w:rFonts w:cs="Arial"/>
          <w:color w:val="000000" w:themeColor="text1"/>
        </w:rPr>
        <w:fldChar w:fldCharType="end"/>
      </w:r>
      <w:r w:rsidR="009C028F">
        <w:rPr>
          <w:rFonts w:cs="Arial"/>
          <w:color w:val="000000" w:themeColor="text1"/>
        </w:rPr>
        <w:t>)</w:t>
      </w:r>
      <w:r>
        <w:rPr>
          <w:rFonts w:cs="Arial"/>
          <w:color w:val="000000" w:themeColor="text1"/>
        </w:rPr>
        <w:t>.</w:t>
      </w:r>
      <w:r w:rsidR="00EE0FED">
        <w:rPr>
          <w:rFonts w:cs="Arial"/>
          <w:color w:val="000000" w:themeColor="text1"/>
        </w:rPr>
        <w:t xml:space="preserve"> T</w:t>
      </w:r>
      <w:r w:rsidR="00EE0FED" w:rsidRPr="00A52123">
        <w:rPr>
          <w:rFonts w:cs="Arial"/>
          <w:color w:val="000000" w:themeColor="text1"/>
        </w:rPr>
        <w:t xml:space="preserve">he observed </w:t>
      </w:r>
      <w:r w:rsidR="00EE0FED">
        <w:rPr>
          <w:rFonts w:cs="Arial"/>
          <w:color w:val="000000" w:themeColor="text1"/>
        </w:rPr>
        <w:t>increase in the</w:t>
      </w:r>
      <w:r w:rsidR="00EE0FED" w:rsidRPr="00A52123">
        <w:rPr>
          <w:rFonts w:cs="Arial"/>
          <w:color w:val="000000" w:themeColor="text1"/>
        </w:rPr>
        <w:t xml:space="preserve"> coral index</w:t>
      </w:r>
      <w:r w:rsidR="00EE0FED">
        <w:rPr>
          <w:rFonts w:cs="Arial"/>
          <w:color w:val="000000" w:themeColor="text1"/>
        </w:rPr>
        <w:t xml:space="preserve"> coincides with a lack of acute disturbances and relatively low </w:t>
      </w:r>
      <w:r w:rsidR="00EE0FED" w:rsidRPr="00A52123">
        <w:rPr>
          <w:rFonts w:cs="Arial"/>
          <w:color w:val="000000" w:themeColor="text1"/>
        </w:rPr>
        <w:t>flow</w:t>
      </w:r>
      <w:r w:rsidR="00EE0FED">
        <w:rPr>
          <w:rFonts w:cs="Arial"/>
          <w:color w:val="000000" w:themeColor="text1"/>
        </w:rPr>
        <w:t>s</w:t>
      </w:r>
      <w:r w:rsidR="00EE0FED" w:rsidRPr="00A52123">
        <w:rPr>
          <w:rFonts w:cs="Arial"/>
          <w:color w:val="000000" w:themeColor="text1"/>
        </w:rPr>
        <w:t xml:space="preserve"> from adjacent catchment</w:t>
      </w:r>
      <w:r w:rsidR="00EE0FED">
        <w:rPr>
          <w:rFonts w:cs="Arial"/>
          <w:color w:val="000000" w:themeColor="text1"/>
        </w:rPr>
        <w:t>s</w:t>
      </w:r>
      <w:r w:rsidR="00EE0FED" w:rsidRPr="00A52123">
        <w:rPr>
          <w:rFonts w:cs="Arial"/>
          <w:color w:val="000000" w:themeColor="text1"/>
        </w:rPr>
        <w:t xml:space="preserve"> </w:t>
      </w:r>
      <w:r w:rsidR="00EE0FED">
        <w:rPr>
          <w:rFonts w:cs="Arial"/>
          <w:color w:val="000000" w:themeColor="text1"/>
        </w:rPr>
        <w:t xml:space="preserve">since 2013. Improvement in the coral index was most influenced by clear increase in </w:t>
      </w:r>
      <w:r w:rsidR="00E8312B">
        <w:rPr>
          <w:rFonts w:cs="Arial"/>
          <w:color w:val="000000" w:themeColor="text1"/>
        </w:rPr>
        <w:t>C</w:t>
      </w:r>
      <w:r w:rsidR="00EE0FED">
        <w:rPr>
          <w:rFonts w:cs="Arial"/>
          <w:color w:val="000000" w:themeColor="text1"/>
        </w:rPr>
        <w:t xml:space="preserve">oral </w:t>
      </w:r>
      <w:r w:rsidR="00E8312B">
        <w:rPr>
          <w:rFonts w:cs="Arial"/>
          <w:color w:val="000000" w:themeColor="text1"/>
        </w:rPr>
        <w:t>C</w:t>
      </w:r>
      <w:r w:rsidR="00EE0FED">
        <w:rPr>
          <w:rFonts w:cs="Arial"/>
          <w:color w:val="000000" w:themeColor="text1"/>
        </w:rPr>
        <w:t xml:space="preserve">over </w:t>
      </w:r>
      <w:r w:rsidR="00E8312B">
        <w:rPr>
          <w:rFonts w:cs="Arial"/>
          <w:color w:val="000000" w:themeColor="text1"/>
        </w:rPr>
        <w:t xml:space="preserve">scores </w:t>
      </w:r>
      <w:r w:rsidR="00EE0FED">
        <w:rPr>
          <w:rFonts w:cs="Arial"/>
          <w:color w:val="000000" w:themeColor="text1"/>
        </w:rPr>
        <w:t>at both 2 m and 5 m depths</w:t>
      </w:r>
      <w:r w:rsidR="00E8312B">
        <w:rPr>
          <w:rFonts w:cs="Arial"/>
          <w:color w:val="000000" w:themeColor="text1"/>
        </w:rPr>
        <w:t xml:space="preserve"> and a gradual return of genera sensitive to water quality (improved Composition scores). </w:t>
      </w:r>
      <w:r w:rsidR="00131E09">
        <w:rPr>
          <w:rFonts w:cs="Arial"/>
          <w:color w:val="000000" w:themeColor="text1"/>
        </w:rPr>
        <w:t>Although Coral cover has increased the legacy of cumulative pressures continues to influenc</w:t>
      </w:r>
      <w:r w:rsidR="00B56F92">
        <w:rPr>
          <w:rFonts w:cs="Arial"/>
          <w:color w:val="000000" w:themeColor="text1"/>
        </w:rPr>
        <w:t>e coral cover in the region and the score for this indictor remains poor.</w:t>
      </w:r>
      <w:r w:rsidR="00131E09">
        <w:rPr>
          <w:rFonts w:cs="Arial"/>
          <w:color w:val="000000" w:themeColor="text1"/>
        </w:rPr>
        <w:t xml:space="preserve"> </w:t>
      </w:r>
      <w:r w:rsidR="00EE0FED">
        <w:rPr>
          <w:rFonts w:cs="Arial"/>
          <w:color w:val="000000" w:themeColor="text1"/>
        </w:rPr>
        <w:t>P</w:t>
      </w:r>
      <w:r w:rsidR="00EE0FED" w:rsidRPr="00A52123">
        <w:rPr>
          <w:rFonts w:cs="Arial"/>
          <w:color w:val="000000" w:themeColor="text1"/>
        </w:rPr>
        <w:t xml:space="preserve">ersistently high cover of macroalgae </w:t>
      </w:r>
      <w:r w:rsidR="00EE0FED">
        <w:rPr>
          <w:rFonts w:cs="Arial"/>
          <w:color w:val="000000" w:themeColor="text1"/>
        </w:rPr>
        <w:t xml:space="preserve">on the reefs with highest Chl </w:t>
      </w:r>
      <w:r w:rsidR="00EE0FED" w:rsidRPr="00E8312B">
        <w:rPr>
          <w:rFonts w:cs="Arial"/>
          <w:i/>
          <w:color w:val="000000" w:themeColor="text1"/>
        </w:rPr>
        <w:t>a</w:t>
      </w:r>
      <w:r w:rsidR="00EE0FED">
        <w:rPr>
          <w:rFonts w:cs="Arial"/>
          <w:color w:val="000000" w:themeColor="text1"/>
        </w:rPr>
        <w:t xml:space="preserve"> concentrations</w:t>
      </w:r>
      <w:r w:rsidR="00E8312B">
        <w:rPr>
          <w:rFonts w:cs="Arial"/>
          <w:color w:val="000000" w:themeColor="text1"/>
        </w:rPr>
        <w:t xml:space="preserve"> </w:t>
      </w:r>
      <w:r w:rsidR="00B56F92">
        <w:rPr>
          <w:rFonts w:cs="Arial"/>
          <w:color w:val="000000" w:themeColor="text1"/>
        </w:rPr>
        <w:t xml:space="preserve">also </w:t>
      </w:r>
      <w:r w:rsidR="00E8312B">
        <w:rPr>
          <w:rFonts w:cs="Arial"/>
          <w:color w:val="000000" w:themeColor="text1"/>
        </w:rPr>
        <w:t>continue to limit index scores</w:t>
      </w:r>
      <w:r w:rsidR="001C28D6">
        <w:rPr>
          <w:rFonts w:cs="Arial"/>
          <w:color w:val="000000" w:themeColor="text1"/>
        </w:rPr>
        <w:t xml:space="preserve"> both, directly, and likely </w:t>
      </w:r>
      <w:r w:rsidR="00B56F92">
        <w:rPr>
          <w:rFonts w:cs="Arial"/>
          <w:color w:val="000000" w:themeColor="text1"/>
        </w:rPr>
        <w:t xml:space="preserve">as a contributing factor to unchanging scores for the </w:t>
      </w:r>
      <w:r w:rsidR="001C28D6">
        <w:rPr>
          <w:rFonts w:cs="Arial"/>
          <w:color w:val="000000" w:themeColor="text1"/>
        </w:rPr>
        <w:t xml:space="preserve">Cover Change and Juvenile </w:t>
      </w:r>
      <w:r w:rsidR="00A541A4">
        <w:rPr>
          <w:rFonts w:cs="Arial"/>
          <w:color w:val="000000" w:themeColor="text1"/>
        </w:rPr>
        <w:t>metrics</w:t>
      </w:r>
      <w:r w:rsidR="00B56F92">
        <w:rPr>
          <w:rFonts w:cs="Arial"/>
          <w:color w:val="000000" w:themeColor="text1"/>
        </w:rPr>
        <w:t xml:space="preserve"> at </w:t>
      </w:r>
      <w:r w:rsidR="001C28D6">
        <w:rPr>
          <w:rFonts w:cs="Arial"/>
          <w:color w:val="000000" w:themeColor="text1"/>
        </w:rPr>
        <w:t xml:space="preserve">2 m depths. </w:t>
      </w:r>
      <w:r w:rsidR="00D01311">
        <w:rPr>
          <w:rFonts w:cs="Arial"/>
          <w:color w:val="000000" w:themeColor="text1"/>
        </w:rPr>
        <w:t xml:space="preserve">After controlling for the influence of acute disturbance events (in particular Cyclones) the improvement in index scores was inversely related to discharge from the regions rivers. </w:t>
      </w:r>
      <w:r w:rsidR="0001199E" w:rsidRPr="00A52123">
        <w:rPr>
          <w:rFonts w:cs="Arial"/>
          <w:color w:val="000000" w:themeColor="text1"/>
        </w:rPr>
        <w:t>Suppression of coral communit</w:t>
      </w:r>
      <w:r w:rsidR="00106022" w:rsidRPr="00A52123">
        <w:rPr>
          <w:rFonts w:cs="Arial"/>
          <w:color w:val="000000" w:themeColor="text1"/>
        </w:rPr>
        <w:t>ies</w:t>
      </w:r>
      <w:r w:rsidR="00B56F92">
        <w:rPr>
          <w:rFonts w:cs="Arial"/>
          <w:color w:val="000000" w:themeColor="text1"/>
        </w:rPr>
        <w:t>,</w:t>
      </w:r>
      <w:r w:rsidR="0001199E" w:rsidRPr="00A52123">
        <w:rPr>
          <w:rFonts w:cs="Arial"/>
          <w:color w:val="000000" w:themeColor="text1"/>
        </w:rPr>
        <w:t xml:space="preserve"> as </w:t>
      </w:r>
      <w:r w:rsidR="001155D9">
        <w:rPr>
          <w:rFonts w:cs="Arial"/>
          <w:color w:val="000000" w:themeColor="text1"/>
        </w:rPr>
        <w:t>a result of poor water quality wa</w:t>
      </w:r>
      <w:r w:rsidR="0001199E" w:rsidRPr="00A52123">
        <w:rPr>
          <w:rFonts w:cs="Arial"/>
          <w:color w:val="000000" w:themeColor="text1"/>
        </w:rPr>
        <w:t>s indicated by observations of high levels of coral disease</w:t>
      </w:r>
      <w:r w:rsidR="00A52123" w:rsidRPr="00A52123">
        <w:rPr>
          <w:rFonts w:cs="Arial"/>
          <w:color w:val="000000" w:themeColor="text1"/>
        </w:rPr>
        <w:t xml:space="preserve"> </w:t>
      </w:r>
      <w:r w:rsidR="001155D9">
        <w:rPr>
          <w:rFonts w:cs="Arial"/>
          <w:color w:val="000000" w:themeColor="text1"/>
        </w:rPr>
        <w:t xml:space="preserve">as </w:t>
      </w:r>
      <w:r w:rsidR="00EE0FED">
        <w:rPr>
          <w:rFonts w:cs="Arial"/>
          <w:color w:val="000000" w:themeColor="text1"/>
        </w:rPr>
        <w:t xml:space="preserve">discharge, and associated contaminants, </w:t>
      </w:r>
      <w:r w:rsidR="001155D9">
        <w:rPr>
          <w:rFonts w:cs="Arial"/>
          <w:color w:val="000000" w:themeColor="text1"/>
        </w:rPr>
        <w:t>from the Burdekin</w:t>
      </w:r>
      <w:r w:rsidR="00EE0FED">
        <w:rPr>
          <w:rFonts w:cs="Arial"/>
          <w:color w:val="000000" w:themeColor="text1"/>
        </w:rPr>
        <w:t>,</w:t>
      </w:r>
      <w:r w:rsidR="001155D9">
        <w:rPr>
          <w:rFonts w:cs="Arial"/>
          <w:color w:val="000000" w:themeColor="text1"/>
        </w:rPr>
        <w:t xml:space="preserve"> and other </w:t>
      </w:r>
      <w:r w:rsidR="00EE0FED">
        <w:rPr>
          <w:rFonts w:cs="Arial"/>
          <w:color w:val="000000" w:themeColor="text1"/>
        </w:rPr>
        <w:t>smaller</w:t>
      </w:r>
      <w:r w:rsidR="001155D9">
        <w:rPr>
          <w:rFonts w:cs="Arial"/>
          <w:color w:val="000000" w:themeColor="text1"/>
        </w:rPr>
        <w:t xml:space="preserve"> r</w:t>
      </w:r>
      <w:r w:rsidR="00EE0FED">
        <w:rPr>
          <w:rFonts w:cs="Arial"/>
          <w:color w:val="000000" w:themeColor="text1"/>
        </w:rPr>
        <w:t>iv</w:t>
      </w:r>
      <w:r w:rsidR="001155D9">
        <w:rPr>
          <w:rFonts w:cs="Arial"/>
          <w:color w:val="000000" w:themeColor="text1"/>
        </w:rPr>
        <w:t>ers</w:t>
      </w:r>
      <w:r w:rsidR="00EE0FED">
        <w:rPr>
          <w:rFonts w:cs="Arial"/>
          <w:color w:val="000000" w:themeColor="text1"/>
        </w:rPr>
        <w:t>,</w:t>
      </w:r>
      <w:r w:rsidR="001155D9">
        <w:rPr>
          <w:rFonts w:cs="Arial"/>
          <w:color w:val="000000" w:themeColor="text1"/>
        </w:rPr>
        <w:t xml:space="preserve"> </w:t>
      </w:r>
      <w:r w:rsidR="00EE0FED">
        <w:rPr>
          <w:rFonts w:cs="Arial"/>
          <w:color w:val="000000" w:themeColor="text1"/>
        </w:rPr>
        <w:t>transitioned</w:t>
      </w:r>
      <w:r w:rsidR="00D01311">
        <w:rPr>
          <w:rFonts w:cs="Arial"/>
          <w:color w:val="000000" w:themeColor="text1"/>
        </w:rPr>
        <w:t xml:space="preserve"> from a series of below median years</w:t>
      </w:r>
      <w:r w:rsidR="00EE0FED">
        <w:rPr>
          <w:rFonts w:cs="Arial"/>
          <w:color w:val="000000" w:themeColor="text1"/>
        </w:rPr>
        <w:t xml:space="preserve"> to above median levels from 2007</w:t>
      </w:r>
      <w:r w:rsidR="00AA6ACE">
        <w:rPr>
          <w:rFonts w:cs="Arial"/>
          <w:color w:val="000000" w:themeColor="text1"/>
        </w:rPr>
        <w:t xml:space="preserve"> through to 2009</w:t>
      </w:r>
      <w:r w:rsidR="00A52123" w:rsidRPr="00A52123">
        <w:rPr>
          <w:rFonts w:cs="Arial"/>
          <w:color w:val="000000" w:themeColor="text1"/>
        </w:rPr>
        <w:t>.</w:t>
      </w:r>
      <w:r w:rsidR="0001199E" w:rsidRPr="00A52123">
        <w:rPr>
          <w:rFonts w:cs="Arial"/>
          <w:color w:val="000000" w:themeColor="text1"/>
        </w:rPr>
        <w:t xml:space="preserve"> </w:t>
      </w:r>
    </w:p>
    <w:p w14:paraId="11EA8BEF" w14:textId="6A99F87E" w:rsidR="0001199E" w:rsidRPr="00C05AE4" w:rsidRDefault="0001199E" w:rsidP="00335CBC">
      <w:r w:rsidRPr="00C05AE4">
        <w:t xml:space="preserve">The coral index in the </w:t>
      </w:r>
      <w:r w:rsidRPr="00C05AE4">
        <w:rPr>
          <w:b/>
        </w:rPr>
        <w:t>Mackay Whitsunday Region</w:t>
      </w:r>
      <w:r w:rsidRPr="00C05AE4">
        <w:t xml:space="preserve"> </w:t>
      </w:r>
      <w:r w:rsidR="00903C3F" w:rsidRPr="00C05AE4">
        <w:t xml:space="preserve">has continued to improve </w:t>
      </w:r>
      <w:r w:rsidR="00B56789">
        <w:t>from</w:t>
      </w:r>
      <w:r w:rsidR="00903C3F" w:rsidRPr="00C05AE4">
        <w:t xml:space="preserve"> a low po</w:t>
      </w:r>
      <w:r w:rsidR="00C65E63" w:rsidRPr="00C05AE4">
        <w:t>int in 2012</w:t>
      </w:r>
      <w:r w:rsidR="00205CDC">
        <w:t xml:space="preserve"> as a result of Cyclone Ului</w:t>
      </w:r>
      <w:r w:rsidR="009C028F">
        <w:t>.</w:t>
      </w:r>
      <w:r w:rsidR="00E75F5C">
        <w:t xml:space="preserve"> </w:t>
      </w:r>
      <w:r w:rsidR="00C65E63" w:rsidRPr="00C05AE4">
        <w:t>In 2016</w:t>
      </w:r>
      <w:r w:rsidR="00976100">
        <w:t>,</w:t>
      </w:r>
      <w:r w:rsidR="00C65E63" w:rsidRPr="00C05AE4">
        <w:t xml:space="preserve"> the coral index retu</w:t>
      </w:r>
      <w:r w:rsidR="00953FAA">
        <w:t>r</w:t>
      </w:r>
      <w:r w:rsidR="00C65E63" w:rsidRPr="00C05AE4">
        <w:t>ned to ‘</w:t>
      </w:r>
      <w:r w:rsidR="00903C3F" w:rsidRPr="00C05AE4">
        <w:t>good</w:t>
      </w:r>
      <w:r w:rsidR="00C65E63" w:rsidRPr="00C05AE4">
        <w:t>’</w:t>
      </w:r>
      <w:r w:rsidR="00903C3F" w:rsidRPr="00C05AE4">
        <w:t xml:space="preserve"> condition for the first time since 2005</w:t>
      </w:r>
      <w:r w:rsidR="00C65E63" w:rsidRPr="00C05AE4">
        <w:t xml:space="preserve"> </w:t>
      </w:r>
      <w:r w:rsidR="00885CBB" w:rsidRPr="00C05AE4">
        <w:t>(</w:t>
      </w:r>
      <w:r w:rsidR="004A2C55">
        <w:fldChar w:fldCharType="begin"/>
      </w:r>
      <w:r w:rsidR="004A2C55">
        <w:instrText xml:space="preserve"> REF _Ref491090713 \h </w:instrText>
      </w:r>
      <w:r w:rsidR="004A2C55">
        <w:fldChar w:fldCharType="separate"/>
      </w:r>
      <w:r w:rsidR="00D806F2">
        <w:t xml:space="preserve">Figure </w:t>
      </w:r>
      <w:r w:rsidR="00D806F2">
        <w:rPr>
          <w:noProof/>
        </w:rPr>
        <w:t>1</w:t>
      </w:r>
      <w:r w:rsidR="004A2C55">
        <w:fldChar w:fldCharType="end"/>
      </w:r>
      <w:r w:rsidR="00885CBB" w:rsidRPr="00C05AE4">
        <w:t>)</w:t>
      </w:r>
      <w:r w:rsidRPr="00C05AE4">
        <w:t xml:space="preserve">. The positive attributes of moderate to high </w:t>
      </w:r>
      <w:r w:rsidR="00A541A4">
        <w:t>Coral C</w:t>
      </w:r>
      <w:r w:rsidRPr="00C05AE4">
        <w:t xml:space="preserve">over coupled with regionally low cover of macroalgae and increasing </w:t>
      </w:r>
      <w:r w:rsidR="00A541A4">
        <w:t>sores for the Juvenile metric balanced</w:t>
      </w:r>
      <w:r w:rsidRPr="00C05AE4">
        <w:t xml:space="preserve"> low </w:t>
      </w:r>
      <w:r w:rsidR="00A541A4">
        <w:t>scores for Coral Change</w:t>
      </w:r>
      <w:r w:rsidRPr="00C05AE4">
        <w:t xml:space="preserve"> </w:t>
      </w:r>
      <w:r w:rsidR="009C028F">
        <w:t>(</w:t>
      </w:r>
      <w:r w:rsidR="004A2C55">
        <w:fldChar w:fldCharType="begin"/>
      </w:r>
      <w:r w:rsidR="004A2C55">
        <w:instrText xml:space="preserve"> REF _Ref491090713 \h </w:instrText>
      </w:r>
      <w:r w:rsidR="004A2C55">
        <w:fldChar w:fldCharType="separate"/>
      </w:r>
      <w:r w:rsidR="00D806F2">
        <w:t xml:space="preserve">Figure </w:t>
      </w:r>
      <w:r w:rsidR="00D806F2">
        <w:rPr>
          <w:noProof/>
        </w:rPr>
        <w:t>1</w:t>
      </w:r>
      <w:r w:rsidR="004A2C55">
        <w:fldChar w:fldCharType="end"/>
      </w:r>
      <w:r w:rsidRPr="00C05AE4">
        <w:t>)</w:t>
      </w:r>
      <w:r w:rsidR="00B56789">
        <w:t xml:space="preserve">. </w:t>
      </w:r>
      <w:r w:rsidRPr="00C05AE4">
        <w:t>The influence of prevailing environmental conditions such as high turbidity, nutrient availability and sedimentation</w:t>
      </w:r>
      <w:r w:rsidR="00016CD2">
        <w:t>,</w:t>
      </w:r>
      <w:r w:rsidRPr="00C05AE4">
        <w:t xml:space="preserve"> have clearly selected for coral species tolerant of those conditions</w:t>
      </w:r>
      <w:r w:rsidR="00C77A69">
        <w:t xml:space="preserve">. Marked differences in community composition between 2 m and 5 m depths at most reefs </w:t>
      </w:r>
      <w:r w:rsidR="00AA6ACE">
        <w:t xml:space="preserve">are </w:t>
      </w:r>
      <w:r w:rsidR="00C77A69">
        <w:t xml:space="preserve">indicative of the </w:t>
      </w:r>
      <w:r w:rsidR="00976100">
        <w:t xml:space="preserve">increasing </w:t>
      </w:r>
      <w:r w:rsidR="00C77A69">
        <w:t xml:space="preserve">selective pressures </w:t>
      </w:r>
      <w:r w:rsidR="00AA6ACE">
        <w:t xml:space="preserve">of light availability and accumulated sediments </w:t>
      </w:r>
      <w:r w:rsidR="00C9404A">
        <w:t>at the deeper sites</w:t>
      </w:r>
      <w:r w:rsidR="00B56789">
        <w:t xml:space="preserve">. </w:t>
      </w:r>
      <w:r w:rsidR="009C028F" w:rsidRPr="00C05AE4">
        <w:t>Th</w:t>
      </w:r>
      <w:r w:rsidR="009C028F">
        <w:t>is process of selection appears ongoing</w:t>
      </w:r>
      <w:r w:rsidR="00C9404A">
        <w:t>,</w:t>
      </w:r>
      <w:r w:rsidR="009C028F">
        <w:t xml:space="preserve"> as </w:t>
      </w:r>
      <w:r w:rsidR="009C028F" w:rsidRPr="00C05AE4">
        <w:t xml:space="preserve">indicated by increased levels of coral </w:t>
      </w:r>
      <w:r w:rsidR="00C9404A" w:rsidRPr="00C05AE4">
        <w:t>disease</w:t>
      </w:r>
      <w:r w:rsidR="00C9404A">
        <w:t>,</w:t>
      </w:r>
      <w:r w:rsidR="00C9404A" w:rsidRPr="00C05AE4">
        <w:t xml:space="preserve"> which</w:t>
      </w:r>
      <w:r w:rsidR="009C028F" w:rsidRPr="00C05AE4">
        <w:t xml:space="preserve"> coincided with elevated discharge from both l</w:t>
      </w:r>
      <w:r w:rsidR="00C9404A">
        <w:t>ocal rivers</w:t>
      </w:r>
      <w:r w:rsidR="009C028F" w:rsidRPr="00C05AE4">
        <w:t xml:space="preserve"> and the large rivers in neighbouring regions</w:t>
      </w:r>
      <w:r w:rsidR="009C028F">
        <w:t xml:space="preserve">. </w:t>
      </w:r>
      <w:r w:rsidR="00B56789">
        <w:t>T</w:t>
      </w:r>
      <w:r w:rsidRPr="00C05AE4">
        <w:t>h</w:t>
      </w:r>
      <w:r w:rsidR="009C028F">
        <w:t xml:space="preserve">e selection for corals tolerant of the regions water quality </w:t>
      </w:r>
      <w:r w:rsidRPr="00C05AE4">
        <w:t xml:space="preserve">in combination with a lack of recent severe disturbance events, explains the relatively high coral cover in this region despite </w:t>
      </w:r>
      <w:r w:rsidR="00C77A69">
        <w:t>poor water quality.</w:t>
      </w:r>
      <w:r w:rsidRPr="00C05AE4">
        <w:t xml:space="preserve"> </w:t>
      </w:r>
      <w:r w:rsidR="00EA307F">
        <w:t>I</w:t>
      </w:r>
      <w:r w:rsidRPr="00C05AE4">
        <w:t xml:space="preserve">ncreases in both </w:t>
      </w:r>
      <w:r w:rsidR="00A541A4">
        <w:t>the Coral Cover and J</w:t>
      </w:r>
      <w:r w:rsidRPr="00C05AE4">
        <w:t xml:space="preserve">uvenile </w:t>
      </w:r>
      <w:r w:rsidR="00A541A4">
        <w:t xml:space="preserve">metric scores </w:t>
      </w:r>
      <w:r w:rsidRPr="00C05AE4">
        <w:t xml:space="preserve">since 2012 </w:t>
      </w:r>
      <w:r w:rsidR="00EA307F">
        <w:t>were predominantly observed at the shallower depths</w:t>
      </w:r>
      <w:r w:rsidR="00C9404A">
        <w:t>,</w:t>
      </w:r>
      <w:r w:rsidR="00EA307F">
        <w:t xml:space="preserve"> contrasting the resilience of shallow water corals to the resistance of the deeper water corals</w:t>
      </w:r>
      <w:r w:rsidR="00A541A4">
        <w:t xml:space="preserve"> that are</w:t>
      </w:r>
      <w:r w:rsidR="00EA307F">
        <w:t xml:space="preserve"> </w:t>
      </w:r>
      <w:r w:rsidRPr="00C05AE4">
        <w:t>toleran</w:t>
      </w:r>
      <w:r w:rsidR="00EA307F">
        <w:t xml:space="preserve">t of the </w:t>
      </w:r>
      <w:r w:rsidRPr="00C05AE4">
        <w:t>region’s water quality. What remains largely untested</w:t>
      </w:r>
      <w:r w:rsidR="00AA6ACE">
        <w:t>,</w:t>
      </w:r>
      <w:r w:rsidRPr="00C05AE4">
        <w:t xml:space="preserve"> is how resilient </w:t>
      </w:r>
      <w:r w:rsidR="00EA307F">
        <w:t xml:space="preserve">deeper </w:t>
      </w:r>
      <w:r w:rsidRPr="00C05AE4">
        <w:t xml:space="preserve">communities will be if exposed to a severe disturbance event. </w:t>
      </w:r>
      <w:r w:rsidR="00A541A4">
        <w:t xml:space="preserve">Consistently low scores for the Cover Change metric </w:t>
      </w:r>
      <w:r w:rsidRPr="00C05AE4">
        <w:t xml:space="preserve">suggests recovery from </w:t>
      </w:r>
      <w:r w:rsidR="00A541A4">
        <w:t xml:space="preserve">acute </w:t>
      </w:r>
      <w:r w:rsidRPr="00C05AE4">
        <w:t>disturbance</w:t>
      </w:r>
      <w:r w:rsidR="00A541A4">
        <w:t>s</w:t>
      </w:r>
      <w:r w:rsidRPr="00C05AE4">
        <w:t xml:space="preserve"> may be slow. </w:t>
      </w:r>
    </w:p>
    <w:p w14:paraId="11EA8BF0" w14:textId="1AFECC6A" w:rsidR="005D3598" w:rsidRDefault="00AE2855" w:rsidP="0012336D">
      <w:pPr>
        <w:rPr>
          <w:rFonts w:cs="Arial"/>
          <w:color w:val="000000" w:themeColor="text1"/>
          <w:szCs w:val="22"/>
        </w:rPr>
      </w:pPr>
      <w:r>
        <w:rPr>
          <w:rFonts w:cs="Arial"/>
          <w:color w:val="000000" w:themeColor="text1"/>
          <w:szCs w:val="22"/>
        </w:rPr>
        <w:t xml:space="preserve">The coral index in the </w:t>
      </w:r>
      <w:r w:rsidR="0001199E" w:rsidRPr="00903C3F">
        <w:rPr>
          <w:rFonts w:eastAsia="SimSun" w:cs="Arial"/>
          <w:b/>
          <w:color w:val="000000" w:themeColor="text1"/>
          <w:szCs w:val="22"/>
        </w:rPr>
        <w:t>Fitzroy Region</w:t>
      </w:r>
      <w:r w:rsidR="0001199E" w:rsidRPr="00903C3F">
        <w:rPr>
          <w:rFonts w:eastAsia="SimSun" w:cs="Arial"/>
          <w:color w:val="000000" w:themeColor="text1"/>
          <w:szCs w:val="22"/>
        </w:rPr>
        <w:t xml:space="preserve"> </w:t>
      </w:r>
      <w:r>
        <w:rPr>
          <w:rFonts w:eastAsia="SimSun" w:cs="Arial"/>
          <w:color w:val="000000" w:themeColor="text1"/>
          <w:szCs w:val="22"/>
        </w:rPr>
        <w:t>remained ‘poor’ in 2016, a score representing an improvement from the ‘very poor’ condition observed in 2014</w:t>
      </w:r>
      <w:r w:rsidR="00B40396">
        <w:rPr>
          <w:rFonts w:eastAsia="SimSun" w:cs="Arial"/>
          <w:color w:val="000000" w:themeColor="text1"/>
          <w:szCs w:val="22"/>
        </w:rPr>
        <w:t xml:space="preserve"> (</w:t>
      </w:r>
      <w:r w:rsidR="004A2C55">
        <w:rPr>
          <w:rFonts w:eastAsia="SimSun" w:cs="Arial"/>
          <w:color w:val="000000" w:themeColor="text1"/>
          <w:szCs w:val="22"/>
        </w:rPr>
        <w:fldChar w:fldCharType="begin"/>
      </w:r>
      <w:r w:rsidR="004A2C55">
        <w:rPr>
          <w:rFonts w:eastAsia="SimSun" w:cs="Arial"/>
          <w:color w:val="000000" w:themeColor="text1"/>
          <w:szCs w:val="22"/>
        </w:rPr>
        <w:instrText xml:space="preserve"> REF _Ref491090713 \h </w:instrText>
      </w:r>
      <w:r w:rsidR="004A2C55">
        <w:rPr>
          <w:rFonts w:eastAsia="SimSun" w:cs="Arial"/>
          <w:color w:val="000000" w:themeColor="text1"/>
          <w:szCs w:val="22"/>
        </w:rPr>
      </w:r>
      <w:r w:rsidR="004A2C55">
        <w:rPr>
          <w:rFonts w:eastAsia="SimSun" w:cs="Arial"/>
          <w:color w:val="000000" w:themeColor="text1"/>
          <w:szCs w:val="22"/>
        </w:rPr>
        <w:fldChar w:fldCharType="separate"/>
      </w:r>
      <w:r w:rsidR="00D806F2">
        <w:t xml:space="preserve">Figure </w:t>
      </w:r>
      <w:r w:rsidR="00D806F2">
        <w:rPr>
          <w:noProof/>
        </w:rPr>
        <w:t>1</w:t>
      </w:r>
      <w:r w:rsidR="004A2C55">
        <w:rPr>
          <w:rFonts w:eastAsia="SimSun" w:cs="Arial"/>
          <w:color w:val="000000" w:themeColor="text1"/>
          <w:szCs w:val="22"/>
        </w:rPr>
        <w:fldChar w:fldCharType="end"/>
      </w:r>
      <w:r w:rsidR="00B40396">
        <w:rPr>
          <w:rFonts w:eastAsia="SimSun" w:cs="Arial"/>
          <w:color w:val="000000" w:themeColor="text1"/>
          <w:szCs w:val="22"/>
        </w:rPr>
        <w:t>)</w:t>
      </w:r>
      <w:r>
        <w:rPr>
          <w:rFonts w:eastAsia="SimSun" w:cs="Arial"/>
          <w:color w:val="000000" w:themeColor="text1"/>
          <w:szCs w:val="22"/>
        </w:rPr>
        <w:t>. Improvement in the index to 2016 predominantly reflect</w:t>
      </w:r>
      <w:r w:rsidR="00B40396">
        <w:rPr>
          <w:rFonts w:eastAsia="SimSun" w:cs="Arial"/>
          <w:color w:val="000000" w:themeColor="text1"/>
          <w:szCs w:val="22"/>
        </w:rPr>
        <w:t>s</w:t>
      </w:r>
      <w:r>
        <w:rPr>
          <w:rFonts w:eastAsia="SimSun" w:cs="Arial"/>
          <w:color w:val="000000" w:themeColor="text1"/>
          <w:szCs w:val="22"/>
        </w:rPr>
        <w:t xml:space="preserve"> improvement in the Cover Change metric at both 2 m and 5 m sites</w:t>
      </w:r>
      <w:r w:rsidR="00AA6ACE">
        <w:rPr>
          <w:rFonts w:eastAsia="SimSun" w:cs="Arial"/>
          <w:color w:val="000000" w:themeColor="text1"/>
          <w:szCs w:val="22"/>
        </w:rPr>
        <w:t>,</w:t>
      </w:r>
      <w:r>
        <w:rPr>
          <w:rFonts w:eastAsia="SimSun" w:cs="Arial"/>
          <w:color w:val="000000" w:themeColor="text1"/>
          <w:szCs w:val="22"/>
        </w:rPr>
        <w:t xml:space="preserve"> along with </w:t>
      </w:r>
      <w:r w:rsidR="00A541A4">
        <w:rPr>
          <w:rFonts w:eastAsia="SimSun" w:cs="Arial"/>
          <w:color w:val="000000" w:themeColor="text1"/>
          <w:szCs w:val="22"/>
        </w:rPr>
        <w:t xml:space="preserve">improved Juvenile scores </w:t>
      </w:r>
      <w:r>
        <w:rPr>
          <w:rFonts w:eastAsia="SimSun" w:cs="Arial"/>
          <w:color w:val="000000" w:themeColor="text1"/>
          <w:szCs w:val="22"/>
        </w:rPr>
        <w:t>at 2 m</w:t>
      </w:r>
      <w:r w:rsidR="00A541A4">
        <w:rPr>
          <w:rFonts w:eastAsia="SimSun" w:cs="Arial"/>
          <w:color w:val="000000" w:themeColor="text1"/>
          <w:szCs w:val="22"/>
        </w:rPr>
        <w:t xml:space="preserve"> depths</w:t>
      </w:r>
      <w:r>
        <w:rPr>
          <w:rFonts w:eastAsia="SimSun" w:cs="Arial"/>
          <w:color w:val="000000" w:themeColor="text1"/>
          <w:szCs w:val="22"/>
        </w:rPr>
        <w:t xml:space="preserve">, </w:t>
      </w:r>
      <w:r w:rsidR="00A541A4">
        <w:rPr>
          <w:rFonts w:eastAsia="SimSun" w:cs="Arial"/>
          <w:color w:val="000000" w:themeColor="text1"/>
          <w:szCs w:val="22"/>
        </w:rPr>
        <w:t xml:space="preserve">both </w:t>
      </w:r>
      <w:r w:rsidR="00AA6ACE">
        <w:rPr>
          <w:rFonts w:eastAsia="SimSun" w:cs="Arial"/>
          <w:color w:val="000000" w:themeColor="text1"/>
          <w:szCs w:val="22"/>
        </w:rPr>
        <w:t xml:space="preserve">are </w:t>
      </w:r>
      <w:r>
        <w:rPr>
          <w:rFonts w:eastAsia="SimSun" w:cs="Arial"/>
          <w:color w:val="000000" w:themeColor="text1"/>
          <w:szCs w:val="22"/>
        </w:rPr>
        <w:t xml:space="preserve">necessary precursors to future improvements in </w:t>
      </w:r>
      <w:r w:rsidR="00B40396">
        <w:rPr>
          <w:rFonts w:eastAsia="SimSun" w:cs="Arial"/>
          <w:color w:val="000000" w:themeColor="text1"/>
          <w:szCs w:val="22"/>
        </w:rPr>
        <w:t>the index</w:t>
      </w:r>
      <w:r>
        <w:rPr>
          <w:rFonts w:eastAsia="SimSun" w:cs="Arial"/>
          <w:color w:val="000000" w:themeColor="text1"/>
          <w:szCs w:val="22"/>
        </w:rPr>
        <w:t>. O</w:t>
      </w:r>
      <w:r w:rsidRPr="00903C3F">
        <w:rPr>
          <w:rFonts w:eastAsia="SimSun" w:cs="Arial"/>
          <w:color w:val="000000" w:themeColor="text1"/>
          <w:szCs w:val="22"/>
        </w:rPr>
        <w:t>ver the period 2006-2014</w:t>
      </w:r>
      <w:r>
        <w:rPr>
          <w:rFonts w:eastAsia="SimSun" w:cs="Arial"/>
          <w:color w:val="000000" w:themeColor="text1"/>
          <w:szCs w:val="22"/>
        </w:rPr>
        <w:t xml:space="preserve"> </w:t>
      </w:r>
      <w:r w:rsidR="00B40396">
        <w:rPr>
          <w:rFonts w:eastAsia="SimSun" w:cs="Arial"/>
          <w:color w:val="000000" w:themeColor="text1"/>
          <w:szCs w:val="22"/>
        </w:rPr>
        <w:t xml:space="preserve">coral communities in </w:t>
      </w:r>
      <w:r>
        <w:rPr>
          <w:rFonts w:eastAsia="SimSun" w:cs="Arial"/>
          <w:color w:val="000000" w:themeColor="text1"/>
          <w:szCs w:val="22"/>
        </w:rPr>
        <w:t xml:space="preserve">the region </w:t>
      </w:r>
      <w:r w:rsidR="00B40396">
        <w:rPr>
          <w:rFonts w:eastAsia="SimSun" w:cs="Arial"/>
          <w:color w:val="000000" w:themeColor="text1"/>
          <w:szCs w:val="22"/>
        </w:rPr>
        <w:t xml:space="preserve">were exposed </w:t>
      </w:r>
      <w:r w:rsidR="00C9404A">
        <w:rPr>
          <w:rFonts w:eastAsia="SimSun" w:cs="Arial"/>
          <w:color w:val="000000" w:themeColor="text1"/>
          <w:szCs w:val="22"/>
        </w:rPr>
        <w:t xml:space="preserve">to </w:t>
      </w:r>
      <w:r w:rsidR="00A541A4">
        <w:rPr>
          <w:rFonts w:eastAsia="SimSun" w:cs="Arial"/>
          <w:color w:val="000000" w:themeColor="text1"/>
          <w:szCs w:val="22"/>
        </w:rPr>
        <w:t>cumulative pressures</w:t>
      </w:r>
      <w:r w:rsidR="00C9404A">
        <w:rPr>
          <w:rFonts w:eastAsia="SimSun" w:cs="Arial"/>
          <w:color w:val="000000" w:themeColor="text1"/>
          <w:szCs w:val="22"/>
        </w:rPr>
        <w:t>,</w:t>
      </w:r>
      <w:r w:rsidR="00A541A4">
        <w:rPr>
          <w:rFonts w:eastAsia="SimSun" w:cs="Arial"/>
          <w:color w:val="000000" w:themeColor="text1"/>
          <w:szCs w:val="22"/>
        </w:rPr>
        <w:t xml:space="preserve"> associated with a </w:t>
      </w:r>
      <w:r w:rsidR="0001199E" w:rsidRPr="00903C3F">
        <w:rPr>
          <w:rFonts w:eastAsia="SimSun" w:cs="Arial"/>
          <w:color w:val="000000" w:themeColor="text1"/>
          <w:szCs w:val="22"/>
        </w:rPr>
        <w:t xml:space="preserve">series of </w:t>
      </w:r>
      <w:r w:rsidR="00D14080" w:rsidRPr="00903C3F">
        <w:rPr>
          <w:rFonts w:eastAsia="SimSun" w:cs="Arial"/>
          <w:color w:val="000000" w:themeColor="text1"/>
          <w:szCs w:val="22"/>
        </w:rPr>
        <w:t xml:space="preserve">acute </w:t>
      </w:r>
      <w:r w:rsidR="00A448BD">
        <w:rPr>
          <w:rFonts w:eastAsia="SimSun" w:cs="Arial"/>
          <w:color w:val="000000" w:themeColor="text1"/>
          <w:szCs w:val="22"/>
        </w:rPr>
        <w:t xml:space="preserve">disturbances </w:t>
      </w:r>
      <w:r w:rsidR="00D14080" w:rsidRPr="00903C3F">
        <w:rPr>
          <w:rFonts w:eastAsia="SimSun" w:cs="Arial"/>
          <w:color w:val="000000" w:themeColor="text1"/>
          <w:szCs w:val="22"/>
        </w:rPr>
        <w:t xml:space="preserve">and chronic </w:t>
      </w:r>
      <w:r w:rsidR="00A541A4">
        <w:rPr>
          <w:rFonts w:eastAsia="SimSun" w:cs="Arial"/>
          <w:color w:val="000000" w:themeColor="text1"/>
          <w:szCs w:val="22"/>
        </w:rPr>
        <w:t>effects of water quality</w:t>
      </w:r>
      <w:r w:rsidR="00C9404A">
        <w:rPr>
          <w:rFonts w:eastAsia="SimSun" w:cs="Arial"/>
          <w:color w:val="000000" w:themeColor="text1"/>
          <w:szCs w:val="22"/>
        </w:rPr>
        <w:t>,</w:t>
      </w:r>
      <w:r w:rsidR="00F7583E">
        <w:rPr>
          <w:rFonts w:eastAsia="SimSun" w:cs="Arial"/>
          <w:color w:val="000000" w:themeColor="text1"/>
          <w:szCs w:val="22"/>
        </w:rPr>
        <w:t xml:space="preserve"> as reflected in the d</w:t>
      </w:r>
      <w:r w:rsidR="00602742" w:rsidRPr="00903C3F">
        <w:rPr>
          <w:rFonts w:eastAsia="SimSun" w:cs="Arial"/>
          <w:color w:val="000000" w:themeColor="text1"/>
          <w:szCs w:val="22"/>
        </w:rPr>
        <w:t xml:space="preserve">ecline </w:t>
      </w:r>
      <w:r w:rsidR="00CA23FD" w:rsidRPr="00903C3F">
        <w:rPr>
          <w:rFonts w:eastAsia="SimSun" w:cs="Arial"/>
          <w:color w:val="000000" w:themeColor="text1"/>
          <w:szCs w:val="22"/>
        </w:rPr>
        <w:t xml:space="preserve">of the coral index </w:t>
      </w:r>
      <w:r w:rsidR="00B40396">
        <w:rPr>
          <w:rFonts w:eastAsia="SimSun" w:cs="Arial"/>
          <w:color w:val="000000" w:themeColor="text1"/>
          <w:szCs w:val="22"/>
        </w:rPr>
        <w:t xml:space="preserve">through to </w:t>
      </w:r>
      <w:r w:rsidR="00E24DE0" w:rsidRPr="00903C3F">
        <w:rPr>
          <w:rFonts w:eastAsia="SimSun" w:cs="Arial"/>
          <w:color w:val="000000" w:themeColor="text1"/>
          <w:szCs w:val="22"/>
        </w:rPr>
        <w:t>2014</w:t>
      </w:r>
      <w:r w:rsidR="00C77A69">
        <w:rPr>
          <w:rFonts w:eastAsia="SimSun" w:cs="Arial"/>
          <w:color w:val="000000" w:themeColor="text1"/>
          <w:szCs w:val="22"/>
        </w:rPr>
        <w:t xml:space="preserve"> (</w:t>
      </w:r>
      <w:r w:rsidR="004A2C55">
        <w:rPr>
          <w:rFonts w:eastAsia="SimSun" w:cs="Arial"/>
          <w:color w:val="000000" w:themeColor="text1"/>
          <w:szCs w:val="22"/>
        </w:rPr>
        <w:fldChar w:fldCharType="begin"/>
      </w:r>
      <w:r w:rsidR="004A2C55">
        <w:rPr>
          <w:rFonts w:eastAsia="SimSun" w:cs="Arial"/>
          <w:color w:val="000000" w:themeColor="text1"/>
          <w:szCs w:val="22"/>
        </w:rPr>
        <w:instrText xml:space="preserve"> REF _Ref491090713 \h </w:instrText>
      </w:r>
      <w:r w:rsidR="004A2C55">
        <w:rPr>
          <w:rFonts w:eastAsia="SimSun" w:cs="Arial"/>
          <w:color w:val="000000" w:themeColor="text1"/>
          <w:szCs w:val="22"/>
        </w:rPr>
      </w:r>
      <w:r w:rsidR="004A2C55">
        <w:rPr>
          <w:rFonts w:eastAsia="SimSun" w:cs="Arial"/>
          <w:color w:val="000000" w:themeColor="text1"/>
          <w:szCs w:val="22"/>
        </w:rPr>
        <w:fldChar w:fldCharType="separate"/>
      </w:r>
      <w:r w:rsidR="00D806F2">
        <w:t xml:space="preserve">Figure </w:t>
      </w:r>
      <w:r w:rsidR="00D806F2">
        <w:rPr>
          <w:noProof/>
        </w:rPr>
        <w:t>1</w:t>
      </w:r>
      <w:r w:rsidR="004A2C55">
        <w:rPr>
          <w:rFonts w:eastAsia="SimSun" w:cs="Arial"/>
          <w:color w:val="000000" w:themeColor="text1"/>
          <w:szCs w:val="22"/>
        </w:rPr>
        <w:fldChar w:fldCharType="end"/>
      </w:r>
      <w:r w:rsidR="00C77A69">
        <w:rPr>
          <w:rFonts w:eastAsia="SimSun" w:cs="Arial"/>
          <w:color w:val="000000" w:themeColor="text1"/>
          <w:szCs w:val="22"/>
        </w:rPr>
        <w:t>)</w:t>
      </w:r>
      <w:r w:rsidR="0001199E" w:rsidRPr="00903C3F">
        <w:rPr>
          <w:rFonts w:eastAsia="SimSun" w:cs="Arial"/>
          <w:color w:val="000000" w:themeColor="text1"/>
          <w:szCs w:val="22"/>
        </w:rPr>
        <w:t xml:space="preserve">. </w:t>
      </w:r>
      <w:r w:rsidR="00E24DE0" w:rsidRPr="00903C3F">
        <w:rPr>
          <w:rFonts w:eastAsia="SimSun" w:cs="Arial"/>
          <w:color w:val="000000" w:themeColor="text1"/>
          <w:szCs w:val="22"/>
        </w:rPr>
        <w:t>Two acute disturbances stand out</w:t>
      </w:r>
      <w:r w:rsidR="00AA6ACE">
        <w:rPr>
          <w:rFonts w:eastAsia="SimSun" w:cs="Arial"/>
          <w:color w:val="000000" w:themeColor="text1"/>
          <w:szCs w:val="22"/>
        </w:rPr>
        <w:t>, h</w:t>
      </w:r>
      <w:r w:rsidR="00E24DE0" w:rsidRPr="00903C3F">
        <w:rPr>
          <w:rFonts w:eastAsia="SimSun" w:cs="Arial"/>
          <w:color w:val="000000" w:themeColor="text1"/>
          <w:szCs w:val="22"/>
        </w:rPr>
        <w:t>igh water temperatures in 2006 bleached and killed corals resulting in a</w:t>
      </w:r>
      <w:r w:rsidR="007D6C42" w:rsidRPr="00903C3F">
        <w:rPr>
          <w:rFonts w:eastAsia="SimSun" w:cs="Arial"/>
          <w:color w:val="000000" w:themeColor="text1"/>
          <w:szCs w:val="22"/>
        </w:rPr>
        <w:t>n</w:t>
      </w:r>
      <w:r w:rsidR="00E24DE0" w:rsidRPr="00903C3F">
        <w:rPr>
          <w:rFonts w:eastAsia="SimSun" w:cs="Arial"/>
          <w:color w:val="000000" w:themeColor="text1"/>
          <w:szCs w:val="22"/>
        </w:rPr>
        <w:t xml:space="preserve"> </w:t>
      </w:r>
      <w:r w:rsidR="007D6C42" w:rsidRPr="00903C3F">
        <w:rPr>
          <w:rFonts w:eastAsia="SimSun" w:cs="Arial"/>
          <w:color w:val="000000" w:themeColor="text1"/>
          <w:szCs w:val="22"/>
        </w:rPr>
        <w:t xml:space="preserve">average </w:t>
      </w:r>
      <w:r w:rsidR="00E24DE0" w:rsidRPr="00903C3F">
        <w:rPr>
          <w:rFonts w:eastAsia="SimSun" w:cs="Arial"/>
          <w:color w:val="000000" w:themeColor="text1"/>
          <w:szCs w:val="22"/>
        </w:rPr>
        <w:t xml:space="preserve">reduction </w:t>
      </w:r>
      <w:r w:rsidR="007D6C42" w:rsidRPr="00903C3F">
        <w:rPr>
          <w:rFonts w:eastAsia="SimSun" w:cs="Arial"/>
          <w:color w:val="000000" w:themeColor="text1"/>
          <w:szCs w:val="22"/>
        </w:rPr>
        <w:t>in coral cover of 16% across the region</w:t>
      </w:r>
      <w:r w:rsidR="00AA6ACE">
        <w:rPr>
          <w:rFonts w:eastAsia="SimSun" w:cs="Arial"/>
          <w:color w:val="000000" w:themeColor="text1"/>
          <w:szCs w:val="22"/>
        </w:rPr>
        <w:t xml:space="preserve">, and then, coral cover </w:t>
      </w:r>
      <w:r w:rsidR="00A448BD">
        <w:rPr>
          <w:rFonts w:eastAsia="SimSun" w:cs="Arial"/>
          <w:color w:val="000000" w:themeColor="text1"/>
          <w:szCs w:val="22"/>
        </w:rPr>
        <w:t xml:space="preserve">was reduced by a similar amount </w:t>
      </w:r>
      <w:r w:rsidR="00AA6ACE">
        <w:rPr>
          <w:rFonts w:eastAsia="SimSun" w:cs="Arial"/>
          <w:color w:val="000000" w:themeColor="text1"/>
          <w:szCs w:val="22"/>
        </w:rPr>
        <w:t xml:space="preserve">in response to </w:t>
      </w:r>
      <w:r w:rsidR="00A448BD">
        <w:rPr>
          <w:rFonts w:eastAsia="SimSun" w:cs="Arial"/>
          <w:color w:val="000000" w:themeColor="text1"/>
          <w:szCs w:val="22"/>
        </w:rPr>
        <w:t xml:space="preserve">a </w:t>
      </w:r>
      <w:r w:rsidR="00E24DE0" w:rsidRPr="00903C3F">
        <w:rPr>
          <w:rFonts w:cs="Arial"/>
          <w:color w:val="000000" w:themeColor="text1"/>
          <w:szCs w:val="22"/>
        </w:rPr>
        <w:t xml:space="preserve">major </w:t>
      </w:r>
      <w:r w:rsidR="0001199E" w:rsidRPr="00903C3F">
        <w:rPr>
          <w:rFonts w:cs="Arial"/>
          <w:color w:val="000000" w:themeColor="text1"/>
          <w:szCs w:val="22"/>
        </w:rPr>
        <w:t xml:space="preserve">flood </w:t>
      </w:r>
      <w:r w:rsidR="00A448BD">
        <w:rPr>
          <w:rFonts w:cs="Arial"/>
          <w:color w:val="000000" w:themeColor="text1"/>
          <w:szCs w:val="22"/>
        </w:rPr>
        <w:t xml:space="preserve">event in 2011. This flood predominantly affected the </w:t>
      </w:r>
      <w:r w:rsidR="00C77A69">
        <w:rPr>
          <w:rFonts w:cs="Arial"/>
          <w:color w:val="000000" w:themeColor="text1"/>
          <w:szCs w:val="22"/>
        </w:rPr>
        <w:t>2 m</w:t>
      </w:r>
      <w:r w:rsidR="00A448BD">
        <w:rPr>
          <w:rFonts w:cs="Arial"/>
          <w:color w:val="000000" w:themeColor="text1"/>
          <w:szCs w:val="22"/>
        </w:rPr>
        <w:t xml:space="preserve"> sites</w:t>
      </w:r>
      <w:r w:rsidR="00E24DE0" w:rsidRPr="00903C3F">
        <w:rPr>
          <w:rFonts w:cs="Arial"/>
          <w:color w:val="000000" w:themeColor="text1"/>
          <w:szCs w:val="22"/>
        </w:rPr>
        <w:t xml:space="preserve"> on</w:t>
      </w:r>
      <w:r w:rsidR="0001199E" w:rsidRPr="00903C3F">
        <w:rPr>
          <w:rFonts w:cs="Arial"/>
          <w:color w:val="000000" w:themeColor="text1"/>
          <w:szCs w:val="22"/>
        </w:rPr>
        <w:t xml:space="preserve"> reefs inshore of Great Keppel Island</w:t>
      </w:r>
      <w:r w:rsidR="00C77A69">
        <w:rPr>
          <w:rFonts w:cs="Arial"/>
          <w:color w:val="000000" w:themeColor="text1"/>
          <w:szCs w:val="22"/>
        </w:rPr>
        <w:t>,</w:t>
      </w:r>
      <w:r w:rsidR="0001199E" w:rsidRPr="00903C3F">
        <w:rPr>
          <w:rFonts w:cs="Arial"/>
          <w:color w:val="000000" w:themeColor="text1"/>
          <w:szCs w:val="22"/>
        </w:rPr>
        <w:t xml:space="preserve"> </w:t>
      </w:r>
      <w:r w:rsidR="0098506C" w:rsidRPr="00903C3F">
        <w:rPr>
          <w:rFonts w:cs="Arial"/>
          <w:color w:val="000000" w:themeColor="text1"/>
          <w:szCs w:val="22"/>
        </w:rPr>
        <w:t>w</w:t>
      </w:r>
      <w:r w:rsidR="00A448BD">
        <w:rPr>
          <w:rFonts w:cs="Arial"/>
          <w:color w:val="000000" w:themeColor="text1"/>
          <w:szCs w:val="22"/>
        </w:rPr>
        <w:t>h</w:t>
      </w:r>
      <w:r w:rsidR="00E24DE0" w:rsidRPr="00903C3F">
        <w:rPr>
          <w:rFonts w:cs="Arial"/>
          <w:color w:val="000000" w:themeColor="text1"/>
          <w:szCs w:val="22"/>
        </w:rPr>
        <w:t xml:space="preserve">ere </w:t>
      </w:r>
      <w:r w:rsidR="0098506C" w:rsidRPr="00903C3F">
        <w:rPr>
          <w:rFonts w:cs="Arial"/>
          <w:color w:val="000000" w:themeColor="text1"/>
          <w:szCs w:val="22"/>
        </w:rPr>
        <w:t xml:space="preserve">the </w:t>
      </w:r>
      <w:r w:rsidR="0001199E" w:rsidRPr="00903C3F">
        <w:rPr>
          <w:rFonts w:cs="Arial"/>
          <w:color w:val="000000" w:themeColor="text1"/>
          <w:szCs w:val="22"/>
        </w:rPr>
        <w:t xml:space="preserve">majority of corals </w:t>
      </w:r>
      <w:r w:rsidR="00166387">
        <w:rPr>
          <w:rFonts w:cs="Arial"/>
          <w:color w:val="000000" w:themeColor="text1"/>
          <w:szCs w:val="22"/>
        </w:rPr>
        <w:t xml:space="preserve">were </w:t>
      </w:r>
      <w:r w:rsidR="00E24DE0" w:rsidRPr="00903C3F">
        <w:rPr>
          <w:rFonts w:cs="Arial"/>
          <w:color w:val="000000" w:themeColor="text1"/>
          <w:szCs w:val="22"/>
        </w:rPr>
        <w:t>killed</w:t>
      </w:r>
      <w:r w:rsidR="0098506C" w:rsidRPr="00903C3F">
        <w:rPr>
          <w:rFonts w:cs="Arial"/>
          <w:color w:val="000000" w:themeColor="text1"/>
          <w:szCs w:val="22"/>
        </w:rPr>
        <w:t xml:space="preserve"> </w:t>
      </w:r>
      <w:r w:rsidR="00166387">
        <w:rPr>
          <w:rFonts w:cs="Arial"/>
          <w:color w:val="000000" w:themeColor="text1"/>
          <w:szCs w:val="22"/>
        </w:rPr>
        <w:t xml:space="preserve">as a result of </w:t>
      </w:r>
      <w:r w:rsidR="0098506C" w:rsidRPr="00903C3F">
        <w:rPr>
          <w:rFonts w:cs="Arial"/>
          <w:color w:val="000000" w:themeColor="text1"/>
          <w:szCs w:val="22"/>
        </w:rPr>
        <w:t>exposure to low salinity waters</w:t>
      </w:r>
      <w:r w:rsidR="00CA23FD" w:rsidRPr="00903C3F">
        <w:rPr>
          <w:rFonts w:cs="Arial"/>
          <w:color w:val="000000" w:themeColor="text1"/>
          <w:szCs w:val="22"/>
        </w:rPr>
        <w:t xml:space="preserve">. </w:t>
      </w:r>
      <w:r w:rsidR="00AA6ACE">
        <w:rPr>
          <w:rFonts w:cs="Arial"/>
          <w:color w:val="000000" w:themeColor="text1"/>
          <w:szCs w:val="22"/>
        </w:rPr>
        <w:t>Elsewhere</w:t>
      </w:r>
      <w:r w:rsidR="006563F7">
        <w:rPr>
          <w:rFonts w:cs="Arial"/>
          <w:color w:val="000000" w:themeColor="text1"/>
          <w:szCs w:val="22"/>
        </w:rPr>
        <w:t>,</w:t>
      </w:r>
      <w:r w:rsidR="00AA6ACE">
        <w:rPr>
          <w:rFonts w:cs="Arial"/>
          <w:color w:val="000000" w:themeColor="text1"/>
          <w:szCs w:val="22"/>
        </w:rPr>
        <w:t xml:space="preserve"> increased levels of disease demonstrated a like</w:t>
      </w:r>
      <w:r w:rsidR="00540DE4">
        <w:rPr>
          <w:rFonts w:cs="Arial"/>
          <w:color w:val="000000" w:themeColor="text1"/>
          <w:szCs w:val="22"/>
        </w:rPr>
        <w:t xml:space="preserve">ly impact of reduced water quality during and following the flood. </w:t>
      </w:r>
      <w:r w:rsidR="007D6C42" w:rsidRPr="00903C3F">
        <w:rPr>
          <w:rFonts w:cs="Arial"/>
          <w:color w:val="000000" w:themeColor="text1"/>
          <w:szCs w:val="22"/>
        </w:rPr>
        <w:t xml:space="preserve">In the periods 2007-2011 and 2012-2014 recovery from these disturbance events was hampered by a series of storms and persistently high </w:t>
      </w:r>
      <w:r w:rsidR="00016CD2">
        <w:rPr>
          <w:rFonts w:cs="Arial"/>
          <w:color w:val="000000" w:themeColor="text1"/>
          <w:szCs w:val="22"/>
        </w:rPr>
        <w:t xml:space="preserve">cover of </w:t>
      </w:r>
      <w:r w:rsidR="007D6C42" w:rsidRPr="00903C3F">
        <w:rPr>
          <w:rFonts w:cs="Arial"/>
          <w:color w:val="000000" w:themeColor="text1"/>
          <w:szCs w:val="22"/>
        </w:rPr>
        <w:t>macroalgae, low levels of coral recruitment and low rates of coral cover increase</w:t>
      </w:r>
      <w:r w:rsidR="004A2C55">
        <w:rPr>
          <w:rFonts w:cs="Arial"/>
          <w:color w:val="000000" w:themeColor="text1"/>
          <w:szCs w:val="22"/>
        </w:rPr>
        <w:t xml:space="preserve"> (</w:t>
      </w:r>
      <w:r w:rsidR="004A2C55">
        <w:rPr>
          <w:rFonts w:cs="Arial"/>
          <w:color w:val="000000" w:themeColor="text1"/>
          <w:szCs w:val="22"/>
        </w:rPr>
        <w:fldChar w:fldCharType="begin"/>
      </w:r>
      <w:r w:rsidR="004A2C55">
        <w:rPr>
          <w:rFonts w:cs="Arial"/>
          <w:color w:val="000000" w:themeColor="text1"/>
          <w:szCs w:val="22"/>
        </w:rPr>
        <w:instrText xml:space="preserve"> REF _Ref491090713 \h </w:instrText>
      </w:r>
      <w:r w:rsidR="004A2C55">
        <w:rPr>
          <w:rFonts w:cs="Arial"/>
          <w:color w:val="000000" w:themeColor="text1"/>
          <w:szCs w:val="22"/>
        </w:rPr>
      </w:r>
      <w:r w:rsidR="004A2C55">
        <w:rPr>
          <w:rFonts w:cs="Arial"/>
          <w:color w:val="000000" w:themeColor="text1"/>
          <w:szCs w:val="22"/>
        </w:rPr>
        <w:fldChar w:fldCharType="separate"/>
      </w:r>
      <w:r w:rsidR="00D806F2">
        <w:t xml:space="preserve">Figure </w:t>
      </w:r>
      <w:r w:rsidR="00D806F2">
        <w:rPr>
          <w:noProof/>
        </w:rPr>
        <w:t>1</w:t>
      </w:r>
      <w:r w:rsidR="004A2C55">
        <w:rPr>
          <w:rFonts w:cs="Arial"/>
          <w:color w:val="000000" w:themeColor="text1"/>
          <w:szCs w:val="22"/>
        </w:rPr>
        <w:fldChar w:fldCharType="end"/>
      </w:r>
      <w:r w:rsidR="00903C3F" w:rsidRPr="00903C3F">
        <w:rPr>
          <w:rFonts w:cs="Arial"/>
          <w:color w:val="000000" w:themeColor="text1"/>
          <w:szCs w:val="22"/>
        </w:rPr>
        <w:t>)</w:t>
      </w:r>
      <w:r w:rsidR="006563F7">
        <w:rPr>
          <w:rFonts w:cs="Arial"/>
          <w:color w:val="000000" w:themeColor="text1"/>
          <w:szCs w:val="22"/>
        </w:rPr>
        <w:t>,</w:t>
      </w:r>
      <w:r w:rsidR="00903C3F" w:rsidRPr="00903C3F">
        <w:rPr>
          <w:rFonts w:cs="Arial"/>
          <w:color w:val="000000" w:themeColor="text1"/>
          <w:szCs w:val="22"/>
        </w:rPr>
        <w:t xml:space="preserve"> </w:t>
      </w:r>
      <w:r w:rsidR="007D6C42" w:rsidRPr="00903C3F">
        <w:rPr>
          <w:rFonts w:cs="Arial"/>
          <w:color w:val="000000" w:themeColor="text1"/>
          <w:szCs w:val="22"/>
        </w:rPr>
        <w:t xml:space="preserve">all of which coincided with </w:t>
      </w:r>
      <w:r w:rsidR="0098506C" w:rsidRPr="00903C3F">
        <w:rPr>
          <w:rFonts w:cs="Arial"/>
          <w:color w:val="000000" w:themeColor="text1"/>
          <w:szCs w:val="22"/>
        </w:rPr>
        <w:t xml:space="preserve">a period of </w:t>
      </w:r>
      <w:r w:rsidR="007D6C42" w:rsidRPr="00903C3F">
        <w:rPr>
          <w:rFonts w:cs="Arial"/>
          <w:color w:val="000000" w:themeColor="text1"/>
          <w:szCs w:val="22"/>
        </w:rPr>
        <w:t xml:space="preserve">high loads </w:t>
      </w:r>
      <w:r w:rsidR="00A448BD">
        <w:rPr>
          <w:rFonts w:cs="Arial"/>
          <w:color w:val="000000" w:themeColor="text1"/>
          <w:szCs w:val="22"/>
        </w:rPr>
        <w:t>of land</w:t>
      </w:r>
      <w:r w:rsidR="0042623E">
        <w:rPr>
          <w:rFonts w:cs="Arial"/>
          <w:color w:val="000000" w:themeColor="text1"/>
          <w:szCs w:val="22"/>
        </w:rPr>
        <w:t>-</w:t>
      </w:r>
      <w:r w:rsidR="00A448BD">
        <w:rPr>
          <w:rFonts w:cs="Arial"/>
          <w:color w:val="000000" w:themeColor="text1"/>
          <w:szCs w:val="22"/>
        </w:rPr>
        <w:t xml:space="preserve">based material </w:t>
      </w:r>
      <w:r w:rsidR="007D6C42" w:rsidRPr="00903C3F">
        <w:rPr>
          <w:rFonts w:cs="Arial"/>
          <w:color w:val="000000" w:themeColor="text1"/>
          <w:szCs w:val="22"/>
        </w:rPr>
        <w:t xml:space="preserve">being delivered by the </w:t>
      </w:r>
      <w:r w:rsidR="0098506C" w:rsidRPr="00903C3F">
        <w:rPr>
          <w:rFonts w:cs="Arial"/>
          <w:color w:val="000000" w:themeColor="text1"/>
          <w:szCs w:val="22"/>
        </w:rPr>
        <w:t>Fitzroy River</w:t>
      </w:r>
      <w:r w:rsidR="00B40396">
        <w:rPr>
          <w:rFonts w:cs="Arial"/>
          <w:color w:val="000000" w:themeColor="text1"/>
          <w:szCs w:val="22"/>
        </w:rPr>
        <w:t>.</w:t>
      </w:r>
    </w:p>
    <w:p w14:paraId="11EA8BF4" w14:textId="369BF3DD" w:rsidR="00335CBC" w:rsidRPr="003D1A53" w:rsidRDefault="00F7583E" w:rsidP="00335CBC">
      <w:pPr>
        <w:rPr>
          <w:color w:val="000000" w:themeColor="text1"/>
        </w:rPr>
      </w:pPr>
      <w:r>
        <w:rPr>
          <w:color w:val="000000" w:themeColor="text1"/>
        </w:rPr>
        <w:t>Overall, i</w:t>
      </w:r>
      <w:r w:rsidR="00335CBC" w:rsidRPr="00AD60DA">
        <w:rPr>
          <w:color w:val="000000" w:themeColor="text1"/>
        </w:rPr>
        <w:t>t is apparent that the cumulative impact of tropical cyclones, outbreaks of crown-of-thorns seastars and a period of high discharge carrying increased loads of nutrients and sediments to the Reef resulted in declines in coral community condition through to 2012-2014.</w:t>
      </w:r>
      <w:r w:rsidR="00B5157B">
        <w:rPr>
          <w:color w:val="000000" w:themeColor="text1"/>
        </w:rPr>
        <w:t xml:space="preserve"> </w:t>
      </w:r>
      <w:r w:rsidR="00D254B2">
        <w:rPr>
          <w:color w:val="000000" w:themeColor="text1"/>
        </w:rPr>
        <w:t>Notwithstanding the</w:t>
      </w:r>
      <w:r w:rsidR="00F54190" w:rsidRPr="00615730">
        <w:rPr>
          <w:color w:val="000000" w:themeColor="text1"/>
        </w:rPr>
        <w:t xml:space="preserve"> prediction that the severity of disturbance events </w:t>
      </w:r>
      <w:r w:rsidR="00D254B2">
        <w:rPr>
          <w:color w:val="000000" w:themeColor="text1"/>
        </w:rPr>
        <w:t xml:space="preserve">to coral reefs </w:t>
      </w:r>
      <w:r w:rsidR="00F54190" w:rsidRPr="00615730">
        <w:rPr>
          <w:color w:val="000000" w:themeColor="text1"/>
        </w:rPr>
        <w:t>is projected to increase as a result of climate change,</w:t>
      </w:r>
      <w:r w:rsidR="00D254B2">
        <w:rPr>
          <w:color w:val="000000" w:themeColor="text1"/>
        </w:rPr>
        <w:t xml:space="preserve"> it is essential that communities retain the ability to recover from inevitable</w:t>
      </w:r>
      <w:r w:rsidR="008659C5">
        <w:rPr>
          <w:color w:val="000000" w:themeColor="text1"/>
        </w:rPr>
        <w:t xml:space="preserve"> disturbances </w:t>
      </w:r>
      <w:r w:rsidR="00073257">
        <w:rPr>
          <w:color w:val="000000" w:themeColor="text1"/>
        </w:rPr>
        <w:t>so as to</w:t>
      </w:r>
      <w:r w:rsidR="008659C5">
        <w:rPr>
          <w:color w:val="000000" w:themeColor="text1"/>
        </w:rPr>
        <w:t xml:space="preserve"> maintain a coral dominated state in the long-term. </w:t>
      </w:r>
      <w:r w:rsidR="00F54190">
        <w:rPr>
          <w:color w:val="000000" w:themeColor="text1"/>
        </w:rPr>
        <w:t xml:space="preserve">The coral index is formulated </w:t>
      </w:r>
      <w:r w:rsidR="008659C5">
        <w:rPr>
          <w:color w:val="000000" w:themeColor="text1"/>
        </w:rPr>
        <w:t xml:space="preserve">explicitly to </w:t>
      </w:r>
      <w:r w:rsidR="00F54190">
        <w:rPr>
          <w:color w:val="000000" w:themeColor="text1"/>
        </w:rPr>
        <w:t xml:space="preserve">emphasise coral </w:t>
      </w:r>
      <w:r w:rsidR="008659C5">
        <w:rPr>
          <w:color w:val="000000" w:themeColor="text1"/>
        </w:rPr>
        <w:t>communities’</w:t>
      </w:r>
      <w:r w:rsidR="00F54190">
        <w:rPr>
          <w:color w:val="000000" w:themeColor="text1"/>
        </w:rPr>
        <w:t xml:space="preserve"> </w:t>
      </w:r>
      <w:r w:rsidR="008659C5">
        <w:rPr>
          <w:color w:val="000000" w:themeColor="text1"/>
        </w:rPr>
        <w:t xml:space="preserve">recovery potential. </w:t>
      </w:r>
      <w:r w:rsidR="00073257">
        <w:rPr>
          <w:color w:val="000000" w:themeColor="text1"/>
        </w:rPr>
        <w:t>As such i</w:t>
      </w:r>
      <w:r w:rsidR="008659C5" w:rsidRPr="00AD60DA">
        <w:rPr>
          <w:color w:val="000000" w:themeColor="text1"/>
        </w:rPr>
        <w:t xml:space="preserve">mprovements in the index in all regions in 2016 </w:t>
      </w:r>
      <w:r w:rsidR="00073257">
        <w:rPr>
          <w:color w:val="000000" w:themeColor="text1"/>
        </w:rPr>
        <w:t xml:space="preserve">are an important </w:t>
      </w:r>
      <w:r w:rsidR="008659C5" w:rsidRPr="00AD60DA">
        <w:rPr>
          <w:color w:val="000000" w:themeColor="text1"/>
        </w:rPr>
        <w:t>demonstrat</w:t>
      </w:r>
      <w:r w:rsidR="00073257">
        <w:rPr>
          <w:color w:val="000000" w:themeColor="text1"/>
        </w:rPr>
        <w:t>ion of</w:t>
      </w:r>
      <w:r w:rsidR="008659C5" w:rsidRPr="00AD60DA">
        <w:rPr>
          <w:color w:val="000000" w:themeColor="text1"/>
        </w:rPr>
        <w:t xml:space="preserve"> the resilience inherent in inshore coral communities </w:t>
      </w:r>
      <w:r w:rsidR="00B40396">
        <w:rPr>
          <w:color w:val="000000" w:themeColor="text1"/>
        </w:rPr>
        <w:t>under situations of low cumulative pressure.</w:t>
      </w:r>
      <w:r w:rsidR="008659C5" w:rsidRPr="00AD60DA">
        <w:rPr>
          <w:color w:val="000000" w:themeColor="text1"/>
        </w:rPr>
        <w:t xml:space="preserve"> </w:t>
      </w:r>
      <w:r w:rsidR="008F6F1C" w:rsidRPr="00C90034">
        <w:rPr>
          <w:rFonts w:cs="Arial"/>
        </w:rPr>
        <w:t>The strong impact of acute disturbances such as: cyclones, bleaching, and outbreaks of crown-of-thorns seastars</w:t>
      </w:r>
      <w:r w:rsidR="008F6F1C">
        <w:rPr>
          <w:rFonts w:cs="Arial"/>
        </w:rPr>
        <w:t>,</w:t>
      </w:r>
      <w:r w:rsidR="008F6F1C" w:rsidRPr="00C90034">
        <w:rPr>
          <w:rFonts w:cs="Arial"/>
        </w:rPr>
        <w:t xml:space="preserve"> on</w:t>
      </w:r>
      <w:r w:rsidR="008F6F1C">
        <w:rPr>
          <w:rFonts w:cs="Arial"/>
        </w:rPr>
        <w:t xml:space="preserve"> coral community state</w:t>
      </w:r>
      <w:r w:rsidR="008F6F1C" w:rsidRPr="00C90034">
        <w:rPr>
          <w:rFonts w:cs="Arial"/>
        </w:rPr>
        <w:t xml:space="preserve"> impose an unavoidable confounding </w:t>
      </w:r>
      <w:r w:rsidR="008F6F1C">
        <w:rPr>
          <w:rFonts w:cs="Arial"/>
        </w:rPr>
        <w:t>between the influence of these pressures and those that can be attributed to water quality</w:t>
      </w:r>
      <w:r w:rsidR="008F6F1C" w:rsidRPr="00C90034">
        <w:rPr>
          <w:rFonts w:cs="Arial"/>
        </w:rPr>
        <w:t>.</w:t>
      </w:r>
      <w:r w:rsidR="008F6F1C">
        <w:t xml:space="preserve"> By explicitly focusing on periods free from acute disturbance events we were able to demonstrate that </w:t>
      </w:r>
      <w:r w:rsidR="008A0828">
        <w:t>incremental changes in the coral index, during periods when reefs should be recovering,</w:t>
      </w:r>
      <w:r w:rsidR="008F6F1C">
        <w:t xml:space="preserve"> was inversely related to discharge from l</w:t>
      </w:r>
      <w:r w:rsidR="008F6F1C">
        <w:rPr>
          <w:color w:val="000000" w:themeColor="text1"/>
        </w:rPr>
        <w:t xml:space="preserve">ocal catchments in three of the four regions monitored. </w:t>
      </w:r>
      <w:r w:rsidR="008A0828">
        <w:rPr>
          <w:color w:val="000000" w:themeColor="text1"/>
        </w:rPr>
        <w:t xml:space="preserve">In combination with a spatial analysis that demonstrated higher index scores where </w:t>
      </w:r>
      <w:r w:rsidR="00E70413">
        <w:rPr>
          <w:color w:val="000000" w:themeColor="text1"/>
        </w:rPr>
        <w:t xml:space="preserve">chlorophyll </w:t>
      </w:r>
      <w:r w:rsidR="00E70413" w:rsidRPr="005B52B1">
        <w:rPr>
          <w:i/>
          <w:color w:val="000000" w:themeColor="text1"/>
        </w:rPr>
        <w:t>a</w:t>
      </w:r>
      <w:r w:rsidR="00E70413">
        <w:rPr>
          <w:color w:val="000000" w:themeColor="text1"/>
        </w:rPr>
        <w:t xml:space="preserve"> levels were below guideline values, the temporal relationships between the recovery potential of coral communities and environmental conditions </w:t>
      </w:r>
      <w:r w:rsidR="00E76EFA" w:rsidRPr="003D1A53">
        <w:rPr>
          <w:color w:val="000000" w:themeColor="text1"/>
        </w:rPr>
        <w:t>provides support for the primary premise of Reef Plan</w:t>
      </w:r>
      <w:r w:rsidR="00E76EFA">
        <w:rPr>
          <w:color w:val="000000" w:themeColor="text1"/>
        </w:rPr>
        <w:t>, that</w:t>
      </w:r>
      <w:r w:rsidR="00E76EFA" w:rsidRPr="003D1A53">
        <w:rPr>
          <w:color w:val="000000" w:themeColor="text1"/>
        </w:rPr>
        <w:t xml:space="preserve"> </w:t>
      </w:r>
      <w:r w:rsidR="00892E75">
        <w:rPr>
          <w:color w:val="000000" w:themeColor="text1"/>
        </w:rPr>
        <w:t xml:space="preserve">load reduction </w:t>
      </w:r>
      <w:r w:rsidR="00E76EFA">
        <w:rPr>
          <w:color w:val="000000" w:themeColor="text1"/>
        </w:rPr>
        <w:t>will have downstream environmental benefits for the Reef</w:t>
      </w:r>
      <w:r w:rsidR="00892E75">
        <w:rPr>
          <w:color w:val="000000" w:themeColor="text1"/>
        </w:rPr>
        <w:t>.</w:t>
      </w:r>
      <w:r w:rsidR="00E75F5C">
        <w:rPr>
          <w:color w:val="000000" w:themeColor="text1"/>
        </w:rPr>
        <w:t xml:space="preserve"> </w:t>
      </w:r>
    </w:p>
    <w:p w14:paraId="11EA8BF5" w14:textId="43F36364" w:rsidR="00335CBC" w:rsidRDefault="00335CBC" w:rsidP="00335CBC">
      <w:pPr>
        <w:autoSpaceDE w:val="0"/>
        <w:autoSpaceDN w:val="0"/>
        <w:adjustRightInd w:val="0"/>
        <w:spacing w:after="240"/>
        <w:rPr>
          <w:color w:val="000000" w:themeColor="text1"/>
        </w:rPr>
      </w:pPr>
      <w:r w:rsidRPr="00CA23FD">
        <w:rPr>
          <w:color w:val="000000" w:themeColor="text1"/>
        </w:rPr>
        <w:t xml:space="preserve">In addition to the effects of </w:t>
      </w:r>
      <w:r w:rsidR="0042623E">
        <w:rPr>
          <w:color w:val="000000" w:themeColor="text1"/>
        </w:rPr>
        <w:t>run-off</w:t>
      </w:r>
      <w:r w:rsidR="003D1A53">
        <w:rPr>
          <w:color w:val="000000" w:themeColor="text1"/>
        </w:rPr>
        <w:t xml:space="preserve"> </w:t>
      </w:r>
      <w:r w:rsidRPr="00CA23FD">
        <w:rPr>
          <w:color w:val="000000" w:themeColor="text1"/>
        </w:rPr>
        <w:t>on</w:t>
      </w:r>
      <w:r w:rsidR="003D1A53">
        <w:rPr>
          <w:color w:val="000000" w:themeColor="text1"/>
        </w:rPr>
        <w:t xml:space="preserve"> the </w:t>
      </w:r>
      <w:r w:rsidR="00E70413">
        <w:rPr>
          <w:color w:val="000000" w:themeColor="text1"/>
        </w:rPr>
        <w:t xml:space="preserve">condition of </w:t>
      </w:r>
      <w:r w:rsidRPr="00CA23FD">
        <w:rPr>
          <w:color w:val="000000" w:themeColor="text1"/>
        </w:rPr>
        <w:t>inshore reefs reported here</w:t>
      </w:r>
      <w:r w:rsidR="003D1A53">
        <w:rPr>
          <w:color w:val="000000" w:themeColor="text1"/>
        </w:rPr>
        <w:t>,</w:t>
      </w:r>
      <w:r w:rsidR="00E70413">
        <w:rPr>
          <w:color w:val="000000" w:themeColor="text1"/>
        </w:rPr>
        <w:t xml:space="preserve"> </w:t>
      </w:r>
      <w:r w:rsidRPr="008972BF">
        <w:rPr>
          <w:color w:val="000000" w:themeColor="text1"/>
        </w:rPr>
        <w:t>increased nutrient loads delivered to the Reef lagoon during major flood events</w:t>
      </w:r>
      <w:r w:rsidR="00DC3A6A">
        <w:rPr>
          <w:color w:val="000000" w:themeColor="text1"/>
        </w:rPr>
        <w:t xml:space="preserve"> ha</w:t>
      </w:r>
      <w:r w:rsidR="00E70413">
        <w:rPr>
          <w:color w:val="000000" w:themeColor="text1"/>
        </w:rPr>
        <w:t>ve</w:t>
      </w:r>
      <w:r w:rsidR="00DC3A6A">
        <w:rPr>
          <w:color w:val="000000" w:themeColor="text1"/>
        </w:rPr>
        <w:t xml:space="preserve"> been linked to </w:t>
      </w:r>
      <w:r w:rsidR="009A319C">
        <w:rPr>
          <w:color w:val="000000" w:themeColor="text1"/>
        </w:rPr>
        <w:t>the initiation of COTS outbreaks</w:t>
      </w:r>
      <w:r w:rsidRPr="008972BF">
        <w:rPr>
          <w:color w:val="000000" w:themeColor="text1"/>
        </w:rPr>
        <w:t xml:space="preserve">. </w:t>
      </w:r>
      <w:r w:rsidR="009A319C">
        <w:rPr>
          <w:color w:val="000000" w:themeColor="text1"/>
        </w:rPr>
        <w:t>Although</w:t>
      </w:r>
      <w:r w:rsidRPr="008972BF">
        <w:rPr>
          <w:color w:val="000000" w:themeColor="text1"/>
        </w:rPr>
        <w:t xml:space="preserve"> not typically prevalent </w:t>
      </w:r>
      <w:r w:rsidR="00E70413">
        <w:rPr>
          <w:color w:val="000000" w:themeColor="text1"/>
        </w:rPr>
        <w:t>on</w:t>
      </w:r>
      <w:r w:rsidR="00E70413" w:rsidRPr="008972BF">
        <w:rPr>
          <w:color w:val="000000" w:themeColor="text1"/>
        </w:rPr>
        <w:t xml:space="preserve"> </w:t>
      </w:r>
      <w:r w:rsidRPr="008972BF">
        <w:rPr>
          <w:color w:val="000000" w:themeColor="text1"/>
        </w:rPr>
        <w:t>inshore reefs</w:t>
      </w:r>
      <w:r w:rsidR="00BD7D51">
        <w:rPr>
          <w:color w:val="000000" w:themeColor="text1"/>
        </w:rPr>
        <w:t>,</w:t>
      </w:r>
      <w:r w:rsidRPr="008972BF">
        <w:rPr>
          <w:color w:val="000000" w:themeColor="text1"/>
        </w:rPr>
        <w:t xml:space="preserve"> </w:t>
      </w:r>
      <w:r w:rsidR="009A319C" w:rsidRPr="008972BF">
        <w:rPr>
          <w:color w:val="000000" w:themeColor="text1"/>
        </w:rPr>
        <w:t xml:space="preserve">elevated </w:t>
      </w:r>
      <w:r w:rsidR="009A319C">
        <w:rPr>
          <w:color w:val="000000" w:themeColor="text1"/>
        </w:rPr>
        <w:t>numbers</w:t>
      </w:r>
      <w:r w:rsidR="009A319C" w:rsidRPr="008972BF">
        <w:rPr>
          <w:color w:val="000000" w:themeColor="text1"/>
        </w:rPr>
        <w:t xml:space="preserve"> </w:t>
      </w:r>
      <w:r w:rsidR="009A319C">
        <w:rPr>
          <w:color w:val="000000" w:themeColor="text1"/>
        </w:rPr>
        <w:t xml:space="preserve">of COTS </w:t>
      </w:r>
      <w:r w:rsidRPr="008972BF">
        <w:rPr>
          <w:color w:val="000000" w:themeColor="text1"/>
        </w:rPr>
        <w:t xml:space="preserve">in the Barron Daintree and Johnstone Russell-Mulgrave </w:t>
      </w:r>
      <w:r w:rsidR="00B41EFE">
        <w:rPr>
          <w:color w:val="000000" w:themeColor="text1"/>
        </w:rPr>
        <w:t>sub-</w:t>
      </w:r>
      <w:r w:rsidRPr="008972BF">
        <w:rPr>
          <w:color w:val="000000" w:themeColor="text1"/>
        </w:rPr>
        <w:t>regions in recent years</w:t>
      </w:r>
      <w:r>
        <w:rPr>
          <w:color w:val="000000" w:themeColor="text1"/>
        </w:rPr>
        <w:t xml:space="preserve"> mirror much larger populations observed offshore</w:t>
      </w:r>
      <w:r w:rsidRPr="008972BF">
        <w:rPr>
          <w:color w:val="000000" w:themeColor="text1"/>
        </w:rPr>
        <w:t>. In 2016</w:t>
      </w:r>
      <w:r w:rsidR="00BD7D51">
        <w:rPr>
          <w:color w:val="000000" w:themeColor="text1"/>
        </w:rPr>
        <w:t>,</w:t>
      </w:r>
      <w:r w:rsidRPr="008972BF">
        <w:rPr>
          <w:color w:val="000000" w:themeColor="text1"/>
        </w:rPr>
        <w:t xml:space="preserve"> small numbers of COTS were observed at Fitzroy Island, High Island and the Frankl</w:t>
      </w:r>
      <w:r w:rsidR="006563F7">
        <w:rPr>
          <w:color w:val="000000" w:themeColor="text1"/>
        </w:rPr>
        <w:t>and Group where a range of size-</w:t>
      </w:r>
      <w:r w:rsidRPr="008972BF">
        <w:rPr>
          <w:color w:val="000000" w:themeColor="text1"/>
        </w:rPr>
        <w:t>classes indicate ongoing recruitment</w:t>
      </w:r>
      <w:r w:rsidR="00540DE4">
        <w:rPr>
          <w:color w:val="000000" w:themeColor="text1"/>
        </w:rPr>
        <w:t>.</w:t>
      </w:r>
      <w:r w:rsidRPr="008972BF">
        <w:rPr>
          <w:color w:val="000000" w:themeColor="text1"/>
        </w:rPr>
        <w:t xml:space="preserve"> </w:t>
      </w:r>
      <w:r w:rsidR="006563F7">
        <w:rPr>
          <w:color w:val="000000" w:themeColor="text1"/>
        </w:rPr>
        <w:t>T</w:t>
      </w:r>
      <w:r w:rsidR="003D1A53">
        <w:rPr>
          <w:color w:val="000000" w:themeColor="text1"/>
        </w:rPr>
        <w:t xml:space="preserve">he </w:t>
      </w:r>
      <w:r>
        <w:rPr>
          <w:color w:val="000000" w:themeColor="text1"/>
        </w:rPr>
        <w:t xml:space="preserve">densities </w:t>
      </w:r>
      <w:r w:rsidR="006563F7">
        <w:rPr>
          <w:color w:val="000000" w:themeColor="text1"/>
        </w:rPr>
        <w:t xml:space="preserve">of COTS </w:t>
      </w:r>
      <w:r w:rsidR="00540DE4">
        <w:rPr>
          <w:color w:val="000000" w:themeColor="text1"/>
        </w:rPr>
        <w:t xml:space="preserve">observed </w:t>
      </w:r>
      <w:r w:rsidR="00153351">
        <w:rPr>
          <w:color w:val="000000" w:themeColor="text1"/>
        </w:rPr>
        <w:t>we</w:t>
      </w:r>
      <w:r w:rsidR="003D1A53">
        <w:rPr>
          <w:color w:val="000000" w:themeColor="text1"/>
        </w:rPr>
        <w:t xml:space="preserve">re sufficient that as these individuals grow they are </w:t>
      </w:r>
      <w:r>
        <w:rPr>
          <w:color w:val="000000" w:themeColor="text1"/>
        </w:rPr>
        <w:t xml:space="preserve">likely to result in </w:t>
      </w:r>
      <w:r w:rsidRPr="008972BF">
        <w:rPr>
          <w:color w:val="000000" w:themeColor="text1"/>
        </w:rPr>
        <w:t>future damage</w:t>
      </w:r>
      <w:r w:rsidR="003D1A53">
        <w:rPr>
          <w:color w:val="000000" w:themeColor="text1"/>
        </w:rPr>
        <w:t xml:space="preserve"> to</w:t>
      </w:r>
      <w:r>
        <w:rPr>
          <w:color w:val="000000" w:themeColor="text1"/>
        </w:rPr>
        <w:t xml:space="preserve"> </w:t>
      </w:r>
      <w:r w:rsidR="00D014BD">
        <w:rPr>
          <w:color w:val="000000" w:themeColor="text1"/>
        </w:rPr>
        <w:t xml:space="preserve">the </w:t>
      </w:r>
      <w:r>
        <w:rPr>
          <w:color w:val="000000" w:themeColor="text1"/>
        </w:rPr>
        <w:t>coral communities</w:t>
      </w:r>
      <w:r w:rsidRPr="008972BF">
        <w:rPr>
          <w:color w:val="000000" w:themeColor="text1"/>
        </w:rPr>
        <w:t xml:space="preserve">. A single juvenile COTS was also observed at Palms East consistent with the general southward movement of COTS observed on more offshore reefs. </w:t>
      </w:r>
    </w:p>
    <w:p w14:paraId="26E95120" w14:textId="0F3560B8" w:rsidR="0082470F" w:rsidRDefault="0082470F" w:rsidP="0082470F">
      <w:r w:rsidRPr="00C90034">
        <w:rPr>
          <w:rFonts w:cs="Arial"/>
        </w:rPr>
        <w:t>.</w:t>
      </w:r>
      <w:r>
        <w:t xml:space="preserve"> </w:t>
      </w:r>
    </w:p>
    <w:p w14:paraId="11EA8BF7" w14:textId="77777777" w:rsidR="00335CBC" w:rsidRPr="005D3598" w:rsidRDefault="00335CBC" w:rsidP="0012336D">
      <w:pPr>
        <w:rPr>
          <w:rFonts w:cs="Arial"/>
          <w:color w:val="000000" w:themeColor="text1"/>
          <w:szCs w:val="22"/>
        </w:rPr>
      </w:pPr>
    </w:p>
    <w:p w14:paraId="11EA8BF8" w14:textId="1BD96259" w:rsidR="005D3598" w:rsidRDefault="004746EB" w:rsidP="00F872DF">
      <w:pPr>
        <w:pStyle w:val="Caption"/>
      </w:pPr>
      <w:bookmarkStart w:id="18" w:name="_Ref438116746"/>
      <w:bookmarkStart w:id="19" w:name="_Toc437423847"/>
      <w:bookmarkStart w:id="20" w:name="_Toc437424026"/>
      <w:bookmarkStart w:id="21" w:name="_Toc437424289"/>
      <w:bookmarkStart w:id="22" w:name="_Toc437597624"/>
      <w:bookmarkStart w:id="23" w:name="_Toc393133560"/>
      <w:r>
        <w:rPr>
          <w:noProof/>
          <w:lang w:val="en-AU" w:eastAsia="en-AU"/>
        </w:rPr>
        <w:drawing>
          <wp:inline distT="0" distB="0" distL="0" distR="0" wp14:anchorId="7D9EBE1B" wp14:editId="24FD083F">
            <wp:extent cx="6096012" cy="6096012"/>
            <wp:effectExtent l="0" t="0" r="0" b="0"/>
            <wp:docPr id="2" name="Picture 2" descr="Plot of coral index scores since 2005 for each NRM region. Includes trends for each of the five indicator metrics, Coral Cover, Juvenile density, Macroalgae, Cover Change and Composition." title="Figure 1 Regional Coral index sc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ms.region.paper.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096012" cy="6096012"/>
                    </a:xfrm>
                    <a:prstGeom prst="rect">
                      <a:avLst/>
                    </a:prstGeom>
                  </pic:spPr>
                </pic:pic>
              </a:graphicData>
            </a:graphic>
          </wp:inline>
        </w:drawing>
      </w:r>
    </w:p>
    <w:p w14:paraId="11EA8BF9" w14:textId="77777777" w:rsidR="005D3598" w:rsidRDefault="005D3598" w:rsidP="00F872DF">
      <w:pPr>
        <w:pStyle w:val="Caption"/>
      </w:pPr>
    </w:p>
    <w:p w14:paraId="11EA8BFA" w14:textId="266429DB" w:rsidR="00541958" w:rsidRPr="003A2C86" w:rsidRDefault="00E2296B" w:rsidP="00F872DF">
      <w:pPr>
        <w:pStyle w:val="Caption"/>
        <w:rPr>
          <w:vanish/>
        </w:rPr>
      </w:pPr>
      <w:bookmarkStart w:id="24" w:name="_Ref491090713"/>
      <w:bookmarkStart w:id="25" w:name="_Toc491846827"/>
      <w:bookmarkEnd w:id="18"/>
      <w:r>
        <w:t xml:space="preserve">Figure </w:t>
      </w:r>
      <w:r>
        <w:fldChar w:fldCharType="begin"/>
      </w:r>
      <w:r>
        <w:instrText xml:space="preserve"> SEQ Figure \* ARABIC </w:instrText>
      </w:r>
      <w:r>
        <w:fldChar w:fldCharType="separate"/>
      </w:r>
      <w:r w:rsidR="00D806F2">
        <w:rPr>
          <w:noProof/>
        </w:rPr>
        <w:t>1</w:t>
      </w:r>
      <w:r>
        <w:fldChar w:fldCharType="end"/>
      </w:r>
      <w:bookmarkEnd w:id="24"/>
      <w:r>
        <w:t xml:space="preserve"> </w:t>
      </w:r>
      <w:r w:rsidRPr="00F23BC7">
        <w:t>Regional Coral Index with contributing indicator scores</w:t>
      </w:r>
      <w:r>
        <w:t>.</w:t>
      </w:r>
      <w:bookmarkEnd w:id="25"/>
      <w:r>
        <w:t xml:space="preserve"> </w:t>
      </w:r>
      <w:bookmarkEnd w:id="19"/>
      <w:bookmarkEnd w:id="20"/>
      <w:bookmarkEnd w:id="21"/>
      <w:bookmarkEnd w:id="22"/>
    </w:p>
    <w:p w14:paraId="11EA8BFB" w14:textId="160EC550" w:rsidR="001D4EC5" w:rsidRPr="00F439FB" w:rsidRDefault="001D4EC5" w:rsidP="00F872DF">
      <w:pPr>
        <w:pStyle w:val="Caption"/>
        <w:rPr>
          <w:rStyle w:val="IntenseReference"/>
          <w:rFonts w:eastAsia="SimSun"/>
          <w:color w:val="4F81BD" w:themeColor="accent1"/>
        </w:rPr>
      </w:pPr>
      <w:bookmarkStart w:id="26" w:name="_Toc437424290"/>
      <w:bookmarkStart w:id="27" w:name="_Toc437432344"/>
      <w:bookmarkStart w:id="28" w:name="_Toc437597625"/>
      <w:r w:rsidRPr="003A2C86">
        <w:rPr>
          <w:rStyle w:val="IntenseReference"/>
          <w:rFonts w:eastAsia="SimSun"/>
          <w:color w:val="auto"/>
        </w:rPr>
        <w:t xml:space="preserve">The regional Coral Index is derived from the aggregate of metric scores for indicators of coral community health. The contributing indicators are described in </w:t>
      </w:r>
      <w:r w:rsidR="00FD0231">
        <w:rPr>
          <w:rStyle w:val="IntenseReference"/>
          <w:rFonts w:eastAsia="SimSun"/>
          <w:color w:val="auto"/>
        </w:rPr>
        <w:t xml:space="preserve">the </w:t>
      </w:r>
      <w:r w:rsidR="006563F7">
        <w:rPr>
          <w:rStyle w:val="IntenseReference"/>
          <w:rFonts w:eastAsia="SimSun"/>
          <w:color w:val="auto"/>
        </w:rPr>
        <w:t>methods section</w:t>
      </w:r>
      <w:bookmarkEnd w:id="26"/>
      <w:bookmarkEnd w:id="27"/>
      <w:bookmarkEnd w:id="28"/>
    </w:p>
    <w:p w14:paraId="11EA8BFC" w14:textId="77777777" w:rsidR="008A1A24" w:rsidRPr="00F439FB" w:rsidRDefault="008A1A24">
      <w:pPr>
        <w:rPr>
          <w:color w:val="4F81BD" w:themeColor="accent1"/>
          <w:lang w:val="en-AU" w:eastAsia="en-AU"/>
        </w:rPr>
      </w:pPr>
    </w:p>
    <w:bookmarkEnd w:id="23"/>
    <w:p w14:paraId="11EA8BFD" w14:textId="77777777" w:rsidR="008A1A24" w:rsidRPr="00F439FB" w:rsidRDefault="008A1A24" w:rsidP="003F0873">
      <w:pPr>
        <w:autoSpaceDE w:val="0"/>
        <w:autoSpaceDN w:val="0"/>
        <w:adjustRightInd w:val="0"/>
        <w:spacing w:after="240"/>
        <w:rPr>
          <w:color w:val="4F81BD" w:themeColor="accent1"/>
        </w:rPr>
      </w:pPr>
      <w:r w:rsidRPr="00F439FB">
        <w:rPr>
          <w:color w:val="4F81BD" w:themeColor="accent1"/>
        </w:rPr>
        <w:br w:type="page"/>
      </w:r>
    </w:p>
    <w:p w14:paraId="11EA8BFE" w14:textId="77777777" w:rsidR="008A1A24" w:rsidRPr="00F439FB" w:rsidRDefault="008A1A24" w:rsidP="00B05739">
      <w:pPr>
        <w:pStyle w:val="Heading1"/>
        <w:numPr>
          <w:ilvl w:val="0"/>
          <w:numId w:val="42"/>
        </w:numPr>
      </w:pPr>
      <w:bookmarkStart w:id="29" w:name="_Toc437424402"/>
      <w:bookmarkStart w:id="30" w:name="_Toc437424526"/>
      <w:bookmarkStart w:id="31" w:name="_Toc437432456"/>
      <w:bookmarkStart w:id="32" w:name="_Toc437432529"/>
      <w:bookmarkStart w:id="33" w:name="_Toc491847355"/>
      <w:bookmarkStart w:id="34" w:name="_Toc493153290"/>
      <w:r w:rsidRPr="00F439FB">
        <w:t>Preface</w:t>
      </w:r>
      <w:bookmarkEnd w:id="29"/>
      <w:bookmarkEnd w:id="30"/>
      <w:bookmarkEnd w:id="31"/>
      <w:bookmarkEnd w:id="32"/>
      <w:bookmarkEnd w:id="33"/>
      <w:bookmarkEnd w:id="34"/>
    </w:p>
    <w:p w14:paraId="11EA8BFF" w14:textId="6B38CDEA" w:rsidR="002B6DF5" w:rsidRPr="00074B4A" w:rsidRDefault="008A1A24" w:rsidP="002B6DF5">
      <w:pPr>
        <w:spacing w:after="240"/>
        <w:rPr>
          <w:color w:val="000000" w:themeColor="text1"/>
          <w:szCs w:val="22"/>
        </w:rPr>
      </w:pPr>
      <w:r w:rsidRPr="00074B4A">
        <w:rPr>
          <w:color w:val="000000" w:themeColor="text1"/>
        </w:rPr>
        <w:t xml:space="preserve">Management of human pressures, such as enhanced nutrient </w:t>
      </w:r>
      <w:r w:rsidR="0042623E">
        <w:rPr>
          <w:color w:val="000000" w:themeColor="text1"/>
        </w:rPr>
        <w:t>run-off</w:t>
      </w:r>
      <w:r w:rsidRPr="00074B4A">
        <w:rPr>
          <w:color w:val="000000" w:themeColor="text1"/>
        </w:rPr>
        <w:t xml:space="preserve"> and overfishing, is vital to provide corals</w:t>
      </w:r>
      <w:r w:rsidR="00153351">
        <w:rPr>
          <w:color w:val="000000" w:themeColor="text1"/>
        </w:rPr>
        <w:t>,</w:t>
      </w:r>
      <w:r w:rsidRPr="00074B4A">
        <w:rPr>
          <w:color w:val="000000" w:themeColor="text1"/>
        </w:rPr>
        <w:t xml:space="preserve"> and reef organisms</w:t>
      </w:r>
      <w:r w:rsidR="00153351">
        <w:rPr>
          <w:color w:val="000000" w:themeColor="text1"/>
        </w:rPr>
        <w:t xml:space="preserve"> in general,</w:t>
      </w:r>
      <w:r w:rsidRPr="00074B4A">
        <w:rPr>
          <w:color w:val="000000" w:themeColor="text1"/>
        </w:rPr>
        <w:t xml:space="preserve"> with the optimum conditions to cope with global stressors, such as climate change and ocean acidification (Bellwood </w:t>
      </w:r>
      <w:r w:rsidRPr="00074B4A">
        <w:rPr>
          <w:i/>
          <w:color w:val="000000" w:themeColor="text1"/>
        </w:rPr>
        <w:t>et al.</w:t>
      </w:r>
      <w:r w:rsidRPr="00074B4A">
        <w:rPr>
          <w:color w:val="000000" w:themeColor="text1"/>
        </w:rPr>
        <w:t xml:space="preserve"> 2004, </w:t>
      </w:r>
      <w:r w:rsidR="00502A11" w:rsidRPr="00074B4A">
        <w:rPr>
          <w:color w:val="000000" w:themeColor="text1"/>
        </w:rPr>
        <w:t>Marshall &amp;</w:t>
      </w:r>
      <w:r w:rsidRPr="00074B4A">
        <w:rPr>
          <w:color w:val="000000" w:themeColor="text1"/>
        </w:rPr>
        <w:t xml:space="preserve"> Johnson 2007, Carpenter </w:t>
      </w:r>
      <w:r w:rsidRPr="00074B4A">
        <w:rPr>
          <w:i/>
          <w:color w:val="000000" w:themeColor="text1"/>
        </w:rPr>
        <w:t>et al.</w:t>
      </w:r>
      <w:r w:rsidRPr="00074B4A">
        <w:rPr>
          <w:color w:val="000000" w:themeColor="text1"/>
        </w:rPr>
        <w:t xml:space="preserve"> 2008, Mora 2008, Hughes </w:t>
      </w:r>
      <w:r w:rsidRPr="00074B4A">
        <w:rPr>
          <w:i/>
          <w:color w:val="000000" w:themeColor="text1"/>
        </w:rPr>
        <w:t>et al</w:t>
      </w:r>
      <w:r w:rsidRPr="00074B4A">
        <w:rPr>
          <w:color w:val="000000" w:themeColor="text1"/>
        </w:rPr>
        <w:t xml:space="preserve">. 2010). The management of water quality remains a strategic priority for the </w:t>
      </w:r>
      <w:r w:rsidRPr="00074B4A">
        <w:rPr>
          <w:color w:val="000000" w:themeColor="text1"/>
          <w:lang w:eastAsia="en-AU"/>
        </w:rPr>
        <w:t xml:space="preserve">Great Barrier Reef Marine Park Authority (GBRMPA) </w:t>
      </w:r>
      <w:r w:rsidRPr="00074B4A">
        <w:rPr>
          <w:color w:val="000000" w:themeColor="text1"/>
        </w:rPr>
        <w:t xml:space="preserve">to ensure the long-term protection of the coastal and inshore ecosystems of the Reef (GBRMPA 2014 a, b). A key </w:t>
      </w:r>
      <w:r w:rsidR="00635877">
        <w:rPr>
          <w:color w:val="000000" w:themeColor="text1"/>
        </w:rPr>
        <w:t>policy</w:t>
      </w:r>
      <w:r w:rsidRPr="00074B4A">
        <w:rPr>
          <w:color w:val="000000" w:themeColor="text1"/>
        </w:rPr>
        <w:t xml:space="preserve"> is the Reef Water Quality Protection Plan (Reef Plan; Anon</w:t>
      </w:r>
      <w:r w:rsidR="005345E1" w:rsidRPr="00074B4A">
        <w:rPr>
          <w:color w:val="000000" w:themeColor="text1"/>
        </w:rPr>
        <w:t>.</w:t>
      </w:r>
      <w:r w:rsidRPr="00074B4A">
        <w:rPr>
          <w:color w:val="000000" w:themeColor="text1"/>
        </w:rPr>
        <w:t xml:space="preserve"> 2013), </w:t>
      </w:r>
      <w:r w:rsidR="00153351">
        <w:rPr>
          <w:color w:val="000000" w:themeColor="text1"/>
        </w:rPr>
        <w:t>a component of</w:t>
      </w:r>
      <w:r w:rsidRPr="00074B4A">
        <w:rPr>
          <w:color w:val="000000" w:themeColor="text1"/>
        </w:rPr>
        <w:t xml:space="preserve"> the Reef 2050 Long Term Sustainability Plan</w:t>
      </w:r>
      <w:r w:rsidR="00F01498">
        <w:rPr>
          <w:color w:val="000000" w:themeColor="text1"/>
        </w:rPr>
        <w:t xml:space="preserve"> (Reef 2050 Plan; Commonwealth of Australia, 2015)</w:t>
      </w:r>
      <w:r w:rsidR="006563F7">
        <w:rPr>
          <w:color w:val="000000" w:themeColor="text1"/>
        </w:rPr>
        <w:t>,</w:t>
      </w:r>
      <w:r w:rsidR="00E75F5C">
        <w:rPr>
          <w:color w:val="000000" w:themeColor="text1"/>
        </w:rPr>
        <w:t xml:space="preserve"> </w:t>
      </w:r>
      <w:r w:rsidRPr="00074B4A">
        <w:rPr>
          <w:color w:val="000000" w:themeColor="text1"/>
        </w:rPr>
        <w:t xml:space="preserve">which provides a framework for the integrated management of the </w:t>
      </w:r>
      <w:r w:rsidR="00F01498">
        <w:rPr>
          <w:color w:val="000000" w:themeColor="text1"/>
        </w:rPr>
        <w:t>Great Ba</w:t>
      </w:r>
      <w:r w:rsidR="00180836">
        <w:rPr>
          <w:color w:val="000000" w:themeColor="text1"/>
        </w:rPr>
        <w:t>rrier Reef World Heritage Area</w:t>
      </w:r>
      <w:r w:rsidRPr="00074B4A">
        <w:rPr>
          <w:color w:val="000000" w:themeColor="text1"/>
        </w:rPr>
        <w:t>.</w:t>
      </w:r>
      <w:r w:rsidRPr="00074B4A">
        <w:rPr>
          <w:color w:val="000000" w:themeColor="text1"/>
          <w:szCs w:val="22"/>
        </w:rPr>
        <w:t xml:space="preserve"> </w:t>
      </w:r>
    </w:p>
    <w:p w14:paraId="11EA8C00" w14:textId="179368FC" w:rsidR="008A1A24" w:rsidRPr="00074B4A" w:rsidRDefault="008A1A24" w:rsidP="002B6DF5">
      <w:pPr>
        <w:spacing w:after="240"/>
        <w:rPr>
          <w:color w:val="000000" w:themeColor="text1"/>
          <w:lang w:eastAsia="en-AU"/>
        </w:rPr>
      </w:pPr>
      <w:r w:rsidRPr="00074B4A">
        <w:rPr>
          <w:color w:val="000000" w:themeColor="text1"/>
          <w:lang w:eastAsia="en-AU"/>
        </w:rPr>
        <w:t>The Marine Monitoring Program (MMP)</w:t>
      </w:r>
      <w:r w:rsidR="00153351">
        <w:rPr>
          <w:color w:val="000000" w:themeColor="text1"/>
          <w:lang w:eastAsia="en-AU"/>
        </w:rPr>
        <w:t xml:space="preserve"> </w:t>
      </w:r>
      <w:r w:rsidRPr="00074B4A">
        <w:rPr>
          <w:color w:val="000000" w:themeColor="text1"/>
          <w:lang w:eastAsia="en-AU"/>
        </w:rPr>
        <w:t xml:space="preserve">was designed and developed by the </w:t>
      </w:r>
      <w:r w:rsidRPr="00074B4A">
        <w:rPr>
          <w:color w:val="000000" w:themeColor="text1"/>
        </w:rPr>
        <w:t xml:space="preserve">GBRMPA in collaboration with science agencies and is currently funded by the </w:t>
      </w:r>
      <w:r w:rsidR="00C04305" w:rsidRPr="00074B4A">
        <w:rPr>
          <w:color w:val="000000" w:themeColor="text1"/>
        </w:rPr>
        <w:t xml:space="preserve">Australian Government </w:t>
      </w:r>
      <w:r w:rsidR="00502A11">
        <w:rPr>
          <w:color w:val="000000" w:themeColor="text1"/>
        </w:rPr>
        <w:t>Reef</w:t>
      </w:r>
      <w:r w:rsidRPr="00074B4A">
        <w:rPr>
          <w:color w:val="000000" w:themeColor="text1"/>
        </w:rPr>
        <w:t xml:space="preserve"> P</w:t>
      </w:r>
      <w:r w:rsidR="00C04305" w:rsidRPr="00074B4A">
        <w:rPr>
          <w:color w:val="000000" w:themeColor="text1"/>
        </w:rPr>
        <w:t>rogramme</w:t>
      </w:r>
      <w:r w:rsidRPr="00074B4A">
        <w:rPr>
          <w:color w:val="000000" w:themeColor="text1"/>
        </w:rPr>
        <w:t>.</w:t>
      </w:r>
      <w:r w:rsidRPr="00074B4A">
        <w:rPr>
          <w:color w:val="000000" w:themeColor="text1"/>
          <w:lang w:eastAsia="en-AU"/>
        </w:rPr>
        <w:t xml:space="preserve"> A summary of the MMP’s overall goals and objectives and a description of the sub-programs are available at </w:t>
      </w:r>
      <w:hyperlink r:id="rId31" w:history="1">
        <w:r w:rsidR="00D368F0" w:rsidRPr="00074B4A">
          <w:rPr>
            <w:rStyle w:val="Hyperlink"/>
            <w:color w:val="000000" w:themeColor="text1"/>
            <w:lang w:eastAsia="en-AU"/>
          </w:rPr>
          <w:t>the GBRMPA 2050 marine monitoring program website</w:t>
        </w:r>
      </w:hyperlink>
      <w:r w:rsidRPr="00074B4A">
        <w:rPr>
          <w:color w:val="000000" w:themeColor="text1"/>
          <w:lang w:eastAsia="en-AU"/>
        </w:rPr>
        <w:t xml:space="preserve"> and </w:t>
      </w:r>
      <w:hyperlink r:id="rId32" w:tooltip="A summary of the MMP’s overall goals and objectives and a description of the sub-programs" w:history="1">
        <w:r w:rsidR="00D368F0" w:rsidRPr="00074B4A">
          <w:rPr>
            <w:rStyle w:val="Hyperlink"/>
            <w:color w:val="000000" w:themeColor="text1"/>
          </w:rPr>
          <w:t>the e-atlas website</w:t>
        </w:r>
      </w:hyperlink>
      <w:r w:rsidRPr="00074B4A">
        <w:rPr>
          <w:color w:val="000000" w:themeColor="text1"/>
        </w:rPr>
        <w:t xml:space="preserve">. The MMP forms an integral part of the </w:t>
      </w:r>
      <w:r w:rsidRPr="00074B4A">
        <w:rPr>
          <w:i/>
          <w:color w:val="000000" w:themeColor="text1"/>
        </w:rPr>
        <w:t>Paddock to Reef Integrated Monitoring, Modelling and Reporting Program</w:t>
      </w:r>
      <w:r w:rsidRPr="00074B4A">
        <w:rPr>
          <w:color w:val="000000" w:themeColor="text1"/>
        </w:rPr>
        <w:t>, which is a key action of Reef Plan designed to evaluate the efficiency and effectiveness of implementation and report on progress towards Reef Plan goals and targets. A key output of the Paddock to Reef Program is an annual report card, including an assessment of Reef water quality and ecosystem condition</w:t>
      </w:r>
      <w:r w:rsidR="00264512">
        <w:rPr>
          <w:color w:val="000000" w:themeColor="text1"/>
        </w:rPr>
        <w:t>,</w:t>
      </w:r>
      <w:r w:rsidRPr="00074B4A">
        <w:rPr>
          <w:color w:val="000000" w:themeColor="text1"/>
        </w:rPr>
        <w:t xml:space="preserve"> which</w:t>
      </w:r>
      <w:r w:rsidR="00264512">
        <w:rPr>
          <w:color w:val="000000" w:themeColor="text1"/>
        </w:rPr>
        <w:t xml:space="preserve"> is based on MMP</w:t>
      </w:r>
      <w:r w:rsidRPr="00074B4A">
        <w:rPr>
          <w:color w:val="000000" w:themeColor="text1"/>
        </w:rPr>
        <w:t xml:space="preserve"> information (</w:t>
      </w:r>
      <w:hyperlink r:id="rId33" w:tooltip="The first Annual Reef Plan Report Card for 2009 (Anon. 2011), serves as a baseline for future assessments, recently with report cards for 2010 and 2011 " w:history="1">
        <w:r w:rsidRPr="00074B4A">
          <w:rPr>
            <w:rStyle w:val="Hyperlink"/>
            <w:color w:val="000000" w:themeColor="text1"/>
          </w:rPr>
          <w:t>www.reefplan.qld.gov.au</w:t>
        </w:r>
      </w:hyperlink>
      <w:r w:rsidRPr="00074B4A">
        <w:rPr>
          <w:color w:val="000000" w:themeColor="text1"/>
        </w:rPr>
        <w:t>).</w:t>
      </w:r>
      <w:r w:rsidR="002B6DF5" w:rsidRPr="00074B4A">
        <w:rPr>
          <w:color w:val="000000" w:themeColor="text1"/>
          <w:lang w:eastAsia="en-AU"/>
        </w:rPr>
        <w:t xml:space="preserve"> </w:t>
      </w:r>
    </w:p>
    <w:p w14:paraId="11EA8C06" w14:textId="3DBCEC25" w:rsidR="00153351" w:rsidRDefault="008A1A24" w:rsidP="00934A33">
      <w:pPr>
        <w:rPr>
          <w:rFonts w:cs="Arial"/>
        </w:rPr>
      </w:pPr>
      <w:r w:rsidRPr="00074B4A">
        <w:rPr>
          <w:color w:val="000000" w:themeColor="text1"/>
        </w:rPr>
        <w:t>The Australian Institute of Marine Science (AIMS) and the GBRMPA ente</w:t>
      </w:r>
      <w:r w:rsidR="00872986" w:rsidRPr="00074B4A">
        <w:rPr>
          <w:color w:val="000000" w:themeColor="text1"/>
        </w:rPr>
        <w:t>red into a co-investment agreeme</w:t>
      </w:r>
      <w:r w:rsidRPr="00074B4A">
        <w:rPr>
          <w:color w:val="000000" w:themeColor="text1"/>
        </w:rPr>
        <w:t xml:space="preserve">nt in </w:t>
      </w:r>
      <w:r w:rsidR="00A65BE1" w:rsidRPr="00074B4A">
        <w:rPr>
          <w:color w:val="000000" w:themeColor="text1"/>
        </w:rPr>
        <w:t xml:space="preserve">June 2015 </w:t>
      </w:r>
      <w:r w:rsidRPr="00074B4A">
        <w:rPr>
          <w:color w:val="000000" w:themeColor="text1"/>
        </w:rPr>
        <w:t xml:space="preserve">to provide </w:t>
      </w:r>
      <w:r w:rsidR="00AC2275">
        <w:rPr>
          <w:color w:val="000000" w:themeColor="text1"/>
        </w:rPr>
        <w:t xml:space="preserve">inshore coral reef </w:t>
      </w:r>
      <w:r w:rsidRPr="00074B4A">
        <w:rPr>
          <w:color w:val="000000" w:themeColor="text1"/>
        </w:rPr>
        <w:t xml:space="preserve">monitoring under the </w:t>
      </w:r>
      <w:r w:rsidRPr="00074B4A">
        <w:rPr>
          <w:color w:val="000000" w:themeColor="text1"/>
          <w:lang w:eastAsia="en-AU"/>
        </w:rPr>
        <w:t xml:space="preserve">MMP </w:t>
      </w:r>
      <w:r w:rsidR="00A65BE1" w:rsidRPr="00074B4A">
        <w:rPr>
          <w:color w:val="000000" w:themeColor="text1"/>
          <w:lang w:eastAsia="en-AU"/>
        </w:rPr>
        <w:t>in</w:t>
      </w:r>
      <w:r w:rsidRPr="00074B4A">
        <w:rPr>
          <w:color w:val="000000" w:themeColor="text1"/>
          <w:lang w:eastAsia="en-AU"/>
        </w:rPr>
        <w:t xml:space="preserve"> 201</w:t>
      </w:r>
      <w:r w:rsidR="001D3B25" w:rsidRPr="00074B4A">
        <w:rPr>
          <w:color w:val="000000" w:themeColor="text1"/>
          <w:lang w:eastAsia="en-AU"/>
        </w:rPr>
        <w:t>5</w:t>
      </w:r>
      <w:r w:rsidR="00226BCC">
        <w:rPr>
          <w:color w:val="000000" w:themeColor="text1"/>
          <w:lang w:eastAsia="en-AU"/>
        </w:rPr>
        <w:t xml:space="preserve"> and 2016</w:t>
      </w:r>
      <w:r w:rsidRPr="00074B4A">
        <w:rPr>
          <w:color w:val="000000" w:themeColor="text1"/>
          <w:lang w:eastAsia="en-AU"/>
        </w:rPr>
        <w:t>. Th</w:t>
      </w:r>
      <w:r w:rsidR="00AC2275">
        <w:rPr>
          <w:color w:val="000000" w:themeColor="text1"/>
          <w:lang w:eastAsia="en-AU"/>
        </w:rPr>
        <w:t xml:space="preserve">is </w:t>
      </w:r>
      <w:r w:rsidRPr="00074B4A">
        <w:rPr>
          <w:color w:val="000000" w:themeColor="text1"/>
          <w:lang w:eastAsia="en-AU"/>
        </w:rPr>
        <w:t xml:space="preserve">monitoring </w:t>
      </w:r>
      <w:r w:rsidR="00AC2275">
        <w:rPr>
          <w:color w:val="000000" w:themeColor="text1"/>
          <w:lang w:eastAsia="en-AU"/>
        </w:rPr>
        <w:t>is</w:t>
      </w:r>
      <w:r w:rsidRPr="00074B4A">
        <w:rPr>
          <w:color w:val="000000" w:themeColor="text1"/>
          <w:lang w:eastAsia="en-AU"/>
        </w:rPr>
        <w:t xml:space="preserve"> largely an extension of activities established under previous a</w:t>
      </w:r>
      <w:r w:rsidR="00AC2275">
        <w:rPr>
          <w:color w:val="000000" w:themeColor="text1"/>
          <w:lang w:eastAsia="en-AU"/>
        </w:rPr>
        <w:t xml:space="preserve">greements covering </w:t>
      </w:r>
      <w:r w:rsidRPr="00074B4A">
        <w:rPr>
          <w:color w:val="000000" w:themeColor="text1"/>
          <w:lang w:eastAsia="en-AU"/>
        </w:rPr>
        <w:t>2005 to 201</w:t>
      </w:r>
      <w:r w:rsidR="001D3B25" w:rsidRPr="00074B4A">
        <w:rPr>
          <w:color w:val="000000" w:themeColor="text1"/>
          <w:lang w:eastAsia="en-AU"/>
        </w:rPr>
        <w:t>4</w:t>
      </w:r>
      <w:r w:rsidR="00AC2275">
        <w:rPr>
          <w:color w:val="000000" w:themeColor="text1"/>
          <w:lang w:eastAsia="en-AU"/>
        </w:rPr>
        <w:t>.</w:t>
      </w:r>
      <w:r w:rsidR="00E75F5C">
        <w:rPr>
          <w:color w:val="000000" w:themeColor="text1"/>
          <w:lang w:eastAsia="en-AU"/>
        </w:rPr>
        <w:t xml:space="preserve"> </w:t>
      </w:r>
      <w:r w:rsidR="00934A33" w:rsidRPr="00226BCC">
        <w:rPr>
          <w:lang w:eastAsia="en-AU"/>
        </w:rPr>
        <w:t>Th</w:t>
      </w:r>
      <w:r w:rsidR="00934A33">
        <w:rPr>
          <w:lang w:eastAsia="en-AU"/>
        </w:rPr>
        <w:t>is</w:t>
      </w:r>
      <w:r w:rsidR="00934A33" w:rsidRPr="00226BCC">
        <w:rPr>
          <w:lang w:eastAsia="en-AU"/>
        </w:rPr>
        <w:t xml:space="preserve"> </w:t>
      </w:r>
      <w:r w:rsidRPr="00226BCC">
        <w:rPr>
          <w:lang w:eastAsia="en-AU"/>
        </w:rPr>
        <w:t>report</w:t>
      </w:r>
      <w:r w:rsidR="004D0692" w:rsidRPr="00226BCC">
        <w:rPr>
          <w:lang w:eastAsia="en-AU"/>
        </w:rPr>
        <w:t xml:space="preserve"> </w:t>
      </w:r>
      <w:r w:rsidRPr="00226BCC">
        <w:rPr>
          <w:lang w:eastAsia="en-AU"/>
        </w:rPr>
        <w:t xml:space="preserve">covers </w:t>
      </w:r>
      <w:r w:rsidR="00872986" w:rsidRPr="00226BCC">
        <w:rPr>
          <w:lang w:eastAsia="en-AU"/>
        </w:rPr>
        <w:t xml:space="preserve">coral reef monitoring </w:t>
      </w:r>
      <w:r w:rsidRPr="00226BCC">
        <w:rPr>
          <w:lang w:eastAsia="en-AU"/>
        </w:rPr>
        <w:t xml:space="preserve">conducted </w:t>
      </w:r>
      <w:r w:rsidR="00872986" w:rsidRPr="00226BCC">
        <w:rPr>
          <w:lang w:eastAsia="en-AU"/>
        </w:rPr>
        <w:t>between May 201</w:t>
      </w:r>
      <w:r w:rsidR="00C02C94" w:rsidRPr="00226BCC">
        <w:rPr>
          <w:lang w:eastAsia="en-AU"/>
        </w:rPr>
        <w:t>6</w:t>
      </w:r>
      <w:r w:rsidR="00872986" w:rsidRPr="00226BCC">
        <w:rPr>
          <w:lang w:eastAsia="en-AU"/>
        </w:rPr>
        <w:t xml:space="preserve"> and</w:t>
      </w:r>
      <w:r w:rsidRPr="00226BCC">
        <w:rPr>
          <w:lang w:eastAsia="en-AU"/>
        </w:rPr>
        <w:t xml:space="preserve"> </w:t>
      </w:r>
      <w:r w:rsidR="00872986" w:rsidRPr="00226BCC">
        <w:rPr>
          <w:lang w:eastAsia="en-AU"/>
        </w:rPr>
        <w:t>August 201</w:t>
      </w:r>
      <w:r w:rsidR="00C02C94" w:rsidRPr="00226BCC">
        <w:rPr>
          <w:lang w:eastAsia="en-AU"/>
        </w:rPr>
        <w:t>6</w:t>
      </w:r>
      <w:r w:rsidR="00226BCC">
        <w:rPr>
          <w:lang w:eastAsia="en-AU"/>
        </w:rPr>
        <w:t xml:space="preserve"> </w:t>
      </w:r>
      <w:r w:rsidRPr="00226BCC">
        <w:rPr>
          <w:lang w:eastAsia="en-AU"/>
        </w:rPr>
        <w:t xml:space="preserve">with inclusion of data from previous MMP </w:t>
      </w:r>
      <w:r w:rsidR="00872986" w:rsidRPr="00226BCC">
        <w:rPr>
          <w:lang w:eastAsia="en-AU"/>
        </w:rPr>
        <w:t xml:space="preserve">and </w:t>
      </w:r>
      <w:r w:rsidR="00180836">
        <w:rPr>
          <w:lang w:eastAsia="en-AU"/>
        </w:rPr>
        <w:t xml:space="preserve">AIMS </w:t>
      </w:r>
      <w:r w:rsidR="00872986" w:rsidRPr="00226BCC">
        <w:rPr>
          <w:lang w:eastAsia="en-AU"/>
        </w:rPr>
        <w:t>L</w:t>
      </w:r>
      <w:r w:rsidR="00180836">
        <w:rPr>
          <w:lang w:eastAsia="en-AU"/>
        </w:rPr>
        <w:t>ong-Term Monitoring Program observations (LTMP)</w:t>
      </w:r>
      <w:r w:rsidRPr="00226BCC">
        <w:t>.</w:t>
      </w:r>
      <w:r w:rsidR="00934A33">
        <w:t xml:space="preserve"> In</w:t>
      </w:r>
      <w:r w:rsidR="00153351">
        <w:t>-</w:t>
      </w:r>
      <w:r w:rsidR="00934A33" w:rsidRPr="00074B4A">
        <w:rPr>
          <w:color w:val="000000" w:themeColor="text1"/>
          <w:lang w:eastAsia="en-AU"/>
        </w:rPr>
        <w:t>keeping with the overa</w:t>
      </w:r>
      <w:r w:rsidR="00934A33">
        <w:rPr>
          <w:color w:val="000000" w:themeColor="text1"/>
          <w:lang w:eastAsia="en-AU"/>
        </w:rPr>
        <w:t xml:space="preserve">rching objective of the MMP, to </w:t>
      </w:r>
      <w:r w:rsidR="00934A33" w:rsidRPr="00074B4A">
        <w:rPr>
          <w:rFonts w:cs="Arial"/>
          <w:i/>
          <w:color w:val="000000" w:themeColor="text1"/>
          <w:szCs w:val="22"/>
        </w:rPr>
        <w:t>“Assess trends in ecosystem health and resilience indicators for the Great Barrier Reef in relation to water quality and its linkages to end-of-catchment loads</w:t>
      </w:r>
      <w:r w:rsidR="00934A33" w:rsidRPr="00074B4A">
        <w:rPr>
          <w:rFonts w:cs="Arial"/>
          <w:i/>
          <w:color w:val="000000" w:themeColor="text1"/>
        </w:rPr>
        <w:t>”,</w:t>
      </w:r>
      <w:r w:rsidR="00934A33">
        <w:rPr>
          <w:rFonts w:cs="Arial"/>
          <w:i/>
          <w:color w:val="000000" w:themeColor="text1"/>
        </w:rPr>
        <w:t xml:space="preserve"> </w:t>
      </w:r>
      <w:r w:rsidR="00934A33">
        <w:rPr>
          <w:rFonts w:cs="Arial"/>
        </w:rPr>
        <w:t>k</w:t>
      </w:r>
      <w:r w:rsidR="00934A33" w:rsidRPr="00226BCC">
        <w:rPr>
          <w:rFonts w:cs="Arial"/>
        </w:rPr>
        <w:t xml:space="preserve">ey water quality results </w:t>
      </w:r>
      <w:r w:rsidR="00934A33">
        <w:rPr>
          <w:rFonts w:cs="Arial"/>
        </w:rPr>
        <w:t xml:space="preserve">reported by (Waterhouse </w:t>
      </w:r>
      <w:r w:rsidR="00934A33" w:rsidRPr="00153351">
        <w:rPr>
          <w:rFonts w:cs="Arial"/>
          <w:i/>
        </w:rPr>
        <w:t>et al.</w:t>
      </w:r>
      <w:r w:rsidR="00934A33">
        <w:rPr>
          <w:rFonts w:cs="Arial"/>
        </w:rPr>
        <w:t xml:space="preserve"> 2017) </w:t>
      </w:r>
      <w:r w:rsidR="00934A33" w:rsidRPr="00226BCC">
        <w:rPr>
          <w:rFonts w:cs="Arial"/>
        </w:rPr>
        <w:t>are replicated here as required for interpretation</w:t>
      </w:r>
      <w:r w:rsidR="00934A33">
        <w:rPr>
          <w:rFonts w:cs="Arial"/>
        </w:rPr>
        <w:t>.</w:t>
      </w:r>
    </w:p>
    <w:p w14:paraId="74B459B0" w14:textId="77777777" w:rsidR="00153351" w:rsidRDefault="00153351">
      <w:pPr>
        <w:jc w:val="left"/>
        <w:rPr>
          <w:rFonts w:cs="Arial"/>
        </w:rPr>
      </w:pPr>
      <w:r>
        <w:rPr>
          <w:rFonts w:cs="Arial"/>
        </w:rPr>
        <w:br w:type="page"/>
      </w:r>
    </w:p>
    <w:p w14:paraId="11EA8C07" w14:textId="77777777" w:rsidR="008A1A24" w:rsidRPr="00F439FB" w:rsidRDefault="008A1A24" w:rsidP="00B05739">
      <w:pPr>
        <w:pStyle w:val="Heading1"/>
        <w:numPr>
          <w:ilvl w:val="0"/>
          <w:numId w:val="42"/>
        </w:numPr>
      </w:pPr>
      <w:bookmarkStart w:id="35" w:name="_Toc167192422"/>
      <w:bookmarkStart w:id="36" w:name="_Toc437424403"/>
      <w:bookmarkStart w:id="37" w:name="_Toc437424527"/>
      <w:bookmarkStart w:id="38" w:name="_Toc437432457"/>
      <w:bookmarkStart w:id="39" w:name="_Toc437432530"/>
      <w:bookmarkStart w:id="40" w:name="_Toc491847356"/>
      <w:bookmarkStart w:id="41" w:name="_Toc493153291"/>
      <w:bookmarkStart w:id="42" w:name="_Toc330104786"/>
      <w:bookmarkStart w:id="43" w:name="_Toc330104937"/>
      <w:bookmarkStart w:id="44" w:name="_Toc330105841"/>
      <w:bookmarkStart w:id="45" w:name="_Toc330113421"/>
      <w:bookmarkStart w:id="46" w:name="_Toc330115339"/>
      <w:bookmarkStart w:id="47" w:name="_Toc330177419"/>
      <w:bookmarkStart w:id="48" w:name="_Toc330177763"/>
      <w:bookmarkStart w:id="49" w:name="_Toc330191361"/>
      <w:bookmarkStart w:id="50" w:name="_Toc330281974"/>
      <w:r w:rsidRPr="00F439FB">
        <w:t>Introduction</w:t>
      </w:r>
      <w:bookmarkEnd w:id="35"/>
      <w:bookmarkEnd w:id="36"/>
      <w:bookmarkEnd w:id="37"/>
      <w:bookmarkEnd w:id="38"/>
      <w:bookmarkEnd w:id="39"/>
      <w:bookmarkEnd w:id="40"/>
      <w:bookmarkEnd w:id="41"/>
    </w:p>
    <w:p w14:paraId="11EA8C09" w14:textId="7D407AFF" w:rsidR="00A937E5" w:rsidRPr="00074B4A" w:rsidRDefault="00A937E5" w:rsidP="002B6DF5">
      <w:pPr>
        <w:spacing w:after="240"/>
        <w:rPr>
          <w:color w:val="000000" w:themeColor="text1"/>
        </w:rPr>
      </w:pPr>
      <w:r w:rsidRPr="00074B4A">
        <w:rPr>
          <w:color w:val="000000" w:themeColor="text1"/>
        </w:rPr>
        <w:t xml:space="preserve">It is well documented that sediment and nutrient loads carried by land </w:t>
      </w:r>
      <w:r w:rsidR="0042623E">
        <w:rPr>
          <w:color w:val="000000" w:themeColor="text1"/>
        </w:rPr>
        <w:t>run-off</w:t>
      </w:r>
      <w:r w:rsidRPr="00074B4A">
        <w:rPr>
          <w:color w:val="000000" w:themeColor="text1"/>
        </w:rPr>
        <w:t xml:space="preserve"> into the coastal and inshore zones of the Great Barrier Reef </w:t>
      </w:r>
      <w:r w:rsidR="00F01498">
        <w:rPr>
          <w:color w:val="000000" w:themeColor="text1"/>
        </w:rPr>
        <w:t xml:space="preserve">World Heritage Area </w:t>
      </w:r>
      <w:r w:rsidRPr="00074B4A">
        <w:rPr>
          <w:rFonts w:eastAsia="MS Mincho"/>
          <w:color w:val="000000" w:themeColor="text1"/>
          <w:lang w:eastAsia="ja-JP"/>
        </w:rPr>
        <w:t>(</w:t>
      </w:r>
      <w:r w:rsidR="00226BCC" w:rsidRPr="002D755D">
        <w:rPr>
          <w:rFonts w:eastAsia="MS Mincho"/>
          <w:color w:val="000000" w:themeColor="text1"/>
          <w:lang w:eastAsia="ja-JP"/>
        </w:rPr>
        <w:t xml:space="preserve">the </w:t>
      </w:r>
      <w:r w:rsidRPr="002D755D">
        <w:rPr>
          <w:color w:val="000000" w:themeColor="text1"/>
        </w:rPr>
        <w:t>Reef</w:t>
      </w:r>
      <w:r w:rsidRPr="00074B4A">
        <w:rPr>
          <w:color w:val="000000" w:themeColor="text1"/>
        </w:rPr>
        <w:t>)</w:t>
      </w:r>
      <w:r w:rsidRPr="00074B4A">
        <w:rPr>
          <w:rFonts w:eastAsia="MS Mincho"/>
          <w:color w:val="000000" w:themeColor="text1"/>
          <w:lang w:eastAsia="ja-JP"/>
        </w:rPr>
        <w:t xml:space="preserve"> </w:t>
      </w:r>
      <w:r w:rsidRPr="00074B4A">
        <w:rPr>
          <w:color w:val="000000" w:themeColor="text1"/>
        </w:rPr>
        <w:t xml:space="preserve">have increased since European settlement (e.g., Kroon </w:t>
      </w:r>
      <w:r w:rsidRPr="00074B4A">
        <w:rPr>
          <w:i/>
          <w:color w:val="000000" w:themeColor="text1"/>
        </w:rPr>
        <w:t>et al</w:t>
      </w:r>
      <w:r w:rsidR="00522D23" w:rsidRPr="00074B4A">
        <w:rPr>
          <w:color w:val="000000" w:themeColor="text1"/>
        </w:rPr>
        <w:t>. 2012,</w:t>
      </w:r>
      <w:r w:rsidRPr="00074B4A">
        <w:rPr>
          <w:color w:val="000000" w:themeColor="text1"/>
        </w:rPr>
        <w:t xml:space="preserve"> Waters </w:t>
      </w:r>
      <w:r w:rsidRPr="00074B4A">
        <w:rPr>
          <w:i/>
          <w:color w:val="000000" w:themeColor="text1"/>
        </w:rPr>
        <w:t>et al.</w:t>
      </w:r>
      <w:r w:rsidRPr="00074B4A">
        <w:rPr>
          <w:color w:val="000000" w:themeColor="text1"/>
        </w:rPr>
        <w:t xml:space="preserve"> 2014). </w:t>
      </w:r>
      <w:r w:rsidR="00153351">
        <w:rPr>
          <w:color w:val="000000" w:themeColor="text1"/>
        </w:rPr>
        <w:t>Ongoing concern</w:t>
      </w:r>
      <w:r w:rsidRPr="00074B4A">
        <w:rPr>
          <w:color w:val="000000" w:themeColor="text1"/>
        </w:rPr>
        <w:t xml:space="preserve"> </w:t>
      </w:r>
      <w:r w:rsidR="00646C53">
        <w:rPr>
          <w:color w:val="000000" w:themeColor="text1"/>
        </w:rPr>
        <w:t xml:space="preserve">that </w:t>
      </w:r>
      <w:r w:rsidRPr="00074B4A">
        <w:rPr>
          <w:color w:val="000000" w:themeColor="text1"/>
        </w:rPr>
        <w:t xml:space="preserve">these increases were </w:t>
      </w:r>
      <w:r w:rsidR="00646C53">
        <w:rPr>
          <w:color w:val="000000" w:themeColor="text1"/>
        </w:rPr>
        <w:t xml:space="preserve">negatively impacting </w:t>
      </w:r>
      <w:r w:rsidRPr="00074B4A">
        <w:rPr>
          <w:color w:val="000000" w:themeColor="text1"/>
        </w:rPr>
        <w:t xml:space="preserve">the Reef ecosystem triggered the formulation </w:t>
      </w:r>
      <w:r w:rsidR="00646C53">
        <w:rPr>
          <w:color w:val="000000" w:themeColor="text1"/>
        </w:rPr>
        <w:t xml:space="preserve">and subsequent updating </w:t>
      </w:r>
      <w:r w:rsidRPr="00074B4A">
        <w:rPr>
          <w:color w:val="000000" w:themeColor="text1"/>
        </w:rPr>
        <w:t xml:space="preserve">of the Reef Water Quality Protection Plan (Reef Plan) for </w:t>
      </w:r>
      <w:r w:rsidR="00934A33">
        <w:rPr>
          <w:color w:val="000000" w:themeColor="text1"/>
        </w:rPr>
        <w:t xml:space="preserve">adjacent </w:t>
      </w:r>
      <w:r w:rsidRPr="00074B4A">
        <w:rPr>
          <w:color w:val="000000" w:themeColor="text1"/>
        </w:rPr>
        <w:t xml:space="preserve">catchments </w:t>
      </w:r>
      <w:r w:rsidR="00522D23" w:rsidRPr="00074B4A">
        <w:rPr>
          <w:color w:val="000000" w:themeColor="text1"/>
        </w:rPr>
        <w:t>(Anon. 2003,</w:t>
      </w:r>
      <w:r w:rsidRPr="00074B4A">
        <w:rPr>
          <w:color w:val="000000" w:themeColor="text1"/>
        </w:rPr>
        <w:t xml:space="preserve"> 2009</w:t>
      </w:r>
      <w:r w:rsidR="00646C53">
        <w:rPr>
          <w:color w:val="000000" w:themeColor="text1"/>
        </w:rPr>
        <w:t>, 2013</w:t>
      </w:r>
      <w:r w:rsidRPr="00074B4A">
        <w:rPr>
          <w:color w:val="000000" w:themeColor="text1"/>
        </w:rPr>
        <w:t xml:space="preserve">). The Reef 2050 Plan </w:t>
      </w:r>
      <w:r w:rsidR="009A63A3">
        <w:rPr>
          <w:color w:val="000000" w:themeColor="text1"/>
        </w:rPr>
        <w:t xml:space="preserve">includes the Reef Plan </w:t>
      </w:r>
      <w:r w:rsidRPr="00074B4A">
        <w:rPr>
          <w:color w:val="000000" w:themeColor="text1"/>
        </w:rPr>
        <w:t xml:space="preserve">actions and initiatives to </w:t>
      </w:r>
      <w:r w:rsidR="009A63A3">
        <w:rPr>
          <w:color w:val="000000" w:themeColor="text1"/>
        </w:rPr>
        <w:t>change</w:t>
      </w:r>
      <w:r w:rsidR="009A63A3" w:rsidRPr="00074B4A">
        <w:rPr>
          <w:color w:val="000000" w:themeColor="text1"/>
        </w:rPr>
        <w:t xml:space="preserve"> </w:t>
      </w:r>
      <w:r w:rsidRPr="00074B4A">
        <w:rPr>
          <w:color w:val="000000" w:themeColor="text1"/>
        </w:rPr>
        <w:t>land management practices to achieve improvement in downstream water quality of creeks and rivers. These actions and initiatives should, with time, lead to improved water quality in the coastal and inshore Reef that</w:t>
      </w:r>
      <w:r w:rsidR="002D755D">
        <w:rPr>
          <w:color w:val="000000" w:themeColor="text1"/>
        </w:rPr>
        <w:t>,</w:t>
      </w:r>
      <w:r w:rsidRPr="00074B4A">
        <w:rPr>
          <w:color w:val="000000" w:themeColor="text1"/>
        </w:rPr>
        <w:t xml:space="preserve"> in turn</w:t>
      </w:r>
      <w:r w:rsidR="002D755D">
        <w:rPr>
          <w:color w:val="000000" w:themeColor="text1"/>
        </w:rPr>
        <w:t>,</w:t>
      </w:r>
      <w:r w:rsidRPr="00074B4A">
        <w:rPr>
          <w:color w:val="000000" w:themeColor="text1"/>
        </w:rPr>
        <w:t xml:space="preserve"> support the ongoing health and resilience of </w:t>
      </w:r>
      <w:r w:rsidR="009A63A3">
        <w:rPr>
          <w:color w:val="000000" w:themeColor="text1"/>
        </w:rPr>
        <w:t xml:space="preserve">the </w:t>
      </w:r>
      <w:r w:rsidRPr="00074B4A">
        <w:rPr>
          <w:color w:val="000000" w:themeColor="text1"/>
        </w:rPr>
        <w:t xml:space="preserve">Great Barrier Reef (see Brodie </w:t>
      </w:r>
      <w:r w:rsidRPr="00074B4A">
        <w:rPr>
          <w:i/>
          <w:color w:val="000000" w:themeColor="text1"/>
        </w:rPr>
        <w:t>et al.</w:t>
      </w:r>
      <w:r w:rsidRPr="00074B4A">
        <w:rPr>
          <w:color w:val="000000" w:themeColor="text1"/>
        </w:rPr>
        <w:t xml:space="preserve"> 2012</w:t>
      </w:r>
      <w:r w:rsidR="00A63E90" w:rsidRPr="00074B4A">
        <w:rPr>
          <w:color w:val="000000" w:themeColor="text1"/>
        </w:rPr>
        <w:t>a</w:t>
      </w:r>
      <w:r w:rsidRPr="00074B4A">
        <w:rPr>
          <w:color w:val="000000" w:themeColor="text1"/>
        </w:rPr>
        <w:t xml:space="preserve"> for a discussion of expected time lags in the ecosystem response). </w:t>
      </w:r>
    </w:p>
    <w:p w14:paraId="11EA8C0A" w14:textId="0334250C" w:rsidR="00A937E5" w:rsidRPr="00074B4A" w:rsidRDefault="00A937E5" w:rsidP="002B6DF5">
      <w:pPr>
        <w:spacing w:after="100" w:afterAutospacing="1"/>
        <w:rPr>
          <w:color w:val="000000" w:themeColor="text1"/>
        </w:rPr>
      </w:pPr>
      <w:r w:rsidRPr="00074B4A">
        <w:rPr>
          <w:color w:val="000000" w:themeColor="text1"/>
        </w:rPr>
        <w:t xml:space="preserve">Reef Plan can be considered in a </w:t>
      </w:r>
      <w:r w:rsidRPr="00074B4A">
        <w:rPr>
          <w:i/>
          <w:color w:val="000000" w:themeColor="text1"/>
        </w:rPr>
        <w:t>Drivers-Pressures-States-Impacts-Responses</w:t>
      </w:r>
      <w:r w:rsidRPr="00074B4A">
        <w:rPr>
          <w:color w:val="000000" w:themeColor="text1"/>
        </w:rPr>
        <w:t xml:space="preserve"> (DPSIR) framework (Maxim </w:t>
      </w:r>
      <w:r w:rsidRPr="00074B4A">
        <w:rPr>
          <w:i/>
          <w:color w:val="000000" w:themeColor="text1"/>
        </w:rPr>
        <w:t>et al.</w:t>
      </w:r>
      <w:r w:rsidRPr="00074B4A">
        <w:rPr>
          <w:color w:val="000000" w:themeColor="text1"/>
        </w:rPr>
        <w:t xml:space="preserve"> 2009, Rehr </w:t>
      </w:r>
      <w:r w:rsidRPr="00074B4A">
        <w:rPr>
          <w:i/>
          <w:color w:val="000000" w:themeColor="text1"/>
        </w:rPr>
        <w:t>et al.</w:t>
      </w:r>
      <w:r w:rsidRPr="00074B4A">
        <w:rPr>
          <w:color w:val="000000" w:themeColor="text1"/>
        </w:rPr>
        <w:t xml:space="preserve"> 2012). Socio-economic factors are the </w:t>
      </w:r>
      <w:r w:rsidRPr="00074B4A">
        <w:rPr>
          <w:i/>
          <w:color w:val="000000" w:themeColor="text1"/>
        </w:rPr>
        <w:t>drivers</w:t>
      </w:r>
      <w:r w:rsidRPr="00074B4A">
        <w:rPr>
          <w:color w:val="000000" w:themeColor="text1"/>
        </w:rPr>
        <w:t xml:space="preserve"> of human activ</w:t>
      </w:r>
      <w:r w:rsidR="00463651" w:rsidRPr="00074B4A">
        <w:rPr>
          <w:color w:val="000000" w:themeColor="text1"/>
        </w:rPr>
        <w:t>ities</w:t>
      </w:r>
      <w:r w:rsidRPr="00074B4A">
        <w:rPr>
          <w:color w:val="000000" w:themeColor="text1"/>
        </w:rPr>
        <w:t xml:space="preserve"> from local</w:t>
      </w:r>
      <w:r w:rsidR="00BA365B">
        <w:rPr>
          <w:color w:val="000000" w:themeColor="text1"/>
        </w:rPr>
        <w:t xml:space="preserve"> -</w:t>
      </w:r>
      <w:r w:rsidRPr="00074B4A">
        <w:rPr>
          <w:color w:val="000000" w:themeColor="text1"/>
        </w:rPr>
        <w:t xml:space="preserve"> within catchment</w:t>
      </w:r>
      <w:r w:rsidR="00153351">
        <w:rPr>
          <w:color w:val="000000" w:themeColor="text1"/>
        </w:rPr>
        <w:t>,</w:t>
      </w:r>
      <w:r w:rsidR="00BA365B">
        <w:rPr>
          <w:color w:val="000000" w:themeColor="text1"/>
        </w:rPr>
        <w:t xml:space="preserve"> </w:t>
      </w:r>
      <w:r w:rsidRPr="00074B4A">
        <w:rPr>
          <w:color w:val="000000" w:themeColor="text1"/>
        </w:rPr>
        <w:t>through to global scale</w:t>
      </w:r>
      <w:r w:rsidR="00BA365B">
        <w:rPr>
          <w:color w:val="000000" w:themeColor="text1"/>
        </w:rPr>
        <w:t>s</w:t>
      </w:r>
      <w:r w:rsidRPr="00074B4A">
        <w:rPr>
          <w:color w:val="000000" w:themeColor="text1"/>
        </w:rPr>
        <w:t>. Human activities result</w:t>
      </w:r>
      <w:r w:rsidR="009A63A3">
        <w:rPr>
          <w:color w:val="000000" w:themeColor="text1"/>
        </w:rPr>
        <w:t xml:space="preserve"> in</w:t>
      </w:r>
      <w:r w:rsidRPr="00074B4A">
        <w:rPr>
          <w:color w:val="000000" w:themeColor="text1"/>
        </w:rPr>
        <w:t xml:space="preserve"> </w:t>
      </w:r>
      <w:r w:rsidR="00BA365B">
        <w:rPr>
          <w:color w:val="000000" w:themeColor="text1"/>
        </w:rPr>
        <w:t>local</w:t>
      </w:r>
      <w:r w:rsidRPr="00074B4A">
        <w:rPr>
          <w:color w:val="000000" w:themeColor="text1"/>
        </w:rPr>
        <w:t xml:space="preserve"> </w:t>
      </w:r>
      <w:r w:rsidR="00BA365B">
        <w:rPr>
          <w:color w:val="000000" w:themeColor="text1"/>
        </w:rPr>
        <w:t xml:space="preserve">scale </w:t>
      </w:r>
      <w:r w:rsidRPr="00074B4A">
        <w:rPr>
          <w:i/>
          <w:color w:val="000000" w:themeColor="text1"/>
        </w:rPr>
        <w:t>pressures</w:t>
      </w:r>
      <w:r w:rsidRPr="00074B4A">
        <w:rPr>
          <w:color w:val="000000" w:themeColor="text1"/>
        </w:rPr>
        <w:t xml:space="preserve"> on downstream ecosystems such as increased exposure to sediments, nutrients and toxicants th</w:t>
      </w:r>
      <w:r w:rsidR="00BA365B">
        <w:rPr>
          <w:color w:val="000000" w:themeColor="text1"/>
        </w:rPr>
        <w:t>rough to</w:t>
      </w:r>
      <w:r w:rsidRPr="00074B4A">
        <w:rPr>
          <w:color w:val="000000" w:themeColor="text1"/>
        </w:rPr>
        <w:t xml:space="preserve"> global </w:t>
      </w:r>
      <w:r w:rsidRPr="00074B4A">
        <w:rPr>
          <w:i/>
          <w:color w:val="000000" w:themeColor="text1"/>
        </w:rPr>
        <w:t>pressures</w:t>
      </w:r>
      <w:r w:rsidRPr="00074B4A">
        <w:rPr>
          <w:color w:val="000000" w:themeColor="text1"/>
        </w:rPr>
        <w:t xml:space="preserve"> such as climate change. These </w:t>
      </w:r>
      <w:r w:rsidRPr="00074B4A">
        <w:rPr>
          <w:i/>
          <w:color w:val="000000" w:themeColor="text1"/>
        </w:rPr>
        <w:t>pressures</w:t>
      </w:r>
      <w:r w:rsidRPr="00074B4A">
        <w:rPr>
          <w:color w:val="000000" w:themeColor="text1"/>
        </w:rPr>
        <w:t xml:space="preserve"> change the </w:t>
      </w:r>
      <w:r w:rsidRPr="00074B4A">
        <w:rPr>
          <w:i/>
          <w:color w:val="000000" w:themeColor="text1"/>
        </w:rPr>
        <w:t>state</w:t>
      </w:r>
      <w:r w:rsidRPr="00074B4A">
        <w:rPr>
          <w:color w:val="000000" w:themeColor="text1"/>
        </w:rPr>
        <w:t xml:space="preserve"> of </w:t>
      </w:r>
      <w:r w:rsidR="00CF3475">
        <w:rPr>
          <w:color w:val="000000" w:themeColor="text1"/>
        </w:rPr>
        <w:t>the</w:t>
      </w:r>
      <w:r w:rsidRPr="00074B4A">
        <w:rPr>
          <w:color w:val="000000" w:themeColor="text1"/>
        </w:rPr>
        <w:t xml:space="preserve"> Reef ecosystems. This </w:t>
      </w:r>
      <w:r w:rsidRPr="00074B4A">
        <w:rPr>
          <w:i/>
          <w:color w:val="000000" w:themeColor="text1"/>
        </w:rPr>
        <w:t>state</w:t>
      </w:r>
      <w:r w:rsidRPr="00074B4A">
        <w:rPr>
          <w:color w:val="000000" w:themeColor="text1"/>
        </w:rPr>
        <w:t xml:space="preserve"> can then be interpreted in terms of </w:t>
      </w:r>
      <w:r w:rsidRPr="00074B4A">
        <w:rPr>
          <w:i/>
          <w:color w:val="000000" w:themeColor="text1"/>
        </w:rPr>
        <w:t>impact</w:t>
      </w:r>
      <w:r w:rsidRPr="00074B4A">
        <w:rPr>
          <w:color w:val="000000" w:themeColor="text1"/>
        </w:rPr>
        <w:t xml:space="preserve"> on desirable ecosystem functioning or services that in turn can be used to inform decisions as to the need for </w:t>
      </w:r>
      <w:r w:rsidRPr="00074B4A">
        <w:rPr>
          <w:i/>
          <w:color w:val="000000" w:themeColor="text1"/>
        </w:rPr>
        <w:t>response</w:t>
      </w:r>
      <w:r w:rsidRPr="00074B4A">
        <w:rPr>
          <w:color w:val="000000" w:themeColor="text1"/>
        </w:rPr>
        <w:t xml:space="preserve"> such as policy or regulatory actions to alleviate that </w:t>
      </w:r>
      <w:r w:rsidRPr="00074B4A">
        <w:rPr>
          <w:i/>
          <w:color w:val="000000" w:themeColor="text1"/>
        </w:rPr>
        <w:t>impact</w:t>
      </w:r>
      <w:r w:rsidRPr="00074B4A">
        <w:rPr>
          <w:color w:val="000000" w:themeColor="text1"/>
        </w:rPr>
        <w:t>.</w:t>
      </w:r>
    </w:p>
    <w:p w14:paraId="11EA8C0B" w14:textId="19B6FACB" w:rsidR="00A937E5" w:rsidRPr="00074B4A" w:rsidRDefault="00A937E5" w:rsidP="002B6DF5">
      <w:pPr>
        <w:spacing w:after="240"/>
        <w:rPr>
          <w:color w:val="000000" w:themeColor="text1"/>
          <w:lang w:val="en-US"/>
        </w:rPr>
      </w:pPr>
      <w:r w:rsidRPr="00074B4A">
        <w:rPr>
          <w:color w:val="000000" w:themeColor="text1"/>
        </w:rPr>
        <w:t xml:space="preserve">To allow the full application of a DPSIR framework requires the monitoring of both </w:t>
      </w:r>
      <w:r w:rsidRPr="00074B4A">
        <w:rPr>
          <w:i/>
          <w:color w:val="000000" w:themeColor="text1"/>
        </w:rPr>
        <w:t xml:space="preserve">pressures </w:t>
      </w:r>
      <w:r w:rsidRPr="00074B4A">
        <w:rPr>
          <w:color w:val="000000" w:themeColor="text1"/>
        </w:rPr>
        <w:t xml:space="preserve">and </w:t>
      </w:r>
      <w:r w:rsidRPr="00074B4A">
        <w:rPr>
          <w:i/>
          <w:color w:val="000000" w:themeColor="text1"/>
        </w:rPr>
        <w:t>states</w:t>
      </w:r>
      <w:r w:rsidRPr="00074B4A">
        <w:rPr>
          <w:color w:val="000000" w:themeColor="text1"/>
        </w:rPr>
        <w:t xml:space="preserve"> that should be reported</w:t>
      </w:r>
      <w:r w:rsidR="00D127D6" w:rsidRPr="00074B4A">
        <w:rPr>
          <w:color w:val="000000" w:themeColor="text1"/>
        </w:rPr>
        <w:t>,</w:t>
      </w:r>
      <w:r w:rsidRPr="00074B4A">
        <w:rPr>
          <w:color w:val="000000" w:themeColor="text1"/>
        </w:rPr>
        <w:t xml:space="preserve"> where possible</w:t>
      </w:r>
      <w:r w:rsidR="00D127D6" w:rsidRPr="00074B4A">
        <w:rPr>
          <w:color w:val="000000" w:themeColor="text1"/>
        </w:rPr>
        <w:t>,</w:t>
      </w:r>
      <w:r w:rsidRPr="00074B4A">
        <w:rPr>
          <w:color w:val="000000" w:themeColor="text1"/>
        </w:rPr>
        <w:t xml:space="preserve"> in terms of </w:t>
      </w:r>
      <w:r w:rsidRPr="00074B4A">
        <w:rPr>
          <w:i/>
          <w:color w:val="000000" w:themeColor="text1"/>
        </w:rPr>
        <w:t>impacts</w:t>
      </w:r>
      <w:r w:rsidRPr="00074B4A">
        <w:rPr>
          <w:color w:val="000000" w:themeColor="text1"/>
        </w:rPr>
        <w:t xml:space="preserve"> so that appropriate management </w:t>
      </w:r>
      <w:r w:rsidRPr="00074B4A">
        <w:rPr>
          <w:i/>
          <w:color w:val="000000" w:themeColor="text1"/>
        </w:rPr>
        <w:t>responses</w:t>
      </w:r>
      <w:r w:rsidRPr="00074B4A">
        <w:rPr>
          <w:color w:val="000000" w:themeColor="text1"/>
        </w:rPr>
        <w:t xml:space="preserve"> can be devised, or conversely, the outcomes of existing m</w:t>
      </w:r>
      <w:r w:rsidR="00714423" w:rsidRPr="00074B4A">
        <w:rPr>
          <w:color w:val="000000" w:themeColor="text1"/>
        </w:rPr>
        <w:t xml:space="preserve">anagement strategies assessed. </w:t>
      </w:r>
      <w:r w:rsidRPr="00074B4A">
        <w:rPr>
          <w:color w:val="000000" w:themeColor="text1"/>
        </w:rPr>
        <w:t xml:space="preserve">Reef Plan actions included the establishment of monitoring programs extending from the paddock to the Reef (Anon. 2010), to assess the effectiveness of Reef Plan's implementation. The MMP is an integral part of this monitoring providing </w:t>
      </w:r>
      <w:r w:rsidRPr="00074B4A">
        <w:rPr>
          <w:color w:val="000000" w:themeColor="text1"/>
          <w:lang w:val="en-US"/>
        </w:rPr>
        <w:t>physicochemical and biological data to document th</w:t>
      </w:r>
      <w:r w:rsidR="00463651" w:rsidRPr="00074B4A">
        <w:rPr>
          <w:color w:val="000000" w:themeColor="text1"/>
          <w:lang w:val="en-US"/>
        </w:rPr>
        <w:t>e</w:t>
      </w:r>
      <w:r w:rsidRPr="00074B4A">
        <w:rPr>
          <w:color w:val="000000" w:themeColor="text1"/>
          <w:lang w:val="en-US"/>
        </w:rPr>
        <w:t xml:space="preserve"> state of</w:t>
      </w:r>
      <w:r w:rsidR="00BA365B">
        <w:rPr>
          <w:color w:val="000000" w:themeColor="text1"/>
          <w:lang w:val="en-US"/>
        </w:rPr>
        <w:t xml:space="preserve">: </w:t>
      </w:r>
      <w:r w:rsidRPr="00074B4A">
        <w:rPr>
          <w:color w:val="000000" w:themeColor="text1"/>
          <w:lang w:val="en-US"/>
        </w:rPr>
        <w:t>coral reefs</w:t>
      </w:r>
      <w:r w:rsidR="00BA365B">
        <w:rPr>
          <w:color w:val="000000" w:themeColor="text1"/>
          <w:lang w:val="en-US"/>
        </w:rPr>
        <w:t xml:space="preserve">, </w:t>
      </w:r>
      <w:r w:rsidRPr="00074B4A">
        <w:rPr>
          <w:color w:val="000000" w:themeColor="text1"/>
          <w:lang w:val="en-US"/>
        </w:rPr>
        <w:t>seagrass beds</w:t>
      </w:r>
      <w:r w:rsidR="00BA365B">
        <w:rPr>
          <w:color w:val="000000" w:themeColor="text1"/>
          <w:lang w:val="en-US"/>
        </w:rPr>
        <w:t>,</w:t>
      </w:r>
      <w:r w:rsidRPr="00074B4A">
        <w:rPr>
          <w:color w:val="000000" w:themeColor="text1"/>
          <w:lang w:val="en-US"/>
        </w:rPr>
        <w:t xml:space="preserve"> </w:t>
      </w:r>
      <w:r w:rsidR="00BA365B" w:rsidRPr="00074B4A">
        <w:rPr>
          <w:color w:val="000000" w:themeColor="text1"/>
          <w:lang w:val="en-US"/>
        </w:rPr>
        <w:t>water quality</w:t>
      </w:r>
      <w:r w:rsidR="00BA365B">
        <w:rPr>
          <w:color w:val="000000" w:themeColor="text1"/>
          <w:lang w:val="en-US"/>
        </w:rPr>
        <w:t xml:space="preserve"> and</w:t>
      </w:r>
      <w:r w:rsidR="00BA365B" w:rsidRPr="00074B4A">
        <w:rPr>
          <w:color w:val="000000" w:themeColor="text1"/>
          <w:lang w:val="en-US"/>
        </w:rPr>
        <w:t xml:space="preserve"> concentrations of pesticides </w:t>
      </w:r>
      <w:r w:rsidRPr="00074B4A">
        <w:rPr>
          <w:color w:val="000000" w:themeColor="text1"/>
          <w:lang w:val="en-US"/>
        </w:rPr>
        <w:t xml:space="preserve">in inshore areas of the Reef. The MMP additionally collates observations of extrinsic pressures such as sea temperature variability, occurrence of tropical cyclones, river discharge volumes and predator populations that must be considered in any assessment of water quality </w:t>
      </w:r>
      <w:r w:rsidR="00BA365B">
        <w:rPr>
          <w:color w:val="000000" w:themeColor="text1"/>
          <w:lang w:val="en-US"/>
        </w:rPr>
        <w:t>impacts on</w:t>
      </w:r>
      <w:r w:rsidRPr="00074B4A">
        <w:rPr>
          <w:color w:val="000000" w:themeColor="text1"/>
          <w:lang w:val="en-US"/>
        </w:rPr>
        <w:t xml:space="preserve"> ecosystem state.</w:t>
      </w:r>
      <w:r w:rsidR="00570B67" w:rsidRPr="00074B4A">
        <w:rPr>
          <w:color w:val="000000" w:themeColor="text1"/>
          <w:lang w:val="en-US"/>
        </w:rPr>
        <w:t xml:space="preserve"> Ultimately the state </w:t>
      </w:r>
      <w:r w:rsidR="00BD5271" w:rsidRPr="00074B4A">
        <w:rPr>
          <w:color w:val="000000" w:themeColor="text1"/>
          <w:lang w:val="en-US"/>
        </w:rPr>
        <w:t xml:space="preserve">of </w:t>
      </w:r>
      <w:r w:rsidR="00570B67" w:rsidRPr="00074B4A">
        <w:rPr>
          <w:color w:val="000000" w:themeColor="text1"/>
          <w:lang w:val="en-US"/>
        </w:rPr>
        <w:t xml:space="preserve">marine waters and the ecosystems of the Reef will provide both a basis for assessing the success of Reef Plan and the </w:t>
      </w:r>
      <w:r w:rsidR="008D2A85" w:rsidRPr="00074B4A">
        <w:rPr>
          <w:color w:val="000000" w:themeColor="text1"/>
          <w:lang w:val="en-US"/>
        </w:rPr>
        <w:t>necessity for future management strategies</w:t>
      </w:r>
      <w:r w:rsidR="00570B67" w:rsidRPr="00074B4A">
        <w:rPr>
          <w:color w:val="000000" w:themeColor="text1"/>
          <w:lang w:val="en-US"/>
        </w:rPr>
        <w:t>.</w:t>
      </w:r>
    </w:p>
    <w:p w14:paraId="11EA8C0C" w14:textId="0DFEF78C" w:rsidR="00A937E5" w:rsidRPr="00074B4A" w:rsidRDefault="00A937E5" w:rsidP="00121FC3">
      <w:pPr>
        <w:spacing w:after="240"/>
        <w:rPr>
          <w:color w:val="000000" w:themeColor="text1"/>
        </w:rPr>
      </w:pPr>
      <w:r w:rsidRPr="00074B4A">
        <w:rPr>
          <w:color w:val="000000" w:themeColor="text1"/>
          <w:lang w:val="en-US"/>
        </w:rPr>
        <w:t>The coral reef component of the MMP is based on the general understanding that healthy and resilient coral communities exist in a dynamic equilibrium</w:t>
      </w:r>
      <w:r w:rsidR="00F25002">
        <w:rPr>
          <w:color w:val="000000" w:themeColor="text1"/>
          <w:lang w:val="en-US"/>
        </w:rPr>
        <w:t>,</w:t>
      </w:r>
      <w:r w:rsidRPr="00074B4A">
        <w:rPr>
          <w:color w:val="000000" w:themeColor="text1"/>
          <w:lang w:val="en-US"/>
        </w:rPr>
        <w:t xml:space="preserve"> with communities in a cycle of recovery punctuated by acute disturbance events. </w:t>
      </w:r>
      <w:r w:rsidR="00121FC3" w:rsidRPr="00074B4A">
        <w:rPr>
          <w:color w:val="000000" w:themeColor="text1"/>
        </w:rPr>
        <w:t xml:space="preserve">Common disturbances to inshore reefs include cyclones (often associated with flooding), thermal bleaching, and outbreaks of crown-of-thorns </w:t>
      </w:r>
      <w:r w:rsidR="009109BA" w:rsidRPr="00074B4A">
        <w:rPr>
          <w:color w:val="000000" w:themeColor="text1"/>
        </w:rPr>
        <w:t>seastars</w:t>
      </w:r>
      <w:r w:rsidR="00E15C32" w:rsidRPr="00074B4A">
        <w:rPr>
          <w:color w:val="000000" w:themeColor="text1"/>
        </w:rPr>
        <w:t xml:space="preserve"> (COTS)</w:t>
      </w:r>
      <w:r w:rsidR="00121FC3" w:rsidRPr="00074B4A">
        <w:rPr>
          <w:color w:val="000000" w:themeColor="text1"/>
        </w:rPr>
        <w:t xml:space="preserve">, all of which can result in widespread mortality of corals (e.g. Sweatman </w:t>
      </w:r>
      <w:r w:rsidR="00121FC3" w:rsidRPr="00074B4A">
        <w:rPr>
          <w:i/>
          <w:color w:val="000000" w:themeColor="text1"/>
        </w:rPr>
        <w:t>et al.</w:t>
      </w:r>
      <w:r w:rsidR="00121FC3" w:rsidRPr="00074B4A">
        <w:rPr>
          <w:color w:val="000000" w:themeColor="text1"/>
        </w:rPr>
        <w:t xml:space="preserve"> 2007, Osborne </w:t>
      </w:r>
      <w:r w:rsidR="00121FC3" w:rsidRPr="00074B4A">
        <w:rPr>
          <w:i/>
          <w:color w:val="000000" w:themeColor="text1"/>
        </w:rPr>
        <w:t>et al.</w:t>
      </w:r>
      <w:r w:rsidR="00BA365B">
        <w:rPr>
          <w:color w:val="000000" w:themeColor="text1"/>
        </w:rPr>
        <w:t xml:space="preserve"> 2011)</w:t>
      </w:r>
      <w:r w:rsidR="00121FC3" w:rsidRPr="00074B4A">
        <w:rPr>
          <w:color w:val="000000" w:themeColor="text1"/>
        </w:rPr>
        <w:t xml:space="preserve">. </w:t>
      </w:r>
      <w:r w:rsidRPr="00074B4A">
        <w:rPr>
          <w:color w:val="000000" w:themeColor="text1"/>
          <w:lang w:val="en-US"/>
        </w:rPr>
        <w:t xml:space="preserve">The potential impact of </w:t>
      </w:r>
      <w:r w:rsidR="005F61D7">
        <w:rPr>
          <w:color w:val="000000" w:themeColor="text1"/>
          <w:lang w:val="en-US"/>
        </w:rPr>
        <w:t xml:space="preserve">elevated nutrients </w:t>
      </w:r>
      <w:r w:rsidRPr="00074B4A">
        <w:rPr>
          <w:color w:val="000000" w:themeColor="text1"/>
          <w:lang w:val="en-US"/>
        </w:rPr>
        <w:t xml:space="preserve">carried into the system as </w:t>
      </w:r>
      <w:r w:rsidR="0042623E">
        <w:rPr>
          <w:color w:val="000000" w:themeColor="text1"/>
          <w:lang w:val="en-US"/>
        </w:rPr>
        <w:t>run-off</w:t>
      </w:r>
      <w:r w:rsidRPr="00074B4A">
        <w:rPr>
          <w:color w:val="000000" w:themeColor="text1"/>
          <w:lang w:val="en-US"/>
        </w:rPr>
        <w:t xml:space="preserve"> </w:t>
      </w:r>
      <w:r w:rsidR="005F61D7">
        <w:rPr>
          <w:color w:val="000000" w:themeColor="text1"/>
          <w:lang w:val="en-US"/>
        </w:rPr>
        <w:t xml:space="preserve">potentially compound the influences of acute disturbances by: </w:t>
      </w:r>
      <w:r w:rsidR="005F61D7" w:rsidRPr="00074B4A">
        <w:rPr>
          <w:color w:val="000000" w:themeColor="text1"/>
          <w:lang w:val="en-US"/>
        </w:rPr>
        <w:t>increas</w:t>
      </w:r>
      <w:r w:rsidR="005F61D7">
        <w:rPr>
          <w:color w:val="000000" w:themeColor="text1"/>
          <w:lang w:val="en-US"/>
        </w:rPr>
        <w:t>ing</w:t>
      </w:r>
      <w:r w:rsidR="00121FC3" w:rsidRPr="00074B4A">
        <w:rPr>
          <w:color w:val="000000" w:themeColor="text1"/>
          <w:lang w:val="en-US"/>
        </w:rPr>
        <w:t xml:space="preserve"> the susceptibility of corals to </w:t>
      </w:r>
      <w:r w:rsidR="00CA2A9D">
        <w:rPr>
          <w:color w:val="000000" w:themeColor="text1"/>
          <w:lang w:val="en-US"/>
        </w:rPr>
        <w:t>disease (</w:t>
      </w:r>
      <w:r w:rsidR="00CA2A9D" w:rsidRPr="007522AA">
        <w:rPr>
          <w:rFonts w:cs="Arial"/>
          <w:color w:val="000000" w:themeColor="text1"/>
        </w:rPr>
        <w:t xml:space="preserve">Bruno </w:t>
      </w:r>
      <w:r w:rsidR="00CA2A9D" w:rsidRPr="007522AA">
        <w:rPr>
          <w:rFonts w:cs="Arial"/>
          <w:i/>
          <w:color w:val="000000" w:themeColor="text1"/>
        </w:rPr>
        <w:t>et al.</w:t>
      </w:r>
      <w:r w:rsidR="00CA2A9D" w:rsidRPr="007522AA">
        <w:rPr>
          <w:rFonts w:cs="Arial"/>
          <w:color w:val="000000" w:themeColor="text1"/>
        </w:rPr>
        <w:t xml:space="preserve"> 2003, Haapkylä </w:t>
      </w:r>
      <w:r w:rsidR="00CA2A9D" w:rsidRPr="007522AA">
        <w:rPr>
          <w:rFonts w:cs="Arial"/>
          <w:i/>
          <w:color w:val="000000" w:themeColor="text1"/>
        </w:rPr>
        <w:t>et al</w:t>
      </w:r>
      <w:r w:rsidR="00CA2A9D" w:rsidRPr="007522AA">
        <w:rPr>
          <w:rFonts w:cs="Arial"/>
          <w:color w:val="000000" w:themeColor="text1"/>
        </w:rPr>
        <w:t xml:space="preserve">. 2011, Weber </w:t>
      </w:r>
      <w:r w:rsidR="00CA2A9D" w:rsidRPr="007522AA">
        <w:rPr>
          <w:rFonts w:cs="Arial"/>
          <w:i/>
          <w:color w:val="000000" w:themeColor="text1"/>
        </w:rPr>
        <w:t>et al.</w:t>
      </w:r>
      <w:r w:rsidR="00CA2A9D" w:rsidRPr="007522AA">
        <w:rPr>
          <w:rFonts w:cs="Arial"/>
          <w:color w:val="000000" w:themeColor="text1"/>
        </w:rPr>
        <w:t xml:space="preserve"> 2012, Vega Thurber </w:t>
      </w:r>
      <w:r w:rsidR="00CA2A9D" w:rsidRPr="007522AA">
        <w:rPr>
          <w:rFonts w:cs="Arial"/>
          <w:i/>
          <w:color w:val="000000" w:themeColor="text1"/>
        </w:rPr>
        <w:t>et al.</w:t>
      </w:r>
      <w:r w:rsidR="00CA2A9D" w:rsidRPr="007522AA">
        <w:rPr>
          <w:rFonts w:cs="Arial"/>
          <w:color w:val="000000" w:themeColor="text1"/>
        </w:rPr>
        <w:t xml:space="preserve"> 2013)</w:t>
      </w:r>
      <w:r w:rsidR="00CF3475">
        <w:rPr>
          <w:color w:val="000000" w:themeColor="text1"/>
          <w:lang w:val="en-US"/>
        </w:rPr>
        <w:t>,</w:t>
      </w:r>
      <w:r w:rsidR="00A77C75" w:rsidRPr="00074B4A">
        <w:rPr>
          <w:color w:val="000000" w:themeColor="text1"/>
          <w:lang w:val="en-US"/>
        </w:rPr>
        <w:t xml:space="preserve"> </w:t>
      </w:r>
      <w:r w:rsidR="005F61D7">
        <w:rPr>
          <w:color w:val="000000" w:themeColor="text1"/>
          <w:lang w:val="en-US"/>
        </w:rPr>
        <w:t>p</w:t>
      </w:r>
      <w:r w:rsidR="00E15C32" w:rsidRPr="00074B4A">
        <w:rPr>
          <w:color w:val="000000" w:themeColor="text1"/>
          <w:lang w:val="en-US"/>
        </w:rPr>
        <w:t>romot</w:t>
      </w:r>
      <w:r w:rsidR="005F61D7">
        <w:rPr>
          <w:color w:val="000000" w:themeColor="text1"/>
          <w:lang w:val="en-US"/>
        </w:rPr>
        <w:t>ing</w:t>
      </w:r>
      <w:r w:rsidR="00E15C32" w:rsidRPr="00074B4A">
        <w:rPr>
          <w:color w:val="000000" w:themeColor="text1"/>
          <w:lang w:val="en-US"/>
        </w:rPr>
        <w:t xml:space="preserve"> outbreaks of COTS (Wooldridge &amp; Brodie 2015) and increas</w:t>
      </w:r>
      <w:r w:rsidR="005F61D7">
        <w:rPr>
          <w:color w:val="000000" w:themeColor="text1"/>
          <w:lang w:val="en-US"/>
        </w:rPr>
        <w:t xml:space="preserve">ing </w:t>
      </w:r>
      <w:r w:rsidR="00E15C32" w:rsidRPr="00074B4A">
        <w:rPr>
          <w:color w:val="000000" w:themeColor="text1"/>
          <w:lang w:val="en-US"/>
        </w:rPr>
        <w:t>susceptibility to thermal stress (</w:t>
      </w:r>
      <w:r w:rsidR="00EC540D" w:rsidRPr="00074B4A">
        <w:rPr>
          <w:color w:val="000000" w:themeColor="text1"/>
          <w:lang w:val="en-US"/>
        </w:rPr>
        <w:t xml:space="preserve">Wooldridge &amp; Done 2004, Wiedenmann </w:t>
      </w:r>
      <w:r w:rsidR="00EC540D" w:rsidRPr="00074B4A">
        <w:rPr>
          <w:i/>
          <w:color w:val="000000" w:themeColor="text1"/>
          <w:lang w:val="en-US"/>
        </w:rPr>
        <w:t>et al.</w:t>
      </w:r>
      <w:r w:rsidR="00EC540D" w:rsidRPr="00074B4A">
        <w:rPr>
          <w:color w:val="000000" w:themeColor="text1"/>
          <w:lang w:val="en-US"/>
        </w:rPr>
        <w:t xml:space="preserve"> 2013</w:t>
      </w:r>
      <w:r w:rsidR="00E15C32" w:rsidRPr="00074B4A">
        <w:rPr>
          <w:color w:val="000000" w:themeColor="text1"/>
          <w:lang w:val="en-US"/>
        </w:rPr>
        <w:t>)</w:t>
      </w:r>
      <w:r w:rsidR="005F61D7">
        <w:rPr>
          <w:color w:val="000000" w:themeColor="text1"/>
          <w:lang w:val="en-US"/>
        </w:rPr>
        <w:t xml:space="preserve">. Pollutants in </w:t>
      </w:r>
      <w:r w:rsidR="0042623E">
        <w:rPr>
          <w:color w:val="000000" w:themeColor="text1"/>
          <w:lang w:val="en-US"/>
        </w:rPr>
        <w:t>run-off</w:t>
      </w:r>
      <w:r w:rsidR="005F61D7">
        <w:rPr>
          <w:color w:val="000000" w:themeColor="text1"/>
          <w:lang w:val="en-US"/>
        </w:rPr>
        <w:t xml:space="preserve"> may also </w:t>
      </w:r>
      <w:r w:rsidR="00121FC3" w:rsidRPr="00074B4A">
        <w:rPr>
          <w:color w:val="000000" w:themeColor="text1"/>
          <w:lang w:val="en-US"/>
        </w:rPr>
        <w:t xml:space="preserve">suppress the recovery process (Schaffelke </w:t>
      </w:r>
      <w:r w:rsidR="00121FC3" w:rsidRPr="00074B4A">
        <w:rPr>
          <w:i/>
          <w:color w:val="000000" w:themeColor="text1"/>
          <w:lang w:val="en-US"/>
        </w:rPr>
        <w:t>et al.</w:t>
      </w:r>
      <w:r w:rsidR="00121FC3" w:rsidRPr="00074B4A">
        <w:rPr>
          <w:color w:val="000000" w:themeColor="text1"/>
          <w:lang w:val="en-US"/>
        </w:rPr>
        <w:t xml:space="preserve"> 2013)</w:t>
      </w:r>
      <w:r w:rsidR="00EC540D" w:rsidRPr="00074B4A">
        <w:rPr>
          <w:color w:val="000000" w:themeColor="text1"/>
          <w:lang w:val="en-US"/>
        </w:rPr>
        <w:t>.</w:t>
      </w:r>
      <w:r w:rsidR="00121FC3" w:rsidRPr="00074B4A">
        <w:rPr>
          <w:color w:val="000000" w:themeColor="text1"/>
          <w:lang w:val="en-US"/>
        </w:rPr>
        <w:t xml:space="preserve"> </w:t>
      </w:r>
      <w:r w:rsidRPr="00074B4A">
        <w:rPr>
          <w:color w:val="000000" w:themeColor="text1"/>
        </w:rPr>
        <w:t xml:space="preserve">The replacement of corals lost to disturbance is reliant on both the recruitment of new colonies and regeneration of existing colonies from remaining tissue fragments (Smith 2008, Diaz-Pulido </w:t>
      </w:r>
      <w:r w:rsidRPr="00074B4A">
        <w:rPr>
          <w:i/>
          <w:color w:val="000000" w:themeColor="text1"/>
        </w:rPr>
        <w:t>et al.</w:t>
      </w:r>
      <w:r w:rsidRPr="00074B4A">
        <w:rPr>
          <w:color w:val="000000" w:themeColor="text1"/>
        </w:rPr>
        <w:t xml:space="preserve"> 2009).</w:t>
      </w:r>
      <w:r w:rsidR="00714423" w:rsidRPr="00074B4A">
        <w:rPr>
          <w:color w:val="000000" w:themeColor="text1"/>
        </w:rPr>
        <w:t xml:space="preserve"> </w:t>
      </w:r>
      <w:r w:rsidRPr="00074B4A">
        <w:rPr>
          <w:color w:val="000000" w:themeColor="text1"/>
        </w:rPr>
        <w:t>Elevated concentrations of nutrients, agr</w:t>
      </w:r>
      <w:r w:rsidR="00A77C75" w:rsidRPr="00074B4A">
        <w:rPr>
          <w:color w:val="000000" w:themeColor="text1"/>
        </w:rPr>
        <w:t>o</w:t>
      </w:r>
      <w:r w:rsidRPr="00074B4A">
        <w:rPr>
          <w:color w:val="000000" w:themeColor="text1"/>
        </w:rPr>
        <w:t xml:space="preserve">chemicals, and turbidity can negatively affect reproduction in corals (reviewed by Fabricius 2005, van Dam </w:t>
      </w:r>
      <w:r w:rsidRPr="00074B4A">
        <w:rPr>
          <w:i/>
          <w:color w:val="000000" w:themeColor="text1"/>
        </w:rPr>
        <w:t>et al.</w:t>
      </w:r>
      <w:r w:rsidRPr="00074B4A">
        <w:rPr>
          <w:color w:val="000000" w:themeColor="text1"/>
        </w:rPr>
        <w:t xml:space="preserve"> 2011 Erftemeijer </w:t>
      </w:r>
      <w:r w:rsidRPr="00074B4A">
        <w:rPr>
          <w:i/>
          <w:color w:val="000000" w:themeColor="text1"/>
        </w:rPr>
        <w:t>et al.</w:t>
      </w:r>
      <w:r w:rsidRPr="00074B4A">
        <w:rPr>
          <w:color w:val="000000" w:themeColor="text1"/>
        </w:rPr>
        <w:t xml:space="preserve"> 2012). High rates of sediment deposition and accumulation on surfaces can affect larval settlement (Babcock </w:t>
      </w:r>
      <w:r w:rsidR="005A065B" w:rsidRPr="00074B4A">
        <w:rPr>
          <w:color w:val="000000" w:themeColor="text1"/>
        </w:rPr>
        <w:t>&amp;</w:t>
      </w:r>
      <w:r w:rsidRPr="00074B4A">
        <w:rPr>
          <w:color w:val="000000" w:themeColor="text1"/>
        </w:rPr>
        <w:t xml:space="preserve"> Smith 2002, Baird </w:t>
      </w:r>
      <w:r w:rsidRPr="00074B4A">
        <w:rPr>
          <w:i/>
          <w:color w:val="000000" w:themeColor="text1"/>
        </w:rPr>
        <w:t>et al.</w:t>
      </w:r>
      <w:r w:rsidRPr="00074B4A">
        <w:rPr>
          <w:color w:val="000000" w:themeColor="text1"/>
        </w:rPr>
        <w:t xml:space="preserve"> 2003, Fabricius </w:t>
      </w:r>
      <w:r w:rsidRPr="00074B4A">
        <w:rPr>
          <w:i/>
          <w:color w:val="000000" w:themeColor="text1"/>
        </w:rPr>
        <w:t>et al.</w:t>
      </w:r>
      <w:r w:rsidRPr="00074B4A">
        <w:rPr>
          <w:color w:val="000000" w:themeColor="text1"/>
        </w:rPr>
        <w:t xml:space="preserve"> 2003) and smother juvenile corals (Harrison </w:t>
      </w:r>
      <w:r w:rsidR="005A065B" w:rsidRPr="00074B4A">
        <w:rPr>
          <w:color w:val="000000" w:themeColor="text1"/>
        </w:rPr>
        <w:t>&amp;</w:t>
      </w:r>
      <w:r w:rsidRPr="00074B4A">
        <w:rPr>
          <w:color w:val="000000" w:themeColor="text1"/>
        </w:rPr>
        <w:t xml:space="preserve"> Wallace 1990, Rogers 1990, Fabricius </w:t>
      </w:r>
      <w:r w:rsidR="005A065B" w:rsidRPr="00074B4A">
        <w:rPr>
          <w:color w:val="000000" w:themeColor="text1"/>
        </w:rPr>
        <w:t>&amp;</w:t>
      </w:r>
      <w:r w:rsidRPr="00074B4A">
        <w:rPr>
          <w:color w:val="000000" w:themeColor="text1"/>
        </w:rPr>
        <w:t xml:space="preserve"> Wolanski 2000). In addition, macroalgae have higher abundance in areas with high water column chlorophyll</w:t>
      </w:r>
      <w:r w:rsidR="00372F57">
        <w:rPr>
          <w:color w:val="000000" w:themeColor="text1"/>
        </w:rPr>
        <w:t xml:space="preserve"> </w:t>
      </w:r>
      <w:r w:rsidRPr="00074B4A">
        <w:rPr>
          <w:color w:val="000000" w:themeColor="text1"/>
        </w:rPr>
        <w:t xml:space="preserve">concentrations, indicating higher nutrient availability (De’ath </w:t>
      </w:r>
      <w:r w:rsidR="005A065B" w:rsidRPr="00074B4A">
        <w:rPr>
          <w:color w:val="000000" w:themeColor="text1"/>
        </w:rPr>
        <w:t>&amp;</w:t>
      </w:r>
      <w:r w:rsidRPr="00074B4A">
        <w:rPr>
          <w:color w:val="000000" w:themeColor="text1"/>
        </w:rPr>
        <w:t xml:space="preserve"> Fabricius 2010</w:t>
      </w:r>
      <w:r w:rsidR="001B4F6D">
        <w:rPr>
          <w:color w:val="000000" w:themeColor="text1"/>
        </w:rPr>
        <w:t xml:space="preserve">, Petus </w:t>
      </w:r>
      <w:r w:rsidR="001B4F6D" w:rsidRPr="001B4F6D">
        <w:rPr>
          <w:i/>
          <w:color w:val="000000" w:themeColor="text1"/>
        </w:rPr>
        <w:t>et al.</w:t>
      </w:r>
      <w:r w:rsidR="001B4F6D">
        <w:rPr>
          <w:color w:val="000000" w:themeColor="text1"/>
        </w:rPr>
        <w:t xml:space="preserve"> 2016</w:t>
      </w:r>
      <w:r w:rsidRPr="00074B4A">
        <w:rPr>
          <w:color w:val="000000" w:themeColor="text1"/>
        </w:rPr>
        <w:t xml:space="preserve">). High macroalgal abundance may suppress reef resilience (e.g. Hughes </w:t>
      </w:r>
      <w:r w:rsidRPr="00074B4A">
        <w:rPr>
          <w:i/>
          <w:color w:val="000000" w:themeColor="text1"/>
        </w:rPr>
        <w:t>et al.</w:t>
      </w:r>
      <w:r w:rsidRPr="00074B4A">
        <w:rPr>
          <w:color w:val="000000" w:themeColor="text1"/>
        </w:rPr>
        <w:t xml:space="preserve"> 2007, Cheal </w:t>
      </w:r>
      <w:r w:rsidRPr="00074B4A">
        <w:rPr>
          <w:i/>
          <w:color w:val="000000" w:themeColor="text1"/>
        </w:rPr>
        <w:t>et al.</w:t>
      </w:r>
      <w:r w:rsidR="009F400E" w:rsidRPr="00074B4A">
        <w:rPr>
          <w:color w:val="000000" w:themeColor="text1"/>
        </w:rPr>
        <w:t xml:space="preserve"> 2010,</w:t>
      </w:r>
      <w:r w:rsidRPr="00074B4A">
        <w:rPr>
          <w:color w:val="000000" w:themeColor="text1"/>
        </w:rPr>
        <w:t xml:space="preserve"> Foster </w:t>
      </w:r>
      <w:r w:rsidRPr="00074B4A">
        <w:rPr>
          <w:i/>
          <w:color w:val="000000" w:themeColor="text1"/>
        </w:rPr>
        <w:t>et al.</w:t>
      </w:r>
      <w:r w:rsidR="009F400E" w:rsidRPr="00074B4A">
        <w:rPr>
          <w:color w:val="000000" w:themeColor="text1"/>
        </w:rPr>
        <w:t xml:space="preserve"> 200</w:t>
      </w:r>
      <w:r w:rsidR="00477193" w:rsidRPr="00074B4A">
        <w:rPr>
          <w:color w:val="000000" w:themeColor="text1"/>
        </w:rPr>
        <w:t>8</w:t>
      </w:r>
      <w:r w:rsidR="009F400E" w:rsidRPr="00074B4A">
        <w:rPr>
          <w:color w:val="000000" w:themeColor="text1"/>
        </w:rPr>
        <w:t>,</w:t>
      </w:r>
      <w:r w:rsidRPr="00074B4A">
        <w:rPr>
          <w:color w:val="000000" w:themeColor="text1"/>
        </w:rPr>
        <w:t xml:space="preserve"> but see Bruno </w:t>
      </w:r>
      <w:r w:rsidRPr="00074B4A">
        <w:rPr>
          <w:i/>
          <w:color w:val="000000" w:themeColor="text1"/>
        </w:rPr>
        <w:t>et al.</w:t>
      </w:r>
      <w:r w:rsidRPr="00074B4A">
        <w:rPr>
          <w:color w:val="000000" w:themeColor="text1"/>
        </w:rPr>
        <w:t xml:space="preserve"> 2009) by increased competition for space or changing the microenvironment into which corals settle and grow (e.g. McCook </w:t>
      </w:r>
      <w:r w:rsidRPr="00074B4A">
        <w:rPr>
          <w:i/>
          <w:color w:val="000000" w:themeColor="text1"/>
        </w:rPr>
        <w:t>et al.</w:t>
      </w:r>
      <w:r w:rsidR="00522D23" w:rsidRPr="00074B4A">
        <w:rPr>
          <w:color w:val="000000" w:themeColor="text1"/>
        </w:rPr>
        <w:t xml:space="preserve"> 2001</w:t>
      </w:r>
      <w:r w:rsidRPr="00074B4A">
        <w:rPr>
          <w:color w:val="000000" w:themeColor="text1"/>
        </w:rPr>
        <w:t xml:space="preserve">, Hauri </w:t>
      </w:r>
      <w:r w:rsidRPr="00074B4A">
        <w:rPr>
          <w:i/>
          <w:color w:val="000000" w:themeColor="text1"/>
        </w:rPr>
        <w:t>et al.</w:t>
      </w:r>
      <w:r w:rsidRPr="00074B4A">
        <w:rPr>
          <w:color w:val="000000" w:themeColor="text1"/>
        </w:rPr>
        <w:t xml:space="preserve"> 2010). Macroalgae have been documented to suppress fecundity (Foster </w:t>
      </w:r>
      <w:r w:rsidRPr="00074B4A">
        <w:rPr>
          <w:i/>
          <w:color w:val="000000" w:themeColor="text1"/>
        </w:rPr>
        <w:t>et al.</w:t>
      </w:r>
      <w:r w:rsidRPr="00074B4A">
        <w:rPr>
          <w:color w:val="000000" w:themeColor="text1"/>
        </w:rPr>
        <w:t xml:space="preserve"> 2008), reduce recruitment of hard corals (Birrell </w:t>
      </w:r>
      <w:r w:rsidRPr="00074B4A">
        <w:rPr>
          <w:i/>
          <w:color w:val="000000" w:themeColor="text1"/>
        </w:rPr>
        <w:t>et al.</w:t>
      </w:r>
      <w:r w:rsidRPr="00074B4A">
        <w:rPr>
          <w:color w:val="000000" w:themeColor="text1"/>
        </w:rPr>
        <w:t xml:space="preserve"> 2008</w:t>
      </w:r>
      <w:r w:rsidR="00DF305A">
        <w:rPr>
          <w:color w:val="000000" w:themeColor="text1"/>
        </w:rPr>
        <w:t>b</w:t>
      </w:r>
      <w:r w:rsidRPr="00074B4A">
        <w:rPr>
          <w:color w:val="000000" w:themeColor="text1"/>
        </w:rPr>
        <w:t xml:space="preserve">, Diaz-Pulido </w:t>
      </w:r>
      <w:r w:rsidRPr="00074B4A">
        <w:rPr>
          <w:i/>
          <w:color w:val="000000" w:themeColor="text1"/>
        </w:rPr>
        <w:t>et al.</w:t>
      </w:r>
      <w:r w:rsidRPr="00074B4A">
        <w:rPr>
          <w:color w:val="000000" w:themeColor="text1"/>
        </w:rPr>
        <w:t xml:space="preserve"> 2010), diminish the capacity of growth among local coral communities (Fabricius 2005),and suppress coral recovery by altering microbial communities associated with corals (Morrow </w:t>
      </w:r>
      <w:r w:rsidRPr="00074B4A">
        <w:rPr>
          <w:i/>
          <w:color w:val="000000" w:themeColor="text1"/>
        </w:rPr>
        <w:t>et al</w:t>
      </w:r>
      <w:r w:rsidRPr="00074B4A">
        <w:rPr>
          <w:color w:val="000000" w:themeColor="text1"/>
        </w:rPr>
        <w:t xml:space="preserve">. 2012, Vega Thurber </w:t>
      </w:r>
      <w:r w:rsidRPr="00074B4A">
        <w:rPr>
          <w:i/>
          <w:color w:val="000000" w:themeColor="text1"/>
        </w:rPr>
        <w:t>et al</w:t>
      </w:r>
      <w:r w:rsidR="00CB4912" w:rsidRPr="00074B4A">
        <w:rPr>
          <w:i/>
          <w:color w:val="000000" w:themeColor="text1"/>
        </w:rPr>
        <w:t>.</w:t>
      </w:r>
      <w:r w:rsidR="00CB4912" w:rsidRPr="00074B4A">
        <w:rPr>
          <w:color w:val="000000" w:themeColor="text1"/>
        </w:rPr>
        <w:t xml:space="preserve"> 2012).</w:t>
      </w:r>
    </w:p>
    <w:p w14:paraId="11EA8C0D" w14:textId="096B655E" w:rsidR="00A937E5" w:rsidRPr="00074B4A" w:rsidRDefault="00A937E5" w:rsidP="002B6DF5">
      <w:pPr>
        <w:spacing w:after="240"/>
        <w:rPr>
          <w:color w:val="000000" w:themeColor="text1"/>
        </w:rPr>
      </w:pPr>
      <w:r w:rsidRPr="00074B4A">
        <w:rPr>
          <w:color w:val="000000" w:themeColor="text1"/>
        </w:rPr>
        <w:t xml:space="preserve">In addition to influences on the early life stages of corals, changes in water quality have been shown to increase incidence of coral disease: for example </w:t>
      </w:r>
      <w:r w:rsidRPr="00074B4A">
        <w:rPr>
          <w:rFonts w:cs="Arial"/>
          <w:color w:val="000000" w:themeColor="text1"/>
          <w:szCs w:val="22"/>
        </w:rPr>
        <w:t xml:space="preserve">increased organic carbon concentrations promote coral diseases and mortality (Kline </w:t>
      </w:r>
      <w:r w:rsidRPr="00074B4A">
        <w:rPr>
          <w:rFonts w:cs="Arial"/>
          <w:i/>
          <w:color w:val="000000" w:themeColor="text1"/>
          <w:szCs w:val="22"/>
        </w:rPr>
        <w:t>et al</w:t>
      </w:r>
      <w:r w:rsidRPr="00074B4A">
        <w:rPr>
          <w:rFonts w:cs="Arial"/>
          <w:color w:val="000000" w:themeColor="text1"/>
          <w:szCs w:val="22"/>
        </w:rPr>
        <w:t xml:space="preserve">. 2006, Kuntz </w:t>
      </w:r>
      <w:r w:rsidRPr="00074B4A">
        <w:rPr>
          <w:rFonts w:cs="Arial"/>
          <w:i/>
          <w:color w:val="000000" w:themeColor="text1"/>
          <w:szCs w:val="22"/>
        </w:rPr>
        <w:t>et al</w:t>
      </w:r>
      <w:r w:rsidRPr="00074B4A">
        <w:rPr>
          <w:rFonts w:cs="Arial"/>
          <w:color w:val="000000" w:themeColor="text1"/>
          <w:szCs w:val="22"/>
        </w:rPr>
        <w:t xml:space="preserve">. 2005). The selective pressure of water quality on coral communities is clearly evident in changes in community composition </w:t>
      </w:r>
      <w:r w:rsidRPr="00074B4A">
        <w:rPr>
          <w:color w:val="000000" w:themeColor="text1"/>
        </w:rPr>
        <w:t xml:space="preserve">along environmental gradients (De’ath </w:t>
      </w:r>
      <w:r w:rsidR="005A065B" w:rsidRPr="00074B4A">
        <w:rPr>
          <w:color w:val="000000" w:themeColor="text1"/>
        </w:rPr>
        <w:t>&amp;</w:t>
      </w:r>
      <w:r w:rsidRPr="00074B4A">
        <w:rPr>
          <w:color w:val="000000" w:themeColor="text1"/>
        </w:rPr>
        <w:t xml:space="preserve"> Fabricius 2010, Thompson </w:t>
      </w:r>
      <w:r w:rsidRPr="00074B4A">
        <w:rPr>
          <w:i/>
          <w:color w:val="000000" w:themeColor="text1"/>
        </w:rPr>
        <w:t>et al.</w:t>
      </w:r>
      <w:r w:rsidRPr="00074B4A">
        <w:rPr>
          <w:color w:val="000000" w:themeColor="text1"/>
        </w:rPr>
        <w:t xml:space="preserve"> 2010, Uthicke </w:t>
      </w:r>
      <w:r w:rsidRPr="00074B4A">
        <w:rPr>
          <w:i/>
          <w:color w:val="000000" w:themeColor="text1"/>
        </w:rPr>
        <w:t>et al.</w:t>
      </w:r>
      <w:r w:rsidRPr="00074B4A">
        <w:rPr>
          <w:color w:val="000000" w:themeColor="text1"/>
        </w:rPr>
        <w:t xml:space="preserve"> 2010, Fabricius </w:t>
      </w:r>
      <w:r w:rsidRPr="00074B4A">
        <w:rPr>
          <w:i/>
          <w:color w:val="000000" w:themeColor="text1"/>
        </w:rPr>
        <w:t>et al</w:t>
      </w:r>
      <w:r w:rsidRPr="00074B4A">
        <w:rPr>
          <w:color w:val="000000" w:themeColor="text1"/>
        </w:rPr>
        <w:t xml:space="preserve">. 2012). Corals derive energy in two ways, by feeding on ingested particles and plankton organisms and from the photosynthesis of their symbiotic algae (zooxanthellae). The ability to compensate by feeding where there is a reduction in energy derived from photosynthesis, e.g. as a result of light attenuation in turbid waters, varies between species (Anthony 1999, Anthony </w:t>
      </w:r>
      <w:r w:rsidR="005A065B" w:rsidRPr="00074B4A">
        <w:rPr>
          <w:color w:val="000000" w:themeColor="text1"/>
        </w:rPr>
        <w:t>&amp;</w:t>
      </w:r>
      <w:r w:rsidRPr="00074B4A">
        <w:rPr>
          <w:color w:val="000000" w:themeColor="text1"/>
        </w:rPr>
        <w:t xml:space="preserve"> Fabricius 2000). Similarly, the energy required to shed sediment varies between species due to differences in the efficiencies of passive (largely depending on growth form) or active (such as mucus production) strategies for sediment removal (Rogers 1990, Stafford-Smith </w:t>
      </w:r>
      <w:r w:rsidR="005A065B" w:rsidRPr="00074B4A">
        <w:rPr>
          <w:color w:val="000000" w:themeColor="text1"/>
        </w:rPr>
        <w:t>&amp;</w:t>
      </w:r>
      <w:r w:rsidRPr="00074B4A">
        <w:rPr>
          <w:color w:val="000000" w:themeColor="text1"/>
        </w:rPr>
        <w:t xml:space="preserve"> Ormond 1992). At the same time, high nutrient levels may favour particle feeders such as sponges and heterotrophic soft corals which are potential space competitors of hard corals. The result is that the combination of environmental parameters at a given location will disproportionately favour some species and thus influence the community composition of coral reef benthos. However, coral communities occur in a wide range of environmental settings </w:t>
      </w:r>
      <w:r w:rsidR="00714423" w:rsidRPr="00074B4A">
        <w:rPr>
          <w:color w:val="000000" w:themeColor="text1"/>
        </w:rPr>
        <w:t xml:space="preserve">because different coral species have different tolerances to environmental pressures </w:t>
      </w:r>
      <w:r w:rsidRPr="00074B4A">
        <w:rPr>
          <w:color w:val="000000" w:themeColor="text1"/>
        </w:rPr>
        <w:t xml:space="preserve">(e.g. Done 1982, Fabricius </w:t>
      </w:r>
      <w:r w:rsidR="005A065B" w:rsidRPr="00074B4A">
        <w:rPr>
          <w:color w:val="000000" w:themeColor="text1"/>
        </w:rPr>
        <w:t>&amp;</w:t>
      </w:r>
      <w:r w:rsidR="0001742D" w:rsidRPr="00074B4A">
        <w:rPr>
          <w:color w:val="000000" w:themeColor="text1"/>
        </w:rPr>
        <w:t xml:space="preserve"> De’ath 2001</w:t>
      </w:r>
      <w:r w:rsidRPr="00074B4A">
        <w:rPr>
          <w:color w:val="000000" w:themeColor="text1"/>
        </w:rPr>
        <w:t xml:space="preserve">, DeVantier </w:t>
      </w:r>
      <w:r w:rsidRPr="00074B4A">
        <w:rPr>
          <w:i/>
          <w:color w:val="000000" w:themeColor="text1"/>
        </w:rPr>
        <w:t>et al.</w:t>
      </w:r>
      <w:r w:rsidRPr="00074B4A">
        <w:rPr>
          <w:color w:val="000000" w:themeColor="text1"/>
        </w:rPr>
        <w:t xml:space="preserve"> 2006, De’ath </w:t>
      </w:r>
      <w:r w:rsidR="005A065B" w:rsidRPr="00074B4A">
        <w:rPr>
          <w:color w:val="000000" w:themeColor="text1"/>
        </w:rPr>
        <w:t>&amp;</w:t>
      </w:r>
      <w:r w:rsidRPr="00074B4A">
        <w:rPr>
          <w:color w:val="000000" w:themeColor="text1"/>
        </w:rPr>
        <w:t xml:space="preserve"> Fabricius 2010). </w:t>
      </w:r>
    </w:p>
    <w:p w14:paraId="11EA8C0E" w14:textId="781C80C4" w:rsidR="00A937E5" w:rsidRPr="00074B4A" w:rsidRDefault="00A937E5" w:rsidP="002B6DF5">
      <w:pPr>
        <w:spacing w:after="240"/>
        <w:rPr>
          <w:color w:val="000000" w:themeColor="text1"/>
        </w:rPr>
      </w:pPr>
      <w:r w:rsidRPr="00074B4A">
        <w:rPr>
          <w:color w:val="000000" w:themeColor="text1"/>
        </w:rPr>
        <w:t xml:space="preserve">Coral reefs in the coastal and inshore zones of the </w:t>
      </w:r>
      <w:r w:rsidRPr="00074B4A">
        <w:rPr>
          <w:rFonts w:eastAsia="MS Mincho"/>
          <w:color w:val="000000" w:themeColor="text1"/>
        </w:rPr>
        <w:t>Reef</w:t>
      </w:r>
      <w:r w:rsidRPr="00074B4A">
        <w:rPr>
          <w:color w:val="000000" w:themeColor="text1"/>
        </w:rPr>
        <w:t xml:space="preserve">, which are often fringing reefs around continental islands, are </w:t>
      </w:r>
      <w:r w:rsidR="002F24B6" w:rsidRPr="00074B4A">
        <w:rPr>
          <w:color w:val="000000" w:themeColor="text1"/>
        </w:rPr>
        <w:t>subject to high</w:t>
      </w:r>
      <w:r w:rsidRPr="00074B4A">
        <w:rPr>
          <w:color w:val="000000" w:themeColor="text1"/>
        </w:rPr>
        <w:t xml:space="preserve"> turbid</w:t>
      </w:r>
      <w:r w:rsidR="002F24B6" w:rsidRPr="00074B4A">
        <w:rPr>
          <w:color w:val="000000" w:themeColor="text1"/>
        </w:rPr>
        <w:t xml:space="preserve">ity </w:t>
      </w:r>
      <w:r w:rsidRPr="00074B4A">
        <w:rPr>
          <w:color w:val="000000" w:themeColor="text1"/>
        </w:rPr>
        <w:t xml:space="preserve">due to frequent exposure to re-suspended sediment and episodic flood events. It is difficult to quantify the changes to coral reef communities caused by </w:t>
      </w:r>
      <w:r w:rsidR="0042623E">
        <w:rPr>
          <w:color w:val="000000" w:themeColor="text1"/>
        </w:rPr>
        <w:t>run-off</w:t>
      </w:r>
      <w:r w:rsidRPr="00074B4A">
        <w:rPr>
          <w:color w:val="000000" w:themeColor="text1"/>
        </w:rPr>
        <w:t xml:space="preserve"> of excess nutrients and sediments because of the lack of historical biological and environmental data that predate significant land use changes on the catchment. However, recent research has strengthened the evidence for causal relationships between water quality changes and the decline of some coral reefs and seagrass meadows in these zones (reviewed in Brodie </w:t>
      </w:r>
      <w:r w:rsidRPr="00074B4A">
        <w:rPr>
          <w:i/>
          <w:color w:val="000000" w:themeColor="text1"/>
        </w:rPr>
        <w:t>et al.</w:t>
      </w:r>
      <w:r w:rsidRPr="00074B4A">
        <w:rPr>
          <w:color w:val="000000" w:themeColor="text1"/>
        </w:rPr>
        <w:t xml:space="preserve"> 2012</w:t>
      </w:r>
      <w:r w:rsidR="00A63E90" w:rsidRPr="00074B4A">
        <w:rPr>
          <w:color w:val="000000" w:themeColor="text1"/>
        </w:rPr>
        <w:t>b</w:t>
      </w:r>
      <w:r w:rsidRPr="00074B4A">
        <w:rPr>
          <w:color w:val="000000" w:themeColor="text1"/>
        </w:rPr>
        <w:t xml:space="preserve"> and Schaffelke </w:t>
      </w:r>
      <w:r w:rsidRPr="00074B4A">
        <w:rPr>
          <w:i/>
          <w:color w:val="000000" w:themeColor="text1"/>
        </w:rPr>
        <w:t>et al.</w:t>
      </w:r>
      <w:r w:rsidRPr="00074B4A">
        <w:rPr>
          <w:color w:val="000000" w:themeColor="text1"/>
        </w:rPr>
        <w:t xml:space="preserve"> 2013).</w:t>
      </w:r>
    </w:p>
    <w:p w14:paraId="11EA8C0F" w14:textId="7884D330" w:rsidR="00A937E5" w:rsidRPr="00074B4A" w:rsidRDefault="00A937E5" w:rsidP="002B6DF5">
      <w:pPr>
        <w:spacing w:after="240"/>
        <w:rPr>
          <w:color w:val="000000" w:themeColor="text1"/>
        </w:rPr>
      </w:pPr>
      <w:r w:rsidRPr="00074B4A">
        <w:rPr>
          <w:color w:val="000000" w:themeColor="text1"/>
        </w:rPr>
        <w:t xml:space="preserve">Given that the benthic communities </w:t>
      </w:r>
      <w:r w:rsidR="001B4F6D">
        <w:rPr>
          <w:color w:val="000000" w:themeColor="text1"/>
        </w:rPr>
        <w:t>i</w:t>
      </w:r>
      <w:r w:rsidRPr="00074B4A">
        <w:rPr>
          <w:color w:val="000000" w:themeColor="text1"/>
        </w:rPr>
        <w:t xml:space="preserve">n inshore </w:t>
      </w:r>
      <w:r w:rsidR="001B4F6D">
        <w:rPr>
          <w:color w:val="000000" w:themeColor="text1"/>
        </w:rPr>
        <w:t>areas</w:t>
      </w:r>
      <w:r w:rsidRPr="00074B4A">
        <w:rPr>
          <w:color w:val="000000" w:themeColor="text1"/>
        </w:rPr>
        <w:t xml:space="preserve"> of the Reef show clear responses to gradients in turbidity, sedimentation rate and nutrient availability</w:t>
      </w:r>
      <w:r w:rsidR="00E22D3F" w:rsidRPr="00074B4A">
        <w:rPr>
          <w:color w:val="000000" w:themeColor="text1"/>
        </w:rPr>
        <w:t xml:space="preserve"> (</w:t>
      </w:r>
      <w:r w:rsidR="00A02048" w:rsidRPr="00074B4A">
        <w:rPr>
          <w:color w:val="000000" w:themeColor="text1"/>
        </w:rPr>
        <w:t xml:space="preserve">van Woesik </w:t>
      </w:r>
      <w:r w:rsidR="00A02048" w:rsidRPr="00074B4A">
        <w:rPr>
          <w:i/>
          <w:color w:val="000000" w:themeColor="text1"/>
        </w:rPr>
        <w:t>et al.</w:t>
      </w:r>
      <w:r w:rsidR="00A02048" w:rsidRPr="00074B4A">
        <w:rPr>
          <w:color w:val="000000" w:themeColor="text1"/>
        </w:rPr>
        <w:t xml:space="preserve"> 1999, </w:t>
      </w:r>
      <w:r w:rsidR="009A16C8" w:rsidRPr="00074B4A">
        <w:rPr>
          <w:color w:val="000000" w:themeColor="text1"/>
        </w:rPr>
        <w:t xml:space="preserve">Fabricius </w:t>
      </w:r>
      <w:r w:rsidR="00A02048" w:rsidRPr="00074B4A">
        <w:rPr>
          <w:color w:val="000000" w:themeColor="text1"/>
        </w:rPr>
        <w:t xml:space="preserve">&amp; De’ath 2001, Fabricius </w:t>
      </w:r>
      <w:r w:rsidR="009A16C8" w:rsidRPr="00074B4A">
        <w:rPr>
          <w:i/>
          <w:color w:val="000000" w:themeColor="text1"/>
        </w:rPr>
        <w:t>et al.</w:t>
      </w:r>
      <w:r w:rsidR="009A16C8" w:rsidRPr="00074B4A">
        <w:rPr>
          <w:color w:val="000000" w:themeColor="text1"/>
        </w:rPr>
        <w:t xml:space="preserve"> 2005,</w:t>
      </w:r>
      <w:r w:rsidR="00A02048" w:rsidRPr="00074B4A">
        <w:rPr>
          <w:color w:val="000000" w:themeColor="text1"/>
        </w:rPr>
        <w:t xml:space="preserve"> Wismer </w:t>
      </w:r>
      <w:r w:rsidR="00A02048" w:rsidRPr="00074B4A">
        <w:rPr>
          <w:i/>
          <w:color w:val="000000" w:themeColor="text1"/>
        </w:rPr>
        <w:t>et al.</w:t>
      </w:r>
      <w:r w:rsidR="00A02048" w:rsidRPr="00074B4A">
        <w:rPr>
          <w:color w:val="000000" w:themeColor="text1"/>
        </w:rPr>
        <w:t xml:space="preserve"> 2009,</w:t>
      </w:r>
      <w:r w:rsidR="009A16C8" w:rsidRPr="00074B4A">
        <w:rPr>
          <w:color w:val="000000" w:themeColor="text1"/>
        </w:rPr>
        <w:t xml:space="preserve"> </w:t>
      </w:r>
      <w:r w:rsidR="00E22D3F" w:rsidRPr="00074B4A">
        <w:rPr>
          <w:color w:val="000000" w:themeColor="text1"/>
        </w:rPr>
        <w:t xml:space="preserve">Uthicke </w:t>
      </w:r>
      <w:r w:rsidR="00E22D3F" w:rsidRPr="00074B4A">
        <w:rPr>
          <w:i/>
          <w:color w:val="000000" w:themeColor="text1"/>
        </w:rPr>
        <w:t>et al.</w:t>
      </w:r>
      <w:r w:rsidR="00E22D3F" w:rsidRPr="00074B4A">
        <w:rPr>
          <w:color w:val="000000" w:themeColor="text1"/>
        </w:rPr>
        <w:t xml:space="preserve"> 2010</w:t>
      </w:r>
      <w:r w:rsidR="009A16C8" w:rsidRPr="00074B4A">
        <w:rPr>
          <w:color w:val="000000" w:themeColor="text1"/>
        </w:rPr>
        <w:t xml:space="preserve">, Fabricius </w:t>
      </w:r>
      <w:r w:rsidR="009A16C8" w:rsidRPr="00074B4A">
        <w:rPr>
          <w:i/>
          <w:color w:val="000000" w:themeColor="text1"/>
        </w:rPr>
        <w:t>et al.</w:t>
      </w:r>
      <w:r w:rsidR="009A16C8" w:rsidRPr="00074B4A">
        <w:rPr>
          <w:color w:val="000000" w:themeColor="text1"/>
        </w:rPr>
        <w:t xml:space="preserve"> 2012</w:t>
      </w:r>
      <w:r w:rsidR="00E22D3F" w:rsidRPr="00074B4A">
        <w:rPr>
          <w:color w:val="000000" w:themeColor="text1"/>
        </w:rPr>
        <w:t>)</w:t>
      </w:r>
      <w:r w:rsidRPr="00074B4A">
        <w:rPr>
          <w:color w:val="000000" w:themeColor="text1"/>
        </w:rPr>
        <w:t>, improved land management practices have the potential to reduce levels of chronic environmental stresses that impact on coral reef communities. However, recent assessments raise the question whether these actions will be sufficient to ensure the resilience of the Reef ecosystems into th</w:t>
      </w:r>
      <w:r w:rsidR="00522D23" w:rsidRPr="00074B4A">
        <w:rPr>
          <w:color w:val="000000" w:themeColor="text1"/>
        </w:rPr>
        <w:t>e future (Bartley 2014a,</w:t>
      </w:r>
      <w:r w:rsidR="00457EB1" w:rsidRPr="00074B4A">
        <w:rPr>
          <w:color w:val="000000" w:themeColor="text1"/>
        </w:rPr>
        <w:t xml:space="preserve"> </w:t>
      </w:r>
      <w:r w:rsidR="00522D23" w:rsidRPr="00074B4A">
        <w:rPr>
          <w:color w:val="000000" w:themeColor="text1"/>
        </w:rPr>
        <w:t>b,</w:t>
      </w:r>
      <w:r w:rsidRPr="00074B4A">
        <w:rPr>
          <w:color w:val="000000" w:themeColor="text1"/>
        </w:rPr>
        <w:t xml:space="preserve"> Kroon </w:t>
      </w:r>
      <w:r w:rsidRPr="00074B4A">
        <w:rPr>
          <w:i/>
          <w:color w:val="000000" w:themeColor="text1"/>
        </w:rPr>
        <w:t>et al.</w:t>
      </w:r>
      <w:r w:rsidRPr="00074B4A">
        <w:rPr>
          <w:color w:val="000000" w:themeColor="text1"/>
        </w:rPr>
        <w:t xml:space="preserve"> 2014). Nutrients</w:t>
      </w:r>
      <w:r w:rsidR="00F25002">
        <w:rPr>
          <w:color w:val="000000" w:themeColor="text1"/>
        </w:rPr>
        <w:t>,</w:t>
      </w:r>
      <w:r w:rsidRPr="00074B4A">
        <w:rPr>
          <w:color w:val="000000" w:themeColor="text1"/>
        </w:rPr>
        <w:t xml:space="preserve"> </w:t>
      </w:r>
      <w:r w:rsidR="00F25002">
        <w:rPr>
          <w:color w:val="000000" w:themeColor="text1"/>
        </w:rPr>
        <w:t>that</w:t>
      </w:r>
      <w:r w:rsidRPr="00074B4A">
        <w:rPr>
          <w:color w:val="000000" w:themeColor="text1"/>
        </w:rPr>
        <w:t xml:space="preserve"> sustain t</w:t>
      </w:r>
      <w:r w:rsidRPr="00074B4A">
        <w:rPr>
          <w:rFonts w:eastAsia="MS Mincho"/>
          <w:color w:val="000000" w:themeColor="text1"/>
          <w:lang w:eastAsia="ja-JP"/>
        </w:rPr>
        <w:t>he biological productivity of the Reef</w:t>
      </w:r>
      <w:r w:rsidR="00F25002">
        <w:rPr>
          <w:rFonts w:eastAsia="MS Mincho"/>
          <w:color w:val="000000" w:themeColor="text1"/>
          <w:lang w:eastAsia="ja-JP"/>
        </w:rPr>
        <w:t>,</w:t>
      </w:r>
      <w:r w:rsidRPr="00074B4A">
        <w:rPr>
          <w:rFonts w:eastAsia="MS Mincho"/>
          <w:color w:val="000000" w:themeColor="text1"/>
          <w:lang w:eastAsia="ja-JP"/>
        </w:rPr>
        <w:t xml:space="preserve"> are supplied by a number of processes and sources such as upwelling of nutrient-enriched deep water from the Coral Sea and nitrogen fixation by bacteria (Furnas </w:t>
      </w:r>
      <w:r w:rsidRPr="00074B4A">
        <w:rPr>
          <w:rFonts w:eastAsia="MS Mincho"/>
          <w:i/>
          <w:color w:val="000000" w:themeColor="text1"/>
          <w:lang w:eastAsia="ja-JP"/>
        </w:rPr>
        <w:t>et al.</w:t>
      </w:r>
      <w:r w:rsidRPr="00074B4A">
        <w:rPr>
          <w:rFonts w:eastAsia="MS Mincho"/>
          <w:color w:val="000000" w:themeColor="text1"/>
          <w:lang w:eastAsia="ja-JP"/>
        </w:rPr>
        <w:t xml:space="preserve"> 2011). However, land </w:t>
      </w:r>
      <w:r w:rsidR="0042623E">
        <w:rPr>
          <w:rFonts w:eastAsia="MS Mincho"/>
          <w:color w:val="000000" w:themeColor="text1"/>
          <w:lang w:eastAsia="ja-JP"/>
        </w:rPr>
        <w:t>run-off</w:t>
      </w:r>
      <w:r w:rsidRPr="00074B4A">
        <w:rPr>
          <w:rFonts w:eastAsia="MS Mincho"/>
          <w:color w:val="000000" w:themeColor="text1"/>
          <w:lang w:eastAsia="ja-JP"/>
        </w:rPr>
        <w:t xml:space="preserve"> is the largest source of new nutrients to the inshore Reef (ibid.), especially during monsoonal flood events. </w:t>
      </w:r>
      <w:r w:rsidRPr="00074B4A">
        <w:rPr>
          <w:color w:val="000000" w:themeColor="text1"/>
        </w:rPr>
        <w:t>These</w:t>
      </w:r>
      <w:r w:rsidRPr="00074B4A">
        <w:rPr>
          <w:rFonts w:eastAsia="MS Mincho"/>
          <w:color w:val="000000" w:themeColor="text1"/>
          <w:lang w:eastAsia="ja-JP"/>
        </w:rPr>
        <w:t xml:space="preserve"> nutrients augment the regional stocks of nutrients already stored in biomass or detritus (Furnas </w:t>
      </w:r>
      <w:r w:rsidRPr="00074B4A">
        <w:rPr>
          <w:rFonts w:eastAsia="MS Mincho"/>
          <w:i/>
          <w:color w:val="000000" w:themeColor="text1"/>
          <w:lang w:eastAsia="ja-JP"/>
        </w:rPr>
        <w:t>et al.</w:t>
      </w:r>
      <w:r w:rsidRPr="00074B4A">
        <w:rPr>
          <w:rFonts w:eastAsia="MS Mincho"/>
          <w:color w:val="000000" w:themeColor="text1"/>
          <w:lang w:eastAsia="ja-JP"/>
        </w:rPr>
        <w:t xml:space="preserve"> 2011) which are continuously recycled to supply nutrients for marine plants and bacteria (Furnas </w:t>
      </w:r>
      <w:r w:rsidRPr="00074B4A">
        <w:rPr>
          <w:rFonts w:eastAsia="MS Mincho"/>
          <w:i/>
          <w:iCs/>
          <w:color w:val="000000" w:themeColor="text1"/>
          <w:lang w:eastAsia="ja-JP"/>
        </w:rPr>
        <w:t>et al.</w:t>
      </w:r>
      <w:r w:rsidRPr="00074B4A">
        <w:rPr>
          <w:rFonts w:eastAsia="MS Mincho"/>
          <w:color w:val="000000" w:themeColor="text1"/>
          <w:lang w:eastAsia="ja-JP"/>
        </w:rPr>
        <w:t xml:space="preserve"> 2005, Furnas </w:t>
      </w:r>
      <w:r w:rsidRPr="00074B4A">
        <w:rPr>
          <w:rFonts w:eastAsia="MS Mincho"/>
          <w:i/>
          <w:color w:val="000000" w:themeColor="text1"/>
          <w:lang w:eastAsia="ja-JP"/>
        </w:rPr>
        <w:t>et al.</w:t>
      </w:r>
      <w:r w:rsidRPr="00074B4A">
        <w:rPr>
          <w:rFonts w:eastAsia="MS Mincho"/>
          <w:color w:val="000000" w:themeColor="text1"/>
          <w:lang w:eastAsia="ja-JP"/>
        </w:rPr>
        <w:t xml:space="preserve"> 2011). </w:t>
      </w:r>
    </w:p>
    <w:p w14:paraId="11EA8C16" w14:textId="1AA6DF89" w:rsidR="00A937E5" w:rsidRPr="005A2F58" w:rsidRDefault="00A937E5" w:rsidP="00FF323C">
      <w:pPr>
        <w:rPr>
          <w:color w:val="000000" w:themeColor="text1"/>
        </w:rPr>
      </w:pPr>
      <w:r w:rsidRPr="00074B4A">
        <w:rPr>
          <w:color w:val="000000" w:themeColor="text1"/>
        </w:rPr>
        <w:t>The complexity of interactions between benthic communities and environmental pressures makes it important to synthesi</w:t>
      </w:r>
      <w:r w:rsidR="00E22D3F" w:rsidRPr="00074B4A">
        <w:rPr>
          <w:color w:val="000000" w:themeColor="text1"/>
        </w:rPr>
        <w:t>ze</w:t>
      </w:r>
      <w:r w:rsidRPr="00074B4A">
        <w:rPr>
          <w:color w:val="000000" w:themeColor="text1"/>
        </w:rPr>
        <w:t xml:space="preserve"> coral community condition </w:t>
      </w:r>
      <w:r w:rsidR="00D70490">
        <w:rPr>
          <w:color w:val="000000" w:themeColor="text1"/>
        </w:rPr>
        <w:t xml:space="preserve">in a way that relates </w:t>
      </w:r>
      <w:r w:rsidR="008B424F">
        <w:rPr>
          <w:color w:val="000000" w:themeColor="text1"/>
        </w:rPr>
        <w:t xml:space="preserve">to </w:t>
      </w:r>
      <w:r w:rsidR="00D70490">
        <w:rPr>
          <w:color w:val="000000" w:themeColor="text1"/>
        </w:rPr>
        <w:t>the pressures of interest.</w:t>
      </w:r>
      <w:r w:rsidRPr="00074B4A">
        <w:rPr>
          <w:color w:val="000000" w:themeColor="text1"/>
        </w:rPr>
        <w:t xml:space="preserve"> </w:t>
      </w:r>
      <w:r w:rsidR="008B424F">
        <w:rPr>
          <w:color w:val="000000" w:themeColor="text1"/>
        </w:rPr>
        <w:t xml:space="preserve">The Reef report card includes coral index scores to annually summarise condition of coral communities in inshore areas of the Reef. </w:t>
      </w:r>
      <w:r w:rsidR="00FF323C">
        <w:rPr>
          <w:color w:val="000000" w:themeColor="text1"/>
        </w:rPr>
        <w:t>The purpose of this report is to provide the data, analysis and interpretation underpinning coral index scores included in the 2016 Reef report card.</w:t>
      </w:r>
      <w:r w:rsidR="00FF323C" w:rsidRPr="00074B4A" w:rsidDel="00FF323C">
        <w:rPr>
          <w:color w:val="000000" w:themeColor="text1"/>
        </w:rPr>
        <w:t xml:space="preserve"> </w:t>
      </w:r>
    </w:p>
    <w:p w14:paraId="65CB5B35" w14:textId="74AC63F3" w:rsidR="00E40E18" w:rsidRPr="00C62866" w:rsidRDefault="00A937E5" w:rsidP="00E40E18">
      <w:pPr>
        <w:autoSpaceDE w:val="0"/>
        <w:autoSpaceDN w:val="0"/>
        <w:adjustRightInd w:val="0"/>
        <w:rPr>
          <w:rFonts w:ascii="ArialMT" w:hAnsi="ArialMT"/>
          <w:color w:val="000000" w:themeColor="text1"/>
        </w:rPr>
      </w:pPr>
      <w:r w:rsidRPr="00074B4A">
        <w:rPr>
          <w:rFonts w:eastAsia="MS Mincho"/>
          <w:color w:val="000000" w:themeColor="text1"/>
        </w:rPr>
        <w:t>In order to relate</w:t>
      </w:r>
      <w:r w:rsidR="00E40E18">
        <w:rPr>
          <w:rFonts w:eastAsia="MS Mincho"/>
          <w:color w:val="000000" w:themeColor="text1"/>
        </w:rPr>
        <w:t xml:space="preserve"> changes in the condition of </w:t>
      </w:r>
      <w:r w:rsidRPr="00074B4A">
        <w:rPr>
          <w:rFonts w:eastAsia="MS Mincho"/>
          <w:color w:val="000000" w:themeColor="text1"/>
        </w:rPr>
        <w:t>coral reef communit</w:t>
      </w:r>
      <w:r w:rsidR="00E40E18">
        <w:rPr>
          <w:rFonts w:eastAsia="MS Mincho"/>
          <w:color w:val="000000" w:themeColor="text1"/>
        </w:rPr>
        <w:t xml:space="preserve">ies to </w:t>
      </w:r>
      <w:r w:rsidRPr="00074B4A">
        <w:rPr>
          <w:rFonts w:eastAsia="MS Mincho"/>
          <w:color w:val="000000" w:themeColor="text1"/>
        </w:rPr>
        <w:t>variations in local reef water quality, th</w:t>
      </w:r>
      <w:r w:rsidR="00E40E18">
        <w:rPr>
          <w:rFonts w:eastAsia="MS Mincho"/>
          <w:color w:val="000000" w:themeColor="text1"/>
        </w:rPr>
        <w:t>e coral</w:t>
      </w:r>
      <w:r w:rsidRPr="00074B4A">
        <w:rPr>
          <w:rFonts w:eastAsia="MS Mincho"/>
          <w:color w:val="000000" w:themeColor="text1"/>
        </w:rPr>
        <w:t xml:space="preserve"> component of the MMP has </w:t>
      </w:r>
      <w:r w:rsidR="009203B3" w:rsidRPr="00074B4A">
        <w:rPr>
          <w:rFonts w:eastAsia="MS Mincho"/>
          <w:color w:val="000000" w:themeColor="text1"/>
        </w:rPr>
        <w:t xml:space="preserve">the </w:t>
      </w:r>
      <w:r w:rsidR="00E40E18">
        <w:rPr>
          <w:rFonts w:eastAsia="MS Mincho"/>
          <w:color w:val="000000" w:themeColor="text1"/>
        </w:rPr>
        <w:t xml:space="preserve">overarching objective </w:t>
      </w:r>
      <w:r w:rsidR="006D2358" w:rsidRPr="006D2358">
        <w:rPr>
          <w:rFonts w:eastAsia="MS Mincho"/>
          <w:color w:val="000000" w:themeColor="text1"/>
        </w:rPr>
        <w:t xml:space="preserve">to </w:t>
      </w:r>
      <w:r w:rsidR="006D2358">
        <w:rPr>
          <w:rFonts w:eastAsia="MS Mincho"/>
          <w:color w:val="000000" w:themeColor="text1"/>
        </w:rPr>
        <w:t>“</w:t>
      </w:r>
      <w:r w:rsidR="006D2358" w:rsidRPr="006D2358">
        <w:rPr>
          <w:rFonts w:eastAsia="MS Mincho"/>
          <w:i/>
          <w:color w:val="000000" w:themeColor="text1"/>
        </w:rPr>
        <w:t>quantify the extent, frequency and intensity of acute and chronic impacts on the condition and trend of inshore coral reefs and their subsequent recovery</w:t>
      </w:r>
      <w:r w:rsidR="006D2358">
        <w:rPr>
          <w:rFonts w:eastAsia="MS Mincho"/>
          <w:color w:val="000000" w:themeColor="text1"/>
        </w:rPr>
        <w:t>”</w:t>
      </w:r>
      <w:r w:rsidR="006D2358" w:rsidRPr="006D2358">
        <w:rPr>
          <w:rFonts w:eastAsia="MS Mincho"/>
          <w:color w:val="000000" w:themeColor="text1"/>
        </w:rPr>
        <w:t xml:space="preserve">. </w:t>
      </w:r>
      <w:r w:rsidR="00E40E18">
        <w:rPr>
          <w:rFonts w:eastAsia="MS Mincho"/>
        </w:rPr>
        <w:t>The specific objectives are</w:t>
      </w:r>
      <w:r w:rsidR="00E40E18">
        <w:rPr>
          <w:rFonts w:eastAsia="MS Mincho"/>
          <w:color w:val="000000" w:themeColor="text1"/>
        </w:rPr>
        <w:t xml:space="preserve"> to</w:t>
      </w:r>
      <w:r w:rsidR="00E40E18" w:rsidRPr="00E40E18">
        <w:rPr>
          <w:rFonts w:ascii="ArialMT" w:hAnsi="ArialMT"/>
          <w:color w:val="000000" w:themeColor="text1"/>
        </w:rPr>
        <w:t xml:space="preserve"> </w:t>
      </w:r>
      <w:r w:rsidR="00E40E18" w:rsidRPr="00C62866">
        <w:rPr>
          <w:rFonts w:ascii="ArialMT" w:hAnsi="ArialMT"/>
          <w:color w:val="000000" w:themeColor="text1"/>
        </w:rPr>
        <w:t>monitor, assess and report:</w:t>
      </w:r>
    </w:p>
    <w:p w14:paraId="4576ED46" w14:textId="53C81B00" w:rsidR="00E40E18" w:rsidRPr="00C62866" w:rsidRDefault="00E40E18" w:rsidP="00E40E18">
      <w:pPr>
        <w:pStyle w:val="ListParagraph"/>
        <w:numPr>
          <w:ilvl w:val="0"/>
          <w:numId w:val="45"/>
        </w:numPr>
        <w:autoSpaceDE w:val="0"/>
        <w:autoSpaceDN w:val="0"/>
        <w:adjustRightInd w:val="0"/>
        <w:spacing w:after="0"/>
        <w:jc w:val="left"/>
        <w:rPr>
          <w:rFonts w:ascii="ArialMT" w:hAnsi="ArialMT"/>
          <w:color w:val="000000" w:themeColor="text1"/>
        </w:rPr>
      </w:pPr>
      <w:r w:rsidRPr="00C62866">
        <w:rPr>
          <w:rFonts w:ascii="ArialMT" w:hAnsi="ArialMT"/>
          <w:color w:val="000000" w:themeColor="text1"/>
        </w:rPr>
        <w:t xml:space="preserve">the condition and trend of Great Barrier Reef inshore coral reefs </w:t>
      </w:r>
      <w:r w:rsidR="003E344F">
        <w:rPr>
          <w:rFonts w:ascii="ArialMT" w:hAnsi="ArialMT"/>
          <w:color w:val="000000" w:themeColor="text1"/>
        </w:rPr>
        <w:t>in relation to</w:t>
      </w:r>
      <w:r w:rsidR="00E75F5C">
        <w:rPr>
          <w:rFonts w:ascii="ArialMT" w:hAnsi="ArialMT"/>
          <w:color w:val="000000" w:themeColor="text1"/>
        </w:rPr>
        <w:t xml:space="preserve"> </w:t>
      </w:r>
      <w:r w:rsidRPr="00C62866">
        <w:rPr>
          <w:rFonts w:ascii="ArialMT" w:hAnsi="ArialMT"/>
          <w:color w:val="000000" w:themeColor="text1"/>
        </w:rPr>
        <w:t xml:space="preserve">desired </w:t>
      </w:r>
      <w:r w:rsidRPr="006A74C2">
        <w:rPr>
          <w:rFonts w:ascii="ArialMT" w:hAnsi="ArialMT"/>
          <w:color w:val="000000" w:themeColor="text1"/>
        </w:rPr>
        <w:t>outcomes</w:t>
      </w:r>
      <w:r w:rsidR="00E75F5C">
        <w:rPr>
          <w:rFonts w:ascii="ArialMT" w:hAnsi="ArialMT" w:cs="ArialMT"/>
          <w:color w:val="000000" w:themeColor="text1"/>
          <w:szCs w:val="22"/>
        </w:rPr>
        <w:t xml:space="preserve"> </w:t>
      </w:r>
      <w:r w:rsidR="00183BB7">
        <w:rPr>
          <w:rFonts w:ascii="ArialMT" w:hAnsi="ArialMT" w:cs="ArialMT"/>
          <w:color w:val="000000" w:themeColor="text1"/>
          <w:szCs w:val="22"/>
        </w:rPr>
        <w:t>(expressed as coral index scores)</w:t>
      </w:r>
      <w:r w:rsidRPr="006A74C2">
        <w:rPr>
          <w:rFonts w:ascii="ArialMT" w:hAnsi="ArialMT"/>
          <w:color w:val="000000" w:themeColor="text1"/>
        </w:rPr>
        <w:t xml:space="preserve"> </w:t>
      </w:r>
      <w:r w:rsidRPr="00C62866">
        <w:rPr>
          <w:rFonts w:ascii="ArialMT" w:hAnsi="ArialMT"/>
          <w:color w:val="000000" w:themeColor="text1"/>
        </w:rPr>
        <w:t>along identified or expected gradients in water quality;</w:t>
      </w:r>
    </w:p>
    <w:p w14:paraId="7E797B48" w14:textId="036BA2B6" w:rsidR="00E40E18" w:rsidRPr="00D2396B" w:rsidRDefault="00E40E18" w:rsidP="00E40E18">
      <w:pPr>
        <w:pStyle w:val="ListParagraph"/>
        <w:numPr>
          <w:ilvl w:val="0"/>
          <w:numId w:val="45"/>
        </w:numPr>
        <w:autoSpaceDE w:val="0"/>
        <w:autoSpaceDN w:val="0"/>
        <w:adjustRightInd w:val="0"/>
        <w:spacing w:after="0"/>
        <w:jc w:val="left"/>
        <w:rPr>
          <w:rFonts w:ascii="ArialMT" w:hAnsi="ArialMT" w:cs="ArialMT"/>
          <w:szCs w:val="22"/>
        </w:rPr>
      </w:pPr>
      <w:r w:rsidRPr="00D2396B">
        <w:rPr>
          <w:rFonts w:ascii="ArialMT" w:hAnsi="ArialMT" w:cs="ArialMT"/>
          <w:szCs w:val="22"/>
        </w:rPr>
        <w:t>the extent, frequency and intensity of acute and chronic impacts on the condition of Great Barrier Reef inshore coral reefs</w:t>
      </w:r>
      <w:r w:rsidR="003E344F">
        <w:rPr>
          <w:rFonts w:ascii="ArialMT" w:hAnsi="ArialMT" w:cs="ArialMT"/>
          <w:szCs w:val="22"/>
        </w:rPr>
        <w:t xml:space="preserve">, including exposure to flood plumes </w:t>
      </w:r>
      <w:r w:rsidRPr="00D2396B">
        <w:rPr>
          <w:rFonts w:ascii="ArialMT" w:hAnsi="ArialMT" w:cs="ArialMT"/>
          <w:szCs w:val="22"/>
        </w:rPr>
        <w:t xml:space="preserve">sediments, nutrients and pesticides; </w:t>
      </w:r>
    </w:p>
    <w:p w14:paraId="157B65BB" w14:textId="4F9AA392" w:rsidR="00E40E18" w:rsidRPr="00D2396B" w:rsidRDefault="00E40E18" w:rsidP="00E40E18">
      <w:pPr>
        <w:pStyle w:val="ListParagraph"/>
        <w:numPr>
          <w:ilvl w:val="0"/>
          <w:numId w:val="45"/>
        </w:numPr>
        <w:autoSpaceDE w:val="0"/>
        <w:autoSpaceDN w:val="0"/>
        <w:adjustRightInd w:val="0"/>
        <w:spacing w:after="0"/>
        <w:jc w:val="left"/>
        <w:rPr>
          <w:rFonts w:ascii="ArialMT" w:hAnsi="ArialMT" w:cs="ArialMT"/>
          <w:szCs w:val="22"/>
        </w:rPr>
      </w:pPr>
      <w:r w:rsidRPr="00D2396B">
        <w:rPr>
          <w:rFonts w:ascii="ArialMT" w:hAnsi="ArialMT" w:cs="ArialMT"/>
          <w:szCs w:val="22"/>
        </w:rPr>
        <w:t xml:space="preserve">the recovery </w:t>
      </w:r>
      <w:r w:rsidR="003E344F">
        <w:rPr>
          <w:rFonts w:ascii="ArialMT" w:hAnsi="ArialMT" w:cs="ArialMT"/>
          <w:szCs w:val="22"/>
        </w:rPr>
        <w:t xml:space="preserve">in condition </w:t>
      </w:r>
      <w:r w:rsidRPr="00D2396B">
        <w:rPr>
          <w:rFonts w:ascii="ArialMT" w:hAnsi="ArialMT" w:cs="ArialMT"/>
          <w:szCs w:val="22"/>
        </w:rPr>
        <w:t xml:space="preserve">of Great Barrier Reef inshore coral reefs from </w:t>
      </w:r>
      <w:r w:rsidR="003E344F">
        <w:rPr>
          <w:rFonts w:ascii="ArialMT" w:hAnsi="ArialMT" w:cs="ArialMT"/>
          <w:szCs w:val="22"/>
        </w:rPr>
        <w:t xml:space="preserve">acute and chronic impacts including </w:t>
      </w:r>
      <w:r w:rsidRPr="00D2396B">
        <w:rPr>
          <w:rFonts w:ascii="ArialMT" w:hAnsi="ArialMT" w:cs="ArialMT"/>
          <w:szCs w:val="22"/>
        </w:rPr>
        <w:t>exposure to flood plumes, sediments, nutrients and pesticides; and</w:t>
      </w:r>
    </w:p>
    <w:p w14:paraId="39FA720D" w14:textId="6D30EF13" w:rsidR="00E40E18" w:rsidRPr="00C62866" w:rsidRDefault="00E40E18" w:rsidP="00E40E18">
      <w:pPr>
        <w:pStyle w:val="ListParagraph"/>
        <w:numPr>
          <w:ilvl w:val="0"/>
          <w:numId w:val="45"/>
        </w:numPr>
        <w:autoSpaceDE w:val="0"/>
        <w:autoSpaceDN w:val="0"/>
        <w:adjustRightInd w:val="0"/>
        <w:spacing w:after="0"/>
        <w:jc w:val="left"/>
        <w:rPr>
          <w:rFonts w:ascii="ArialMT" w:hAnsi="ArialMT" w:cs="ArialMT"/>
          <w:szCs w:val="22"/>
        </w:rPr>
      </w:pPr>
      <w:r w:rsidRPr="00C62866">
        <w:rPr>
          <w:rFonts w:ascii="ArialMT" w:hAnsi="ArialMT" w:cs="ArialMT"/>
          <w:szCs w:val="22"/>
        </w:rPr>
        <w:t xml:space="preserve">trends in </w:t>
      </w:r>
      <w:r w:rsidR="003E344F" w:rsidRPr="006A74C2">
        <w:rPr>
          <w:rFonts w:ascii="ArialMT" w:hAnsi="ArialMT" w:cs="ArialMT"/>
          <w:szCs w:val="22"/>
        </w:rPr>
        <w:t>incidences</w:t>
      </w:r>
      <w:r w:rsidRPr="006A74C2">
        <w:rPr>
          <w:rFonts w:ascii="ArialMT" w:hAnsi="ArialMT" w:cs="ArialMT"/>
          <w:szCs w:val="22"/>
        </w:rPr>
        <w:t xml:space="preserve"> of coral mortality attributed to coral disease, C</w:t>
      </w:r>
      <w:r>
        <w:rPr>
          <w:rFonts w:ascii="ArialMT" w:hAnsi="ArialMT" w:cs="ArialMT"/>
          <w:szCs w:val="22"/>
        </w:rPr>
        <w:t>rown of Thorns Starfish</w:t>
      </w:r>
      <w:r w:rsidRPr="006A74C2">
        <w:rPr>
          <w:rFonts w:ascii="ArialMT" w:hAnsi="ArialMT" w:cs="ArialMT"/>
          <w:szCs w:val="22"/>
        </w:rPr>
        <w:t xml:space="preserve">, </w:t>
      </w:r>
      <w:r w:rsidRPr="00D32BA3">
        <w:rPr>
          <w:rFonts w:ascii="ArialMT" w:hAnsi="ArialMT" w:cs="ArialMT"/>
          <w:i/>
          <w:szCs w:val="22"/>
        </w:rPr>
        <w:t>Drupella</w:t>
      </w:r>
      <w:r w:rsidRPr="006A74C2">
        <w:rPr>
          <w:rFonts w:ascii="ArialMT" w:hAnsi="ArialMT" w:cs="ArialMT"/>
          <w:szCs w:val="22"/>
        </w:rPr>
        <w:t xml:space="preserve">, </w:t>
      </w:r>
      <w:r w:rsidRPr="00D32BA3">
        <w:rPr>
          <w:rFonts w:ascii="ArialMT" w:hAnsi="ArialMT" w:cs="ArialMT"/>
          <w:i/>
          <w:szCs w:val="22"/>
        </w:rPr>
        <w:t>Cliona</w:t>
      </w:r>
      <w:r>
        <w:rPr>
          <w:rFonts w:ascii="ArialMT" w:hAnsi="ArialMT" w:cs="ArialMT"/>
          <w:szCs w:val="22"/>
        </w:rPr>
        <w:t>,</w:t>
      </w:r>
      <w:r w:rsidRPr="006A74C2">
        <w:rPr>
          <w:rFonts w:ascii="ArialMT" w:hAnsi="ArialMT" w:cs="ArialMT"/>
          <w:szCs w:val="22"/>
        </w:rPr>
        <w:t xml:space="preserve"> physical damage and coral bleaching</w:t>
      </w:r>
      <w:r>
        <w:rPr>
          <w:rFonts w:ascii="ArialMT" w:hAnsi="ArialMT" w:cs="ArialMT"/>
          <w:szCs w:val="22"/>
        </w:rPr>
        <w:t>.</w:t>
      </w:r>
    </w:p>
    <w:p w14:paraId="11EA8C17" w14:textId="7EBD81B2" w:rsidR="005C1709" w:rsidRPr="00074B4A" w:rsidRDefault="005C1709" w:rsidP="002B6DF5">
      <w:pPr>
        <w:rPr>
          <w:rFonts w:eastAsia="MS Mincho"/>
          <w:color w:val="000000" w:themeColor="text1"/>
        </w:rPr>
      </w:pPr>
    </w:p>
    <w:p w14:paraId="11EA8C1B" w14:textId="38A745BB" w:rsidR="00A937E5" w:rsidRPr="00A82A90" w:rsidRDefault="005F61D7" w:rsidP="00A82A90">
      <w:pPr>
        <w:rPr>
          <w:rFonts w:eastAsia="MS Mincho"/>
          <w:color w:val="000000" w:themeColor="text1"/>
        </w:rPr>
      </w:pPr>
      <w:r>
        <w:rPr>
          <w:rFonts w:eastAsia="MS Mincho"/>
          <w:color w:val="000000" w:themeColor="text1"/>
        </w:rPr>
        <w:t xml:space="preserve">This report includes two case studies. </w:t>
      </w:r>
      <w:r w:rsidR="005A2F58">
        <w:rPr>
          <w:rFonts w:eastAsia="MS Mincho"/>
          <w:color w:val="000000" w:themeColor="text1"/>
        </w:rPr>
        <w:t>D</w:t>
      </w:r>
      <w:r w:rsidR="00A82A90" w:rsidRPr="00A82A90">
        <w:rPr>
          <w:rFonts w:eastAsia="MS Mincho"/>
          <w:color w:val="000000" w:themeColor="text1"/>
        </w:rPr>
        <w:t xml:space="preserve">uring </w:t>
      </w:r>
      <w:r w:rsidR="005A2F58">
        <w:rPr>
          <w:rFonts w:eastAsia="MS Mincho"/>
          <w:color w:val="000000" w:themeColor="text1"/>
        </w:rPr>
        <w:t xml:space="preserve">early </w:t>
      </w:r>
      <w:r w:rsidR="00A82A90" w:rsidRPr="00A82A90">
        <w:rPr>
          <w:rFonts w:eastAsia="MS Mincho"/>
          <w:color w:val="000000" w:themeColor="text1"/>
        </w:rPr>
        <w:t xml:space="preserve">2016 high sea water temperatures caused severe bleaching to parts of the Reef. Although the temperature anomalies were not as great </w:t>
      </w:r>
      <w:r w:rsidR="00D72B67" w:rsidRPr="00A82A90">
        <w:rPr>
          <w:rFonts w:eastAsia="MS Mincho"/>
          <w:color w:val="000000" w:themeColor="text1"/>
        </w:rPr>
        <w:t>on the reefs monitored</w:t>
      </w:r>
      <w:r w:rsidR="000A2C55">
        <w:rPr>
          <w:rFonts w:eastAsia="MS Mincho"/>
          <w:color w:val="000000" w:themeColor="text1"/>
        </w:rPr>
        <w:t xml:space="preserve"> by the MMP</w:t>
      </w:r>
      <w:r w:rsidR="00D72B67">
        <w:rPr>
          <w:rFonts w:eastAsia="MS Mincho"/>
          <w:color w:val="000000" w:themeColor="text1"/>
        </w:rPr>
        <w:t>,</w:t>
      </w:r>
      <w:r w:rsidR="005A2F58">
        <w:rPr>
          <w:rFonts w:eastAsia="MS Mincho"/>
          <w:color w:val="000000" w:themeColor="text1"/>
        </w:rPr>
        <w:t xml:space="preserve"> a summary of the </w:t>
      </w:r>
      <w:r w:rsidR="00A82A90" w:rsidRPr="00A82A90">
        <w:rPr>
          <w:rFonts w:eastAsia="MS Mincho"/>
          <w:color w:val="000000" w:themeColor="text1"/>
        </w:rPr>
        <w:t xml:space="preserve">impacts of this event </w:t>
      </w:r>
      <w:r w:rsidR="005A2F58">
        <w:rPr>
          <w:rFonts w:eastAsia="MS Mincho"/>
          <w:color w:val="000000" w:themeColor="text1"/>
        </w:rPr>
        <w:t>is included</w:t>
      </w:r>
      <w:r w:rsidR="00E6123B">
        <w:rPr>
          <w:rFonts w:eastAsia="MS Mincho"/>
          <w:color w:val="000000" w:themeColor="text1"/>
        </w:rPr>
        <w:t xml:space="preserve"> (Section 7)</w:t>
      </w:r>
      <w:r w:rsidR="00A82A90" w:rsidRPr="00A82A90">
        <w:rPr>
          <w:rFonts w:eastAsia="MS Mincho"/>
          <w:color w:val="000000" w:themeColor="text1"/>
        </w:rPr>
        <w:t xml:space="preserve">. </w:t>
      </w:r>
      <w:r w:rsidR="00D8109C">
        <w:rPr>
          <w:rFonts w:eastAsia="MS Mincho"/>
          <w:color w:val="000000" w:themeColor="text1"/>
        </w:rPr>
        <w:t>Secondly, macroalgae has emerged as the most consistent indicator to be spatially related to water quality. Brown macroalgae (Phaeophyta) are often the dominant group on reefs where macroalgae cover is persistently high. We present an analysis exploring the distribution of environmental conditions within which brown macroalgae have the potential to limit coral community resilience</w:t>
      </w:r>
      <w:r w:rsidR="00E6123B">
        <w:rPr>
          <w:rFonts w:eastAsia="MS Mincho"/>
          <w:color w:val="000000" w:themeColor="text1"/>
        </w:rPr>
        <w:t xml:space="preserve"> (section 8)</w:t>
      </w:r>
      <w:r w:rsidR="00D8109C">
        <w:rPr>
          <w:rFonts w:eastAsia="MS Mincho"/>
          <w:color w:val="000000" w:themeColor="text1"/>
        </w:rPr>
        <w:t>.</w:t>
      </w:r>
    </w:p>
    <w:p w14:paraId="11EA8C1C" w14:textId="77777777" w:rsidR="00A82A90" w:rsidRDefault="00A82A90">
      <w:pPr>
        <w:jc w:val="left"/>
        <w:rPr>
          <w:rFonts w:eastAsia="MS Mincho"/>
          <w:color w:val="4F81BD" w:themeColor="accent1"/>
        </w:rPr>
      </w:pPr>
      <w:r>
        <w:rPr>
          <w:rFonts w:eastAsia="MS Mincho"/>
          <w:color w:val="4F81BD" w:themeColor="accent1"/>
        </w:rPr>
        <w:br w:type="page"/>
      </w:r>
    </w:p>
    <w:p w14:paraId="11EA8C1E" w14:textId="77777777" w:rsidR="001C3FA7" w:rsidRPr="00F439FB" w:rsidRDefault="003708B0" w:rsidP="00B05739">
      <w:pPr>
        <w:pStyle w:val="Heading1"/>
        <w:numPr>
          <w:ilvl w:val="0"/>
          <w:numId w:val="42"/>
        </w:numPr>
      </w:pPr>
      <w:bookmarkStart w:id="51" w:name="_Toc491847357"/>
      <w:bookmarkStart w:id="52" w:name="_Toc493153292"/>
      <w:r>
        <w:t>Methods</w:t>
      </w:r>
      <w:bookmarkEnd w:id="51"/>
      <w:bookmarkEnd w:id="52"/>
    </w:p>
    <w:p w14:paraId="11EA8C1F" w14:textId="77777777" w:rsidR="006305E9" w:rsidRPr="00074B4A" w:rsidRDefault="006E5CD3" w:rsidP="00DD6D82">
      <w:pPr>
        <w:pStyle w:val="Heading2"/>
        <w:rPr>
          <w:rFonts w:eastAsia="SimSun"/>
        </w:rPr>
      </w:pPr>
      <w:bookmarkStart w:id="53" w:name="_Toc491847358"/>
      <w:bookmarkStart w:id="54" w:name="_Toc493153293"/>
      <w:r>
        <w:rPr>
          <w:rFonts w:eastAsia="SimSun"/>
        </w:rPr>
        <w:t xml:space="preserve">4.1 </w:t>
      </w:r>
      <w:r w:rsidR="006305E9" w:rsidRPr="00074B4A">
        <w:rPr>
          <w:rFonts w:eastAsia="SimSun"/>
        </w:rPr>
        <w:t>Sampling design</w:t>
      </w:r>
      <w:bookmarkEnd w:id="53"/>
      <w:bookmarkEnd w:id="54"/>
    </w:p>
    <w:p w14:paraId="11EA8C20" w14:textId="4A84034D" w:rsidR="00AF3BB1" w:rsidRPr="00074B4A" w:rsidRDefault="00334128" w:rsidP="00CB4912">
      <w:pPr>
        <w:rPr>
          <w:rFonts w:eastAsia="MS Mincho"/>
          <w:color w:val="000000" w:themeColor="text1"/>
        </w:rPr>
      </w:pPr>
      <w:r w:rsidRPr="00074B4A">
        <w:rPr>
          <w:rFonts w:eastAsia="MS Mincho"/>
          <w:color w:val="000000" w:themeColor="text1"/>
        </w:rPr>
        <w:t xml:space="preserve">Monitoring of inshore coral reef communities </w:t>
      </w:r>
      <w:r w:rsidR="000B1196">
        <w:rPr>
          <w:rFonts w:eastAsia="MS Mincho"/>
          <w:color w:val="000000" w:themeColor="text1"/>
        </w:rPr>
        <w:t>occurs at</w:t>
      </w:r>
      <w:r w:rsidRPr="00074B4A">
        <w:rPr>
          <w:rFonts w:eastAsia="MS Mincho"/>
          <w:color w:val="000000" w:themeColor="text1"/>
        </w:rPr>
        <w:t xml:space="preserve"> reefs adjacent to four of the six </w:t>
      </w:r>
      <w:r w:rsidR="005178A5" w:rsidRPr="00074B4A">
        <w:rPr>
          <w:rFonts w:eastAsia="MS Mincho"/>
          <w:color w:val="000000" w:themeColor="text1"/>
        </w:rPr>
        <w:t>natural r</w:t>
      </w:r>
      <w:r w:rsidRPr="00074B4A">
        <w:rPr>
          <w:rFonts w:eastAsia="MS Mincho"/>
          <w:color w:val="000000" w:themeColor="text1"/>
        </w:rPr>
        <w:t xml:space="preserve">esource </w:t>
      </w:r>
      <w:r w:rsidR="005178A5" w:rsidRPr="00074B4A">
        <w:rPr>
          <w:rFonts w:eastAsia="MS Mincho"/>
          <w:color w:val="000000" w:themeColor="text1"/>
        </w:rPr>
        <w:t>m</w:t>
      </w:r>
      <w:r w:rsidRPr="00074B4A">
        <w:rPr>
          <w:rFonts w:eastAsia="MS Mincho"/>
          <w:color w:val="000000" w:themeColor="text1"/>
        </w:rPr>
        <w:t xml:space="preserve">anagement (NRM) regions with catchments draining into the Reef: Wet Tropics, Burdekin, </w:t>
      </w:r>
      <w:r w:rsidR="00AF3BB1" w:rsidRPr="00074B4A">
        <w:rPr>
          <w:rFonts w:eastAsia="MS Mincho"/>
          <w:color w:val="000000" w:themeColor="text1"/>
        </w:rPr>
        <w:t xml:space="preserve">Mackay Whitsunday and Fitzroy. No reefs are included adjacent to Cape York due to logistic and occupational health and safety issues relating to diving in coastal waters in this region. </w:t>
      </w:r>
      <w:r w:rsidR="005178A5" w:rsidRPr="00074B4A">
        <w:rPr>
          <w:rFonts w:eastAsia="MS Mincho"/>
          <w:color w:val="000000" w:themeColor="text1"/>
        </w:rPr>
        <w:t>L</w:t>
      </w:r>
      <w:r w:rsidR="00AF3BB1" w:rsidRPr="00074B4A">
        <w:rPr>
          <w:rFonts w:eastAsia="MS Mincho"/>
          <w:color w:val="000000" w:themeColor="text1"/>
        </w:rPr>
        <w:t xml:space="preserve">imited development of coral reefs </w:t>
      </w:r>
      <w:r w:rsidR="005178A5" w:rsidRPr="00074B4A">
        <w:rPr>
          <w:rFonts w:eastAsia="MS Mincho"/>
          <w:color w:val="000000" w:themeColor="text1"/>
        </w:rPr>
        <w:t xml:space="preserve">in nearshore waters </w:t>
      </w:r>
      <w:r w:rsidR="00AF3BB1" w:rsidRPr="00074B4A">
        <w:rPr>
          <w:rFonts w:eastAsia="MS Mincho"/>
          <w:color w:val="000000" w:themeColor="text1"/>
        </w:rPr>
        <w:t xml:space="preserve">adjacent to the Burnett Mary NRM region </w:t>
      </w:r>
      <w:r w:rsidR="005178A5" w:rsidRPr="00074B4A">
        <w:rPr>
          <w:rFonts w:eastAsia="MS Mincho"/>
          <w:color w:val="000000" w:themeColor="text1"/>
        </w:rPr>
        <w:t>precluded s</w:t>
      </w:r>
      <w:r w:rsidR="00AF3BB1" w:rsidRPr="00074B4A">
        <w:rPr>
          <w:rFonts w:eastAsia="MS Mincho"/>
          <w:color w:val="000000" w:themeColor="text1"/>
        </w:rPr>
        <w:t>ampling</w:t>
      </w:r>
      <w:r w:rsidR="005178A5" w:rsidRPr="00074B4A">
        <w:rPr>
          <w:rFonts w:eastAsia="MS Mincho"/>
          <w:color w:val="000000" w:themeColor="text1"/>
        </w:rPr>
        <w:t xml:space="preserve"> there</w:t>
      </w:r>
      <w:r w:rsidR="00AF3BB1" w:rsidRPr="00074B4A">
        <w:rPr>
          <w:rFonts w:eastAsia="MS Mincho"/>
          <w:color w:val="000000" w:themeColor="text1"/>
        </w:rPr>
        <w:t xml:space="preserve">. </w:t>
      </w:r>
      <w:r w:rsidR="008218B9" w:rsidRPr="00074B4A">
        <w:rPr>
          <w:color w:val="000000" w:themeColor="text1"/>
        </w:rPr>
        <w:t>Sub-regions were included in the Wet Tropics NRM to more closely align reefs with the combined catchments of; the Barron and Daintree rivers, the Johnstone and Russell-Mulgrave Rivers, and the Herbert and Tully rivers</w:t>
      </w:r>
    </w:p>
    <w:p w14:paraId="11EA8C21" w14:textId="77777777" w:rsidR="00944204" w:rsidRPr="00F439FB" w:rsidRDefault="00FE4FD7" w:rsidP="00B9528B">
      <w:pPr>
        <w:pStyle w:val="Heading3"/>
      </w:pPr>
      <w:bookmarkStart w:id="55" w:name="_Toc493153294"/>
      <w:r w:rsidRPr="00F439FB">
        <w:t xml:space="preserve">4.1.1 </w:t>
      </w:r>
      <w:r w:rsidR="00944204" w:rsidRPr="00F439FB">
        <w:t>Site Selection</w:t>
      </w:r>
      <w:bookmarkEnd w:id="55"/>
    </w:p>
    <w:p w14:paraId="11EA8C22" w14:textId="71989B28" w:rsidR="00944204" w:rsidRPr="00074B4A" w:rsidRDefault="00A525C1" w:rsidP="00944204">
      <w:pPr>
        <w:rPr>
          <w:color w:val="000000" w:themeColor="text1"/>
        </w:rPr>
      </w:pPr>
      <w:r>
        <w:rPr>
          <w:color w:val="000000" w:themeColor="text1"/>
        </w:rPr>
        <w:t xml:space="preserve">Initial selection of sites was jointly decided by an </w:t>
      </w:r>
      <w:r w:rsidR="00944204" w:rsidRPr="00074B4A">
        <w:rPr>
          <w:color w:val="000000" w:themeColor="text1"/>
        </w:rPr>
        <w:t xml:space="preserve">expert panel </w:t>
      </w:r>
      <w:r>
        <w:rPr>
          <w:color w:val="000000" w:themeColor="text1"/>
        </w:rPr>
        <w:t xml:space="preserve">chaired by </w:t>
      </w:r>
      <w:r w:rsidR="00944204" w:rsidRPr="00074B4A">
        <w:rPr>
          <w:color w:val="000000" w:themeColor="text1"/>
        </w:rPr>
        <w:t>the GBRM</w:t>
      </w:r>
      <w:r w:rsidR="00074B4A" w:rsidRPr="00074B4A">
        <w:rPr>
          <w:color w:val="000000" w:themeColor="text1"/>
        </w:rPr>
        <w:t>PA</w:t>
      </w:r>
      <w:r w:rsidR="00944204" w:rsidRPr="00074B4A">
        <w:rPr>
          <w:color w:val="000000" w:themeColor="text1"/>
        </w:rPr>
        <w:t>. The selection was based upon two primary considerations:</w:t>
      </w:r>
    </w:p>
    <w:p w14:paraId="11EA8C23" w14:textId="67F203AD" w:rsidR="00944204" w:rsidRPr="00074B4A" w:rsidRDefault="008218B9" w:rsidP="003E15B2">
      <w:pPr>
        <w:numPr>
          <w:ilvl w:val="0"/>
          <w:numId w:val="2"/>
        </w:numPr>
        <w:tabs>
          <w:tab w:val="clear" w:pos="720"/>
          <w:tab w:val="num" w:pos="360"/>
        </w:tabs>
        <w:ind w:left="360"/>
        <w:rPr>
          <w:color w:val="000000" w:themeColor="text1"/>
        </w:rPr>
      </w:pPr>
      <w:r w:rsidRPr="00074B4A">
        <w:rPr>
          <w:color w:val="000000" w:themeColor="text1"/>
        </w:rPr>
        <w:t>Within the Reef</w:t>
      </w:r>
      <w:r w:rsidR="00D72B67">
        <w:rPr>
          <w:color w:val="000000" w:themeColor="text1"/>
        </w:rPr>
        <w:t>,</w:t>
      </w:r>
      <w:r w:rsidRPr="00074B4A">
        <w:rPr>
          <w:color w:val="000000" w:themeColor="text1"/>
        </w:rPr>
        <w:t xml:space="preserve"> strong gradients in water quality </w:t>
      </w:r>
      <w:r w:rsidRPr="00074B4A">
        <w:rPr>
          <w:rFonts w:eastAsia="MS Mincho"/>
          <w:color w:val="000000" w:themeColor="text1"/>
        </w:rPr>
        <w:t xml:space="preserve">exist with distance from the coast and </w:t>
      </w:r>
      <w:r w:rsidRPr="00074B4A">
        <w:rPr>
          <w:rFonts w:ascii="Helvetica" w:hAnsi="Helvetica" w:cs="Helvetica"/>
          <w:color w:val="000000" w:themeColor="text1"/>
          <w:szCs w:val="22"/>
        </w:rPr>
        <w:t>increasing distance from rivers</w:t>
      </w:r>
      <w:r w:rsidR="000B1196">
        <w:rPr>
          <w:rFonts w:ascii="Helvetica" w:hAnsi="Helvetica" w:cs="Helvetica"/>
          <w:color w:val="000000" w:themeColor="text1"/>
          <w:szCs w:val="22"/>
        </w:rPr>
        <w:t>, particularly</w:t>
      </w:r>
      <w:r w:rsidRPr="00074B4A">
        <w:rPr>
          <w:rFonts w:ascii="Helvetica" w:hAnsi="Helvetica" w:cs="Helvetica"/>
          <w:color w:val="000000" w:themeColor="text1"/>
          <w:szCs w:val="22"/>
        </w:rPr>
        <w:t xml:space="preserve"> in a northerly direction (Larcombe </w:t>
      </w:r>
      <w:r w:rsidRPr="00074B4A">
        <w:rPr>
          <w:rFonts w:ascii="Helvetica" w:hAnsi="Helvetica" w:cs="Helvetica"/>
          <w:i/>
          <w:color w:val="000000" w:themeColor="text1"/>
          <w:szCs w:val="22"/>
        </w:rPr>
        <w:t>et al.</w:t>
      </w:r>
      <w:r w:rsidRPr="00074B4A">
        <w:rPr>
          <w:rFonts w:ascii="Helvetica" w:hAnsi="Helvetica" w:cs="Helvetica"/>
          <w:color w:val="000000" w:themeColor="text1"/>
          <w:szCs w:val="22"/>
        </w:rPr>
        <w:t xml:space="preserve"> 1995, Brinkman </w:t>
      </w:r>
      <w:r w:rsidRPr="00074B4A">
        <w:rPr>
          <w:rFonts w:ascii="Helvetica" w:hAnsi="Helvetica" w:cs="Helvetica"/>
          <w:i/>
          <w:color w:val="000000" w:themeColor="text1"/>
          <w:szCs w:val="22"/>
        </w:rPr>
        <w:t>et al.</w:t>
      </w:r>
      <w:r w:rsidRPr="00074B4A">
        <w:rPr>
          <w:rFonts w:ascii="Helvetica" w:hAnsi="Helvetica" w:cs="Helvetica"/>
          <w:color w:val="000000" w:themeColor="text1"/>
          <w:szCs w:val="22"/>
        </w:rPr>
        <w:t xml:space="preserve"> 2011)</w:t>
      </w:r>
      <w:r w:rsidR="008774A5" w:rsidRPr="00074B4A">
        <w:rPr>
          <w:rFonts w:eastAsia="MS Mincho"/>
          <w:color w:val="000000" w:themeColor="text1"/>
        </w:rPr>
        <w:t xml:space="preserve">. </w:t>
      </w:r>
      <w:r w:rsidRPr="00074B4A">
        <w:rPr>
          <w:rFonts w:eastAsia="MS Mincho"/>
          <w:color w:val="000000" w:themeColor="text1"/>
        </w:rPr>
        <w:t>The selection of reefs for inclusion in the sampling design was informed by the desire to include reefs spanning these gradients so as to facilitate the teasing out of water quality associated impacts</w:t>
      </w:r>
      <w:r w:rsidR="00FC59EE">
        <w:rPr>
          <w:rFonts w:eastAsia="MS Mincho"/>
          <w:color w:val="000000" w:themeColor="text1"/>
        </w:rPr>
        <w:t>.</w:t>
      </w:r>
    </w:p>
    <w:p w14:paraId="11EA8C24" w14:textId="231178A8" w:rsidR="00944204" w:rsidRPr="00074B4A" w:rsidRDefault="00944204" w:rsidP="003E15B2">
      <w:pPr>
        <w:numPr>
          <w:ilvl w:val="0"/>
          <w:numId w:val="2"/>
        </w:numPr>
        <w:tabs>
          <w:tab w:val="clear" w:pos="720"/>
          <w:tab w:val="num" w:pos="360"/>
        </w:tabs>
        <w:ind w:left="360"/>
        <w:rPr>
          <w:color w:val="000000" w:themeColor="text1"/>
        </w:rPr>
      </w:pPr>
      <w:r w:rsidRPr="00074B4A">
        <w:rPr>
          <w:color w:val="000000" w:themeColor="text1"/>
        </w:rPr>
        <w:t xml:space="preserve">Sampling locations were selected where there was either an existing coral reef community or evidence (in the form of carbonate-based substratum) of past coral reef development. Exact locations were selected without prior investigation, once a section of reef had been identified that was of sufficient size to accommodate </w:t>
      </w:r>
      <w:r w:rsidR="00A525C1">
        <w:rPr>
          <w:color w:val="000000" w:themeColor="text1"/>
        </w:rPr>
        <w:t xml:space="preserve">the </w:t>
      </w:r>
      <w:r w:rsidRPr="00074B4A">
        <w:rPr>
          <w:color w:val="000000" w:themeColor="text1"/>
        </w:rPr>
        <w:t>sampling design a marker was deployed from the surface and transects established from this point.</w:t>
      </w:r>
    </w:p>
    <w:p w14:paraId="11EA8C25" w14:textId="011E2166" w:rsidR="009B342F" w:rsidRPr="00074B4A" w:rsidRDefault="00944204" w:rsidP="00944204">
      <w:pPr>
        <w:rPr>
          <w:color w:val="000000" w:themeColor="text1"/>
        </w:rPr>
      </w:pPr>
      <w:r w:rsidRPr="00074B4A">
        <w:rPr>
          <w:color w:val="000000" w:themeColor="text1"/>
        </w:rPr>
        <w:t xml:space="preserve">In the Wet Tropics region, where few reefs exist in the inshore zone and well-developed reefs existed on more than one aspect of an island, </w:t>
      </w:r>
      <w:r w:rsidR="008218B9" w:rsidRPr="00074B4A">
        <w:rPr>
          <w:color w:val="000000" w:themeColor="text1"/>
        </w:rPr>
        <w:t xml:space="preserve">separate </w:t>
      </w:r>
      <w:r w:rsidRPr="00074B4A">
        <w:rPr>
          <w:color w:val="000000" w:themeColor="text1"/>
        </w:rPr>
        <w:t xml:space="preserve">reefs </w:t>
      </w:r>
      <w:r w:rsidR="008218B9" w:rsidRPr="00074B4A">
        <w:rPr>
          <w:color w:val="000000" w:themeColor="text1"/>
        </w:rPr>
        <w:t xml:space="preserve">on windward and leeward aspects </w:t>
      </w:r>
      <w:r w:rsidRPr="00074B4A">
        <w:rPr>
          <w:color w:val="000000" w:themeColor="text1"/>
        </w:rPr>
        <w:t xml:space="preserve">were included in the design. Coral reef communities can be quite different on windward compared to leeward reefs even though the surrounding water quality is relatively similar. Differences in wave and current regimes determine whether materials, e.g. sediments, fresh water, nutrients or toxins imported by flood events, accumulate or disperse and hence determine the exposure of benthic communities to environmental stresses. A list of the selected reefs is presented in </w:t>
      </w:r>
      <w:r w:rsidR="004A2C55">
        <w:rPr>
          <w:color w:val="000000" w:themeColor="text1"/>
        </w:rPr>
        <w:fldChar w:fldCharType="begin"/>
      </w:r>
      <w:r w:rsidR="004A2C55">
        <w:rPr>
          <w:color w:val="000000" w:themeColor="text1"/>
        </w:rPr>
        <w:instrText xml:space="preserve"> REF _Ref491091079 \h </w:instrText>
      </w:r>
      <w:r w:rsidR="004A2C55">
        <w:rPr>
          <w:color w:val="000000" w:themeColor="text1"/>
        </w:rPr>
      </w:r>
      <w:r w:rsidR="004A2C55">
        <w:rPr>
          <w:color w:val="000000" w:themeColor="text1"/>
        </w:rPr>
        <w:fldChar w:fldCharType="separate"/>
      </w:r>
      <w:r w:rsidR="00D806F2">
        <w:t xml:space="preserve">Table </w:t>
      </w:r>
      <w:r w:rsidR="00D806F2">
        <w:rPr>
          <w:noProof/>
        </w:rPr>
        <w:t>1</w:t>
      </w:r>
      <w:r w:rsidR="004A2C55">
        <w:rPr>
          <w:color w:val="000000" w:themeColor="text1"/>
        </w:rPr>
        <w:fldChar w:fldCharType="end"/>
      </w:r>
      <w:r w:rsidR="004A2C55">
        <w:rPr>
          <w:color w:val="000000" w:themeColor="text1"/>
        </w:rPr>
        <w:t xml:space="preserve"> </w:t>
      </w:r>
      <w:r w:rsidRPr="00074B4A">
        <w:rPr>
          <w:color w:val="000000" w:themeColor="text1"/>
        </w:rPr>
        <w:t xml:space="preserve">and the geographic locations are shown in </w:t>
      </w:r>
      <w:r w:rsidR="004A2C55">
        <w:rPr>
          <w:color w:val="000000" w:themeColor="text1"/>
        </w:rPr>
        <w:fldChar w:fldCharType="begin"/>
      </w:r>
      <w:r w:rsidR="004A2C55">
        <w:rPr>
          <w:color w:val="000000" w:themeColor="text1"/>
        </w:rPr>
        <w:instrText xml:space="preserve"> REF _Ref491090953 \h </w:instrText>
      </w:r>
      <w:r w:rsidR="004A2C55">
        <w:rPr>
          <w:color w:val="000000" w:themeColor="text1"/>
        </w:rPr>
      </w:r>
      <w:r w:rsidR="004A2C55">
        <w:rPr>
          <w:color w:val="000000" w:themeColor="text1"/>
        </w:rPr>
        <w:fldChar w:fldCharType="separate"/>
      </w:r>
      <w:r w:rsidR="00D806F2">
        <w:t xml:space="preserve">Figure </w:t>
      </w:r>
      <w:r w:rsidR="00D806F2">
        <w:rPr>
          <w:noProof/>
        </w:rPr>
        <w:t>2</w:t>
      </w:r>
      <w:r w:rsidR="004A2C55">
        <w:rPr>
          <w:color w:val="000000" w:themeColor="text1"/>
        </w:rPr>
        <w:fldChar w:fldCharType="end"/>
      </w:r>
      <w:r w:rsidR="004A2C55">
        <w:rPr>
          <w:color w:val="000000" w:themeColor="text1"/>
        </w:rPr>
        <w:t xml:space="preserve"> </w:t>
      </w:r>
      <w:r w:rsidR="009B342F" w:rsidRPr="00074B4A">
        <w:rPr>
          <w:color w:val="000000" w:themeColor="text1"/>
        </w:rPr>
        <w:t xml:space="preserve">and </w:t>
      </w:r>
      <w:r w:rsidR="00FC59EE">
        <w:rPr>
          <w:color w:val="000000" w:themeColor="text1"/>
        </w:rPr>
        <w:t xml:space="preserve">in more detail </w:t>
      </w:r>
      <w:r w:rsidR="009B342F" w:rsidRPr="00074B4A">
        <w:rPr>
          <w:color w:val="000000" w:themeColor="text1"/>
        </w:rPr>
        <w:t>on maps within each (sub-) regional section</w:t>
      </w:r>
      <w:r w:rsidR="00074B4A" w:rsidRPr="00074B4A">
        <w:rPr>
          <w:color w:val="000000" w:themeColor="text1"/>
        </w:rPr>
        <w:t xml:space="preserve"> of the results</w:t>
      </w:r>
      <w:r w:rsidR="009B342F" w:rsidRPr="00074B4A">
        <w:rPr>
          <w:color w:val="000000" w:themeColor="text1"/>
        </w:rPr>
        <w:t>.</w:t>
      </w:r>
    </w:p>
    <w:p w14:paraId="11EA8C26" w14:textId="77777777" w:rsidR="0033239F" w:rsidRPr="00074B4A" w:rsidRDefault="00074B4A" w:rsidP="0033239F">
      <w:pPr>
        <w:rPr>
          <w:color w:val="000000" w:themeColor="text1"/>
        </w:rPr>
      </w:pPr>
      <w:r w:rsidRPr="00074B4A">
        <w:rPr>
          <w:color w:val="000000" w:themeColor="text1"/>
        </w:rPr>
        <w:t>Since the program began in 2005 t</w:t>
      </w:r>
      <w:r w:rsidR="0033239F" w:rsidRPr="00074B4A">
        <w:rPr>
          <w:color w:val="000000" w:themeColor="text1"/>
        </w:rPr>
        <w:t>here have been two changes to the selection of reefs sampled. In 2005 and 2006 three mainland fringing reef locations were sampled along the Daintree coast. Concerns over increasing crocodile populations in this area led to the cessation of sampling at these locations. In 2015 a revision of the marine water quality monitoring component of the MMP resulted in a concentration of sampling effort along a gradient away from the Tully River mouth. To better match the water quality sampling to the coral reef sampling in the Tully-Herbert sub-region a new reef site was initiated at Bedarra and sampl</w:t>
      </w:r>
      <w:r w:rsidR="008774A5" w:rsidRPr="00074B4A">
        <w:rPr>
          <w:color w:val="000000" w:themeColor="text1"/>
        </w:rPr>
        <w:t>ing at King Reef discontinued.</w:t>
      </w:r>
    </w:p>
    <w:p w14:paraId="11EA8C27" w14:textId="451F7E3B" w:rsidR="0033239F" w:rsidRPr="00A82A90" w:rsidRDefault="009B342F" w:rsidP="0033239F">
      <w:pPr>
        <w:rPr>
          <w:color w:val="000000" w:themeColor="text1"/>
        </w:rPr>
      </w:pPr>
      <w:r w:rsidRPr="00A82A90">
        <w:rPr>
          <w:color w:val="000000" w:themeColor="text1"/>
        </w:rPr>
        <w:t xml:space="preserve">In addition to reefs monitored by the MMP data from inshore reefs monitored by the AIMS long-term monitoring program </w:t>
      </w:r>
      <w:r w:rsidR="00FC59EE">
        <w:rPr>
          <w:color w:val="000000" w:themeColor="text1"/>
        </w:rPr>
        <w:t xml:space="preserve">(LTMP) </w:t>
      </w:r>
      <w:r w:rsidRPr="00A82A90">
        <w:rPr>
          <w:color w:val="000000" w:themeColor="text1"/>
        </w:rPr>
        <w:t>have been included in this report (</w:t>
      </w:r>
      <w:r w:rsidR="004A2C55">
        <w:rPr>
          <w:color w:val="000000" w:themeColor="text1"/>
        </w:rPr>
        <w:fldChar w:fldCharType="begin"/>
      </w:r>
      <w:r w:rsidR="004A2C55">
        <w:rPr>
          <w:color w:val="000000" w:themeColor="text1"/>
        </w:rPr>
        <w:instrText xml:space="preserve"> REF _Ref491091079 \h </w:instrText>
      </w:r>
      <w:r w:rsidR="004A2C55">
        <w:rPr>
          <w:color w:val="000000" w:themeColor="text1"/>
        </w:rPr>
      </w:r>
      <w:r w:rsidR="004A2C55">
        <w:rPr>
          <w:color w:val="000000" w:themeColor="text1"/>
        </w:rPr>
        <w:fldChar w:fldCharType="separate"/>
      </w:r>
      <w:r w:rsidR="00D806F2">
        <w:t xml:space="preserve">Table </w:t>
      </w:r>
      <w:r w:rsidR="00D806F2">
        <w:rPr>
          <w:noProof/>
        </w:rPr>
        <w:t>1</w:t>
      </w:r>
      <w:r w:rsidR="004A2C55">
        <w:rPr>
          <w:color w:val="000000" w:themeColor="text1"/>
        </w:rPr>
        <w:fldChar w:fldCharType="end"/>
      </w:r>
      <w:r w:rsidR="004A2C55">
        <w:rPr>
          <w:color w:val="000000" w:themeColor="text1"/>
        </w:rPr>
        <w:t xml:space="preserve">, </w:t>
      </w:r>
      <w:r w:rsidR="004A2C55">
        <w:rPr>
          <w:color w:val="000000" w:themeColor="text1"/>
        </w:rPr>
        <w:fldChar w:fldCharType="begin"/>
      </w:r>
      <w:r w:rsidR="004A2C55">
        <w:rPr>
          <w:color w:val="000000" w:themeColor="text1"/>
        </w:rPr>
        <w:instrText xml:space="preserve"> REF _Ref491090713 \h </w:instrText>
      </w:r>
      <w:r w:rsidR="004A2C55">
        <w:rPr>
          <w:color w:val="000000" w:themeColor="text1"/>
        </w:rPr>
      </w:r>
      <w:r w:rsidR="004A2C55">
        <w:rPr>
          <w:color w:val="000000" w:themeColor="text1"/>
        </w:rPr>
        <w:fldChar w:fldCharType="separate"/>
      </w:r>
      <w:r w:rsidR="00D806F2">
        <w:t xml:space="preserve">Figure </w:t>
      </w:r>
      <w:r w:rsidR="00D806F2">
        <w:rPr>
          <w:noProof/>
        </w:rPr>
        <w:t>1</w:t>
      </w:r>
      <w:r w:rsidR="004A2C55">
        <w:rPr>
          <w:color w:val="000000" w:themeColor="text1"/>
        </w:rPr>
        <w:fldChar w:fldCharType="end"/>
      </w:r>
      <w:r w:rsidRPr="00A82A90">
        <w:rPr>
          <w:color w:val="000000" w:themeColor="text1"/>
        </w:rPr>
        <w:t xml:space="preserve">). </w:t>
      </w:r>
      <w:r w:rsidR="00A82A90" w:rsidRPr="00A82A90">
        <w:rPr>
          <w:color w:val="000000" w:themeColor="text1"/>
        </w:rPr>
        <w:t>A</w:t>
      </w:r>
      <w:r w:rsidR="0033239F" w:rsidRPr="00A82A90">
        <w:rPr>
          <w:color w:val="000000" w:themeColor="text1"/>
        </w:rPr>
        <w:t xml:space="preserve">s the MMP sites at Middle </w:t>
      </w:r>
      <w:r w:rsidR="00FC59EE">
        <w:rPr>
          <w:color w:val="000000" w:themeColor="text1"/>
        </w:rPr>
        <w:t>R</w:t>
      </w:r>
      <w:r w:rsidR="0033239F" w:rsidRPr="00A82A90">
        <w:rPr>
          <w:color w:val="000000" w:themeColor="text1"/>
        </w:rPr>
        <w:t>eef in the Burdekin region were co-located with LTMP sites this reef was also removed from the MMP sampling schedule in 2015.</w:t>
      </w:r>
      <w:r w:rsidR="00FC59EE">
        <w:rPr>
          <w:color w:val="000000" w:themeColor="text1"/>
        </w:rPr>
        <w:t xml:space="preserve"> </w:t>
      </w:r>
    </w:p>
    <w:p w14:paraId="11EA8C28" w14:textId="77777777" w:rsidR="009B342F" w:rsidRPr="00F439FB" w:rsidRDefault="009B342F" w:rsidP="009B342F">
      <w:pPr>
        <w:rPr>
          <w:color w:val="4F81BD" w:themeColor="accent1"/>
        </w:rPr>
      </w:pPr>
    </w:p>
    <w:p w14:paraId="11EA8C29" w14:textId="77777777" w:rsidR="009B342F" w:rsidRPr="00F439FB" w:rsidRDefault="009B342F" w:rsidP="00944204">
      <w:pPr>
        <w:rPr>
          <w:color w:val="4F81BD" w:themeColor="accent1"/>
        </w:rPr>
      </w:pPr>
    </w:p>
    <w:p w14:paraId="11EA8C2A" w14:textId="77777777" w:rsidR="00B815F5" w:rsidRPr="00F439FB" w:rsidRDefault="00B815F5" w:rsidP="00B815F5">
      <w:pPr>
        <w:rPr>
          <w:rStyle w:val="Heading4Char"/>
          <w:rFonts w:eastAsia="Times New Roman"/>
          <w:i w:val="0"/>
          <w:color w:val="4F81BD" w:themeColor="accent1"/>
          <w:szCs w:val="20"/>
          <w:lang w:eastAsia="en-AU"/>
        </w:rPr>
      </w:pPr>
      <w:r w:rsidRPr="00F439FB">
        <w:rPr>
          <w:noProof/>
          <w:color w:val="4F81BD" w:themeColor="accent1"/>
          <w:lang w:val="en-AU" w:eastAsia="en-AU"/>
        </w:rPr>
        <w:drawing>
          <wp:inline distT="0" distB="0" distL="0" distR="0" wp14:anchorId="11EAB253" wp14:editId="674BABE2">
            <wp:extent cx="5419344" cy="6577584"/>
            <wp:effectExtent l="0" t="0" r="0" b="0"/>
            <wp:docPr id="10" name="Picture 10" descr="Location of sites monitored by the MMP and LTMP as listed in Table 1." title="Figure 2 Sampling location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 24reefs for Angus plus LTMP [Converted].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419344" cy="6577584"/>
                    </a:xfrm>
                    <a:prstGeom prst="rect">
                      <a:avLst/>
                    </a:prstGeom>
                  </pic:spPr>
                </pic:pic>
              </a:graphicData>
            </a:graphic>
          </wp:inline>
        </w:drawing>
      </w:r>
    </w:p>
    <w:p w14:paraId="11EA8C2B" w14:textId="56BC7F8C" w:rsidR="00B815F5" w:rsidRPr="00FC59EE" w:rsidRDefault="004A2C55" w:rsidP="00F872DF">
      <w:pPr>
        <w:pStyle w:val="Caption"/>
        <w:rPr>
          <w:rStyle w:val="IntenseReference"/>
          <w:rFonts w:eastAsia="SimSun"/>
          <w:bCs w:val="0"/>
          <w:vanish/>
          <w:color w:val="auto"/>
        </w:rPr>
      </w:pPr>
      <w:bookmarkStart w:id="56" w:name="_Ref491090953"/>
      <w:bookmarkStart w:id="57" w:name="_Ref469988513"/>
      <w:bookmarkStart w:id="58" w:name="_Toc491846828"/>
      <w:r>
        <w:t xml:space="preserve">Figure </w:t>
      </w:r>
      <w:r>
        <w:fldChar w:fldCharType="begin"/>
      </w:r>
      <w:r>
        <w:instrText xml:space="preserve"> SEQ Figure \* ARABIC </w:instrText>
      </w:r>
      <w:r>
        <w:fldChar w:fldCharType="separate"/>
      </w:r>
      <w:r w:rsidR="00D806F2">
        <w:rPr>
          <w:noProof/>
        </w:rPr>
        <w:t>2</w:t>
      </w:r>
      <w:r>
        <w:fldChar w:fldCharType="end"/>
      </w:r>
      <w:bookmarkEnd w:id="56"/>
      <w:r>
        <w:t xml:space="preserve"> </w:t>
      </w:r>
      <w:r w:rsidRPr="004A451D">
        <w:t>Sampling locations of the MMP coral and water quality monitoring</w:t>
      </w:r>
      <w:r>
        <w:t>.</w:t>
      </w:r>
      <w:bookmarkEnd w:id="57"/>
      <w:bookmarkEnd w:id="58"/>
      <w:r w:rsidR="00B815F5" w:rsidRPr="00FC59EE">
        <w:rPr>
          <w:rStyle w:val="IntenseReference"/>
          <w:rFonts w:eastAsia="SimSun"/>
          <w:bCs w:val="0"/>
          <w:color w:val="auto"/>
        </w:rPr>
        <w:t xml:space="preserve"> </w:t>
      </w:r>
    </w:p>
    <w:p w14:paraId="11EA8C2C" w14:textId="77777777" w:rsidR="00B815F5" w:rsidRPr="00FC59EE" w:rsidRDefault="00B815F5" w:rsidP="00B815F5">
      <w:pPr>
        <w:rPr>
          <w:rStyle w:val="IntenseReference"/>
          <w:rFonts w:eastAsia="SimSun"/>
          <w:color w:val="auto"/>
        </w:rPr>
      </w:pPr>
      <w:r w:rsidRPr="00FC59EE">
        <w:rPr>
          <w:rStyle w:val="IntenseReference"/>
          <w:rFonts w:eastAsia="SimSun"/>
          <w:bCs w:val="0"/>
          <w:color w:val="auto"/>
        </w:rPr>
        <w:t xml:space="preserve">Table 1 (below) describes monitoring activities undertaken at each location. </w:t>
      </w:r>
      <w:r w:rsidRPr="00FC59EE">
        <w:rPr>
          <w:rStyle w:val="IntenseReference"/>
          <w:rFonts w:eastAsia="SimSun" w:cs="Arial"/>
          <w:color w:val="auto"/>
        </w:rPr>
        <w:t>NRM Region boundaries are represented by coloured catchment areas.</w:t>
      </w:r>
    </w:p>
    <w:p w14:paraId="11EA8C2D" w14:textId="77777777" w:rsidR="00156D38" w:rsidRPr="00F439FB" w:rsidRDefault="00156D38">
      <w:pPr>
        <w:jc w:val="left"/>
        <w:rPr>
          <w:color w:val="4F81BD" w:themeColor="accent1"/>
          <w:sz w:val="20"/>
        </w:rPr>
      </w:pPr>
      <w:r w:rsidRPr="00F439FB">
        <w:rPr>
          <w:color w:val="4F81BD" w:themeColor="accent1"/>
          <w:sz w:val="20"/>
        </w:rPr>
        <w:br w:type="page"/>
      </w:r>
    </w:p>
    <w:p w14:paraId="11EA8C2E" w14:textId="77777777" w:rsidR="00944204" w:rsidRPr="00F439FB" w:rsidRDefault="00FE4FD7" w:rsidP="00B9528B">
      <w:pPr>
        <w:pStyle w:val="Heading3"/>
      </w:pPr>
      <w:bookmarkStart w:id="59" w:name="_Toc493153295"/>
      <w:r w:rsidRPr="00F439FB">
        <w:t xml:space="preserve">4.1.2 </w:t>
      </w:r>
      <w:r w:rsidR="00944204" w:rsidRPr="00F439FB">
        <w:t>Depth Selection</w:t>
      </w:r>
      <w:bookmarkEnd w:id="59"/>
    </w:p>
    <w:p w14:paraId="11EA8C2F" w14:textId="4DED2095" w:rsidR="00944204" w:rsidRPr="00A82A90" w:rsidRDefault="00DF3C79" w:rsidP="00944204">
      <w:pPr>
        <w:rPr>
          <w:color w:val="000000" w:themeColor="text1"/>
        </w:rPr>
      </w:pPr>
      <w:r>
        <w:rPr>
          <w:color w:val="000000" w:themeColor="text1"/>
        </w:rPr>
        <w:t xml:space="preserve">Within the turbid inshore waters of the </w:t>
      </w:r>
      <w:r w:rsidR="006F21FE">
        <w:rPr>
          <w:color w:val="000000" w:themeColor="text1"/>
        </w:rPr>
        <w:t xml:space="preserve">Reef </w:t>
      </w:r>
      <w:r>
        <w:rPr>
          <w:color w:val="000000" w:themeColor="text1"/>
        </w:rPr>
        <w:t xml:space="preserve">the composition of coral communities varies strongly with depth as a result of differing exposure to pressures and disturbances </w:t>
      </w:r>
      <w:r w:rsidR="00944204" w:rsidRPr="00A82A90">
        <w:rPr>
          <w:color w:val="000000" w:themeColor="text1"/>
        </w:rPr>
        <w:t>(</w:t>
      </w:r>
      <w:r>
        <w:rPr>
          <w:color w:val="000000" w:themeColor="text1"/>
        </w:rPr>
        <w:t xml:space="preserve">e.g. </w:t>
      </w:r>
      <w:r w:rsidR="00944204" w:rsidRPr="00A82A90">
        <w:rPr>
          <w:color w:val="000000" w:themeColor="text1"/>
        </w:rPr>
        <w:t xml:space="preserve">Sweatman </w:t>
      </w:r>
      <w:r w:rsidR="00944204" w:rsidRPr="00A82A90">
        <w:rPr>
          <w:i/>
          <w:color w:val="000000" w:themeColor="text1"/>
        </w:rPr>
        <w:t>et al.</w:t>
      </w:r>
      <w:r w:rsidR="00944204" w:rsidRPr="00A82A90">
        <w:rPr>
          <w:color w:val="000000" w:themeColor="text1"/>
        </w:rPr>
        <w:t xml:space="preserve"> 2007)</w:t>
      </w:r>
      <w:r>
        <w:rPr>
          <w:color w:val="000000" w:themeColor="text1"/>
        </w:rPr>
        <w:t xml:space="preserve">. For the MMP transects were selected at two depths. </w:t>
      </w:r>
      <w:r w:rsidR="00944204" w:rsidRPr="00A82A90">
        <w:rPr>
          <w:color w:val="000000" w:themeColor="text1"/>
        </w:rPr>
        <w:t xml:space="preserve">The lower limit for the inshore coral surveys was selected at </w:t>
      </w:r>
      <w:r w:rsidR="00AA72A3">
        <w:rPr>
          <w:color w:val="000000" w:themeColor="text1"/>
        </w:rPr>
        <w:t>5 m</w:t>
      </w:r>
      <w:r w:rsidR="00575B10">
        <w:rPr>
          <w:color w:val="000000" w:themeColor="text1"/>
        </w:rPr>
        <w:t xml:space="preserve"> </w:t>
      </w:r>
      <w:r w:rsidR="00944204" w:rsidRPr="00A82A90">
        <w:rPr>
          <w:color w:val="000000" w:themeColor="text1"/>
        </w:rPr>
        <w:t>below datum, because coral communities rapidly diminish below this depth at many reefs</w:t>
      </w:r>
      <w:r>
        <w:rPr>
          <w:color w:val="000000" w:themeColor="text1"/>
        </w:rPr>
        <w:t xml:space="preserve">. A shallower depth of </w:t>
      </w:r>
      <w:r w:rsidR="00AA72A3">
        <w:rPr>
          <w:color w:val="000000" w:themeColor="text1"/>
        </w:rPr>
        <w:t>2 m</w:t>
      </w:r>
      <w:r w:rsidR="00575B10">
        <w:rPr>
          <w:color w:val="000000" w:themeColor="text1"/>
        </w:rPr>
        <w:t xml:space="preserve"> </w:t>
      </w:r>
      <w:r w:rsidR="00944204" w:rsidRPr="00A82A90">
        <w:rPr>
          <w:color w:val="000000" w:themeColor="text1"/>
        </w:rPr>
        <w:t xml:space="preserve">below datum was selected </w:t>
      </w:r>
      <w:r>
        <w:rPr>
          <w:color w:val="000000" w:themeColor="text1"/>
        </w:rPr>
        <w:t xml:space="preserve">as a compromise between a desire to sample the reef crest and </w:t>
      </w:r>
      <w:r w:rsidR="00944204" w:rsidRPr="00A82A90">
        <w:rPr>
          <w:color w:val="000000" w:themeColor="text1"/>
        </w:rPr>
        <w:t>logistical reasons, including the inability to use the photo technique in very shallow water, site markers creating a danger to navigation and difficulty in locating a depth contour on very shallow sloping substrata typical of reef flats. The AIMS LTMP sites are not as consistently depth defined as those of the MMP with most sites set in the range of 5-7</w:t>
      </w:r>
      <w:r w:rsidR="00575B10">
        <w:rPr>
          <w:color w:val="000000" w:themeColor="text1"/>
        </w:rPr>
        <w:t xml:space="preserve">m </w:t>
      </w:r>
      <w:r w:rsidR="00944204" w:rsidRPr="00A82A90">
        <w:rPr>
          <w:color w:val="000000" w:themeColor="text1"/>
        </w:rPr>
        <w:t>below LAT. Middle Reef is the exception with sites there at approximately 3</w:t>
      </w:r>
      <w:r w:rsidR="00575B10">
        <w:rPr>
          <w:color w:val="000000" w:themeColor="text1"/>
        </w:rPr>
        <w:t xml:space="preserve">m </w:t>
      </w:r>
      <w:r w:rsidR="00944204" w:rsidRPr="00A82A90">
        <w:rPr>
          <w:color w:val="000000" w:themeColor="text1"/>
        </w:rPr>
        <w:t>below LAT.</w:t>
      </w:r>
    </w:p>
    <w:p w14:paraId="11EA8C30" w14:textId="77777777" w:rsidR="00944204" w:rsidRPr="00F439FB" w:rsidRDefault="00FE4FD7" w:rsidP="00B9528B">
      <w:pPr>
        <w:pStyle w:val="Heading3"/>
      </w:pPr>
      <w:bookmarkStart w:id="60" w:name="_Toc493153296"/>
      <w:r w:rsidRPr="00F439FB">
        <w:t xml:space="preserve">4.1.3 </w:t>
      </w:r>
      <w:r w:rsidR="00944204" w:rsidRPr="00F439FB">
        <w:t>Site marking</w:t>
      </w:r>
      <w:bookmarkEnd w:id="60"/>
    </w:p>
    <w:p w14:paraId="11EA8C31" w14:textId="43A4A84C" w:rsidR="00E0160D" w:rsidRPr="00A82A90" w:rsidRDefault="00944204" w:rsidP="00F73646">
      <w:pPr>
        <w:rPr>
          <w:color w:val="000000" w:themeColor="text1"/>
        </w:rPr>
      </w:pPr>
      <w:r w:rsidRPr="00A82A90">
        <w:rPr>
          <w:color w:val="000000" w:themeColor="text1"/>
        </w:rPr>
        <w:t>At each reef</w:t>
      </w:r>
      <w:r w:rsidR="00F73646" w:rsidRPr="00A82A90">
        <w:rPr>
          <w:color w:val="000000" w:themeColor="text1"/>
        </w:rPr>
        <w:t xml:space="preserve"> </w:t>
      </w:r>
      <w:r w:rsidRPr="00A82A90">
        <w:rPr>
          <w:color w:val="000000" w:themeColor="text1"/>
        </w:rPr>
        <w:t>two sites separated by at least 25</w:t>
      </w:r>
      <w:r w:rsidR="00AA72A3">
        <w:rPr>
          <w:color w:val="000000" w:themeColor="text1"/>
        </w:rPr>
        <w:t>0 m</w:t>
      </w:r>
      <w:r w:rsidR="00575B10">
        <w:rPr>
          <w:color w:val="000000" w:themeColor="text1"/>
        </w:rPr>
        <w:t xml:space="preserve"> </w:t>
      </w:r>
      <w:r w:rsidRPr="00A82A90">
        <w:rPr>
          <w:color w:val="000000" w:themeColor="text1"/>
        </w:rPr>
        <w:t>were selected</w:t>
      </w:r>
      <w:r w:rsidR="009B342F" w:rsidRPr="00A82A90">
        <w:rPr>
          <w:color w:val="000000" w:themeColor="text1"/>
        </w:rPr>
        <w:t xml:space="preserve"> along a similar aspect</w:t>
      </w:r>
      <w:r w:rsidRPr="00A82A90">
        <w:rPr>
          <w:color w:val="000000" w:themeColor="text1"/>
        </w:rPr>
        <w:t>. These sites are permanently marked with steel fence posts at the beginning of each of five 2</w:t>
      </w:r>
      <w:r w:rsidR="00AA72A3">
        <w:rPr>
          <w:color w:val="000000" w:themeColor="text1"/>
        </w:rPr>
        <w:t>0 m</w:t>
      </w:r>
      <w:r w:rsidR="00575B10">
        <w:rPr>
          <w:color w:val="000000" w:themeColor="text1"/>
        </w:rPr>
        <w:t xml:space="preserve"> </w:t>
      </w:r>
      <w:r w:rsidRPr="00A82A90">
        <w:rPr>
          <w:color w:val="000000" w:themeColor="text1"/>
        </w:rPr>
        <w:t>transects and smaller (1</w:t>
      </w:r>
      <w:r w:rsidR="00AA72A3">
        <w:rPr>
          <w:color w:val="000000" w:themeColor="text1"/>
        </w:rPr>
        <w:t>0 m</w:t>
      </w:r>
      <w:r w:rsidRPr="00A82A90">
        <w:rPr>
          <w:color w:val="000000" w:themeColor="text1"/>
        </w:rPr>
        <w:t>m diameter) steel rods at the 1</w:t>
      </w:r>
      <w:r w:rsidR="00AA72A3">
        <w:rPr>
          <w:color w:val="000000" w:themeColor="text1"/>
        </w:rPr>
        <w:t>0 m</w:t>
      </w:r>
      <w:r w:rsidR="00575B10">
        <w:rPr>
          <w:color w:val="000000" w:themeColor="text1"/>
        </w:rPr>
        <w:t xml:space="preserve"> </w:t>
      </w:r>
      <w:r w:rsidRPr="00A82A90">
        <w:rPr>
          <w:color w:val="000000" w:themeColor="text1"/>
        </w:rPr>
        <w:t>mark and the end of each transect. Compass bearings and measured distances record the transect path between these permanent markers. Transects were set initially by running two 6</w:t>
      </w:r>
      <w:r w:rsidR="00AA72A3">
        <w:rPr>
          <w:color w:val="000000" w:themeColor="text1"/>
        </w:rPr>
        <w:t>0 m</w:t>
      </w:r>
      <w:r w:rsidR="00575B10">
        <w:rPr>
          <w:color w:val="000000" w:themeColor="text1"/>
        </w:rPr>
        <w:t xml:space="preserve"> </w:t>
      </w:r>
      <w:r w:rsidRPr="00A82A90">
        <w:rPr>
          <w:color w:val="000000" w:themeColor="text1"/>
        </w:rPr>
        <w:t xml:space="preserve">fibreglass tape measures out along the desired </w:t>
      </w:r>
      <w:r w:rsidR="00AA72A3">
        <w:rPr>
          <w:color w:val="000000" w:themeColor="text1"/>
        </w:rPr>
        <w:t>5 m</w:t>
      </w:r>
      <w:r w:rsidR="00575B10">
        <w:rPr>
          <w:color w:val="000000" w:themeColor="text1"/>
        </w:rPr>
        <w:t xml:space="preserve"> </w:t>
      </w:r>
      <w:r w:rsidRPr="00A82A90">
        <w:rPr>
          <w:color w:val="000000" w:themeColor="text1"/>
        </w:rPr>
        <w:t xml:space="preserve">or </w:t>
      </w:r>
      <w:r w:rsidR="00AA72A3">
        <w:rPr>
          <w:color w:val="000000" w:themeColor="text1"/>
        </w:rPr>
        <w:t>2 m</w:t>
      </w:r>
      <w:r w:rsidR="00575B10">
        <w:rPr>
          <w:color w:val="000000" w:themeColor="text1"/>
        </w:rPr>
        <w:t xml:space="preserve"> </w:t>
      </w:r>
      <w:r w:rsidRPr="00A82A90">
        <w:rPr>
          <w:color w:val="000000" w:themeColor="text1"/>
        </w:rPr>
        <w:t xml:space="preserve">depth contour. Digital depth gauges were used along with tide heights from the closest location included in ‘Seafarer Tides’ electronic tide charts produced by the Australian Hydrographic Service to set transects as close as possible to the desired depths of </w:t>
      </w:r>
      <w:r w:rsidR="00AA72A3">
        <w:rPr>
          <w:color w:val="000000" w:themeColor="text1"/>
        </w:rPr>
        <w:t>5 m</w:t>
      </w:r>
      <w:r w:rsidR="00575B10">
        <w:rPr>
          <w:color w:val="000000" w:themeColor="text1"/>
        </w:rPr>
        <w:t xml:space="preserve"> </w:t>
      </w:r>
      <w:r w:rsidRPr="00A82A90">
        <w:rPr>
          <w:color w:val="000000" w:themeColor="text1"/>
        </w:rPr>
        <w:t xml:space="preserve">and </w:t>
      </w:r>
      <w:r w:rsidR="00AA72A3">
        <w:rPr>
          <w:color w:val="000000" w:themeColor="text1"/>
        </w:rPr>
        <w:t>2 m</w:t>
      </w:r>
      <w:r w:rsidR="00575B10">
        <w:rPr>
          <w:color w:val="000000" w:themeColor="text1"/>
        </w:rPr>
        <w:t xml:space="preserve"> </w:t>
      </w:r>
      <w:r w:rsidRPr="00A82A90">
        <w:rPr>
          <w:color w:val="000000" w:themeColor="text1"/>
        </w:rPr>
        <w:t>below lowest astronomical tide (LAT). Consecutive 2</w:t>
      </w:r>
      <w:r w:rsidR="00AA72A3">
        <w:rPr>
          <w:color w:val="000000" w:themeColor="text1"/>
        </w:rPr>
        <w:t>0 m</w:t>
      </w:r>
      <w:r w:rsidR="00575B10">
        <w:rPr>
          <w:color w:val="000000" w:themeColor="text1"/>
        </w:rPr>
        <w:t xml:space="preserve"> </w:t>
      </w:r>
      <w:r w:rsidRPr="00A82A90">
        <w:rPr>
          <w:color w:val="000000" w:themeColor="text1"/>
        </w:rPr>
        <w:t>transects were separated by 5</w:t>
      </w:r>
      <w:r w:rsidR="00DF3C79">
        <w:rPr>
          <w:color w:val="000000" w:themeColor="text1"/>
        </w:rPr>
        <w:t xml:space="preserve"> </w:t>
      </w:r>
      <w:r w:rsidRPr="00A82A90">
        <w:rPr>
          <w:color w:val="000000" w:themeColor="text1"/>
        </w:rPr>
        <w:t>m. The position of the first picket of each site was recorded by GPS. Site directions and waypoints are stored electronically in AIMS databases.</w:t>
      </w:r>
      <w:r w:rsidR="00E0160D" w:rsidRPr="00A82A90">
        <w:rPr>
          <w:color w:val="000000" w:themeColor="text1"/>
        </w:rPr>
        <w:t xml:space="preserve"> </w:t>
      </w:r>
    </w:p>
    <w:p w14:paraId="11EA8C32" w14:textId="77777777" w:rsidR="009B342F" w:rsidRPr="00F439FB" w:rsidRDefault="00FE4FD7" w:rsidP="00B9528B">
      <w:pPr>
        <w:pStyle w:val="Heading3"/>
      </w:pPr>
      <w:bookmarkStart w:id="61" w:name="_Toc493153297"/>
      <w:r w:rsidRPr="00F439FB">
        <w:t xml:space="preserve">4.1.4 </w:t>
      </w:r>
      <w:r w:rsidR="009B342F" w:rsidRPr="00F439FB">
        <w:t xml:space="preserve">Sampling </w:t>
      </w:r>
      <w:r w:rsidR="00186731" w:rsidRPr="00F439FB">
        <w:t xml:space="preserve">timing and </w:t>
      </w:r>
      <w:r w:rsidR="009B342F" w:rsidRPr="00F439FB">
        <w:t>frequency</w:t>
      </w:r>
      <w:bookmarkEnd w:id="61"/>
    </w:p>
    <w:p w14:paraId="11EA8C33" w14:textId="4D5E2226" w:rsidR="00954B71" w:rsidRPr="00A82A90" w:rsidRDefault="009B342F" w:rsidP="009B342F">
      <w:pPr>
        <w:rPr>
          <w:color w:val="000000" w:themeColor="text1"/>
        </w:rPr>
      </w:pPr>
      <w:r w:rsidRPr="00A82A90">
        <w:rPr>
          <w:color w:val="000000" w:themeColor="text1"/>
        </w:rPr>
        <w:t>Coral reef surveys were undertaken predominantly over the months May-July as this allows the full influences of summer disturbances such as cyclones and bleaching events to be realised</w:t>
      </w:r>
      <w:r w:rsidR="004304DE" w:rsidRPr="00A82A90">
        <w:rPr>
          <w:color w:val="000000" w:themeColor="text1"/>
        </w:rPr>
        <w:t>. A</w:t>
      </w:r>
      <w:r w:rsidRPr="00A82A90">
        <w:rPr>
          <w:color w:val="000000" w:themeColor="text1"/>
        </w:rPr>
        <w:t>lthough the acute events occur over summer</w:t>
      </w:r>
      <w:r w:rsidR="003E5B8F">
        <w:rPr>
          <w:color w:val="000000" w:themeColor="text1"/>
        </w:rPr>
        <w:t>,</w:t>
      </w:r>
      <w:r w:rsidRPr="00A82A90">
        <w:rPr>
          <w:color w:val="000000" w:themeColor="text1"/>
        </w:rPr>
        <w:t xml:space="preserve"> the stress incurred can cause ongoing mortality for several months. The winter sampling also protects observers from potential risk from marine s</w:t>
      </w:r>
      <w:r w:rsidR="008774A5" w:rsidRPr="00A82A90">
        <w:rPr>
          <w:color w:val="000000" w:themeColor="text1"/>
        </w:rPr>
        <w:t>tingers over the summer months.</w:t>
      </w:r>
      <w:r w:rsidRPr="00A82A90">
        <w:rPr>
          <w:color w:val="000000" w:themeColor="text1"/>
        </w:rPr>
        <w:t xml:space="preserve"> The exception </w:t>
      </w:r>
      <w:r w:rsidR="00186731" w:rsidRPr="00A82A90">
        <w:rPr>
          <w:color w:val="000000" w:themeColor="text1"/>
        </w:rPr>
        <w:t>was</w:t>
      </w:r>
      <w:r w:rsidRPr="00A82A90">
        <w:rPr>
          <w:color w:val="000000" w:themeColor="text1"/>
        </w:rPr>
        <w:t xml:space="preserve"> Snapper Island where sampling occurred typically in the months August –</w:t>
      </w:r>
      <w:r w:rsidR="00DF3C79">
        <w:rPr>
          <w:color w:val="000000" w:themeColor="text1"/>
        </w:rPr>
        <w:t xml:space="preserve"> </w:t>
      </w:r>
      <w:r w:rsidRPr="00A82A90">
        <w:rPr>
          <w:color w:val="000000" w:themeColor="text1"/>
        </w:rPr>
        <w:t xml:space="preserve">October. </w:t>
      </w:r>
    </w:p>
    <w:p w14:paraId="11EA8C34" w14:textId="016782C8" w:rsidR="009B342F" w:rsidRPr="00A82A90" w:rsidRDefault="009B342F" w:rsidP="009B342F">
      <w:pPr>
        <w:rPr>
          <w:color w:val="000000" w:themeColor="text1"/>
        </w:rPr>
      </w:pPr>
      <w:r w:rsidRPr="00A82A90">
        <w:rPr>
          <w:color w:val="000000" w:themeColor="text1"/>
        </w:rPr>
        <w:t xml:space="preserve">The frequency of survey has changed </w:t>
      </w:r>
      <w:r w:rsidR="006E15E7">
        <w:rPr>
          <w:color w:val="000000" w:themeColor="text1"/>
        </w:rPr>
        <w:t>gradually over time</w:t>
      </w:r>
      <w:r w:rsidR="006E15E7" w:rsidRPr="00A82A90">
        <w:rPr>
          <w:color w:val="000000" w:themeColor="text1"/>
        </w:rPr>
        <w:t xml:space="preserve"> </w:t>
      </w:r>
      <w:r w:rsidR="00954B71" w:rsidRPr="00A82A90">
        <w:rPr>
          <w:color w:val="000000" w:themeColor="text1"/>
        </w:rPr>
        <w:t>due to bu</w:t>
      </w:r>
      <w:r w:rsidRPr="00A82A90">
        <w:rPr>
          <w:color w:val="000000" w:themeColor="text1"/>
        </w:rPr>
        <w:t>dgetary constraint</w:t>
      </w:r>
      <w:r w:rsidR="00954B71" w:rsidRPr="00A82A90">
        <w:rPr>
          <w:color w:val="000000" w:themeColor="text1"/>
        </w:rPr>
        <w:t>s</w:t>
      </w:r>
      <w:r w:rsidRPr="00A82A90">
        <w:rPr>
          <w:color w:val="000000" w:themeColor="text1"/>
        </w:rPr>
        <w:t>. In 2005 and 2006 all MMP reefs were surveyed. From 2007 through to 2014</w:t>
      </w:r>
      <w:r w:rsidR="00954B71" w:rsidRPr="00A82A90">
        <w:rPr>
          <w:color w:val="000000" w:themeColor="text1"/>
        </w:rPr>
        <w:t xml:space="preserve"> a</w:t>
      </w:r>
      <w:r w:rsidRPr="00A82A90">
        <w:rPr>
          <w:color w:val="000000" w:themeColor="text1"/>
        </w:rPr>
        <w:t xml:space="preserve"> subset of reefs at which there were </w:t>
      </w:r>
      <w:r w:rsidR="00954B71" w:rsidRPr="00A82A90">
        <w:rPr>
          <w:color w:val="000000" w:themeColor="text1"/>
        </w:rPr>
        <w:t>co-</w:t>
      </w:r>
      <w:r w:rsidRPr="00A82A90">
        <w:rPr>
          <w:color w:val="000000" w:themeColor="text1"/>
        </w:rPr>
        <w:t>locat</w:t>
      </w:r>
      <w:r w:rsidR="00CA29DC" w:rsidRPr="00A82A90">
        <w:rPr>
          <w:color w:val="000000" w:themeColor="text1"/>
        </w:rPr>
        <w:t>ed water sampling sites</w:t>
      </w:r>
      <w:r w:rsidR="00D52BB7">
        <w:rPr>
          <w:color w:val="000000" w:themeColor="text1"/>
        </w:rPr>
        <w:t xml:space="preserve">, </w:t>
      </w:r>
      <w:r w:rsidRPr="00A82A90">
        <w:rPr>
          <w:color w:val="000000" w:themeColor="text1"/>
        </w:rPr>
        <w:t>were classified as “core”</w:t>
      </w:r>
      <w:r w:rsidR="00954B71" w:rsidRPr="00A82A90">
        <w:rPr>
          <w:color w:val="000000" w:themeColor="text1"/>
        </w:rPr>
        <w:t xml:space="preserve"> reefs</w:t>
      </w:r>
      <w:r w:rsidR="00D52BB7">
        <w:rPr>
          <w:color w:val="000000" w:themeColor="text1"/>
        </w:rPr>
        <w:t>,</w:t>
      </w:r>
      <w:r w:rsidR="00954B71" w:rsidRPr="00A82A90">
        <w:rPr>
          <w:color w:val="000000" w:themeColor="text1"/>
        </w:rPr>
        <w:t xml:space="preserve"> and sampled</w:t>
      </w:r>
      <w:r w:rsidRPr="00A82A90">
        <w:rPr>
          <w:color w:val="000000" w:themeColor="text1"/>
        </w:rPr>
        <w:t xml:space="preserve"> annually</w:t>
      </w:r>
      <w:r w:rsidR="00954B71" w:rsidRPr="00A82A90">
        <w:rPr>
          <w:color w:val="000000" w:themeColor="text1"/>
        </w:rPr>
        <w:t>. T</w:t>
      </w:r>
      <w:r w:rsidRPr="00A82A90">
        <w:rPr>
          <w:color w:val="000000" w:themeColor="text1"/>
        </w:rPr>
        <w:t>he remaining reefs were classified as “cycle” and sampled only in altern</w:t>
      </w:r>
      <w:r w:rsidR="00954B71" w:rsidRPr="00A82A90">
        <w:rPr>
          <w:color w:val="000000" w:themeColor="text1"/>
        </w:rPr>
        <w:t>ate years with half sampled in o</w:t>
      </w:r>
      <w:r w:rsidRPr="00A82A90">
        <w:rPr>
          <w:color w:val="000000" w:themeColor="text1"/>
        </w:rPr>
        <w:t>dd numbered years (i.e. 2009,</w:t>
      </w:r>
      <w:r w:rsidR="00954B71" w:rsidRPr="00A82A90">
        <w:rPr>
          <w:color w:val="000000" w:themeColor="text1"/>
        </w:rPr>
        <w:t xml:space="preserve"> </w:t>
      </w:r>
      <w:r w:rsidR="00457EB1" w:rsidRPr="00A82A90">
        <w:rPr>
          <w:color w:val="000000" w:themeColor="text1"/>
        </w:rPr>
        <w:t>2011 &amp;</w:t>
      </w:r>
      <w:r w:rsidR="00954B71" w:rsidRPr="00A82A90">
        <w:rPr>
          <w:color w:val="000000" w:themeColor="text1"/>
        </w:rPr>
        <w:t xml:space="preserve"> </w:t>
      </w:r>
      <w:r w:rsidRPr="00A82A90">
        <w:rPr>
          <w:color w:val="000000" w:themeColor="text1"/>
        </w:rPr>
        <w:t>2013) and the remain</w:t>
      </w:r>
      <w:r w:rsidR="00954B71" w:rsidRPr="00A82A90">
        <w:rPr>
          <w:color w:val="000000" w:themeColor="text1"/>
        </w:rPr>
        <w:t>der</w:t>
      </w:r>
      <w:r w:rsidRPr="00A82A90">
        <w:rPr>
          <w:color w:val="000000" w:themeColor="text1"/>
        </w:rPr>
        <w:t xml:space="preserve"> in even numbered years. When an acute disturbance was suspected to have impacted cycle reefs during the preceding summer they were resurveyed irrespective of their odd or even year classification so as to gain the best estimate of the impact of the acute event and bookend the start of the recovery period. </w:t>
      </w:r>
      <w:r w:rsidR="003D3103">
        <w:rPr>
          <w:color w:val="000000" w:themeColor="text1"/>
        </w:rPr>
        <w:t>F</w:t>
      </w:r>
      <w:r w:rsidRPr="00A82A90">
        <w:rPr>
          <w:color w:val="000000" w:themeColor="text1"/>
        </w:rPr>
        <w:t>urther f</w:t>
      </w:r>
      <w:r w:rsidR="003D3103">
        <w:rPr>
          <w:color w:val="000000" w:themeColor="text1"/>
        </w:rPr>
        <w:t xml:space="preserve">unding reductions necessitated the adoption of a biennial sampling cycle for all </w:t>
      </w:r>
      <w:r w:rsidRPr="00A82A90">
        <w:rPr>
          <w:color w:val="000000" w:themeColor="text1"/>
        </w:rPr>
        <w:t>reefs</w:t>
      </w:r>
      <w:r w:rsidR="003D3103">
        <w:rPr>
          <w:color w:val="000000" w:themeColor="text1"/>
        </w:rPr>
        <w:t xml:space="preserve">, </w:t>
      </w:r>
      <w:r w:rsidR="003E5B8F">
        <w:rPr>
          <w:color w:val="000000" w:themeColor="text1"/>
        </w:rPr>
        <w:t>al</w:t>
      </w:r>
      <w:r w:rsidR="003D3103">
        <w:rPr>
          <w:color w:val="000000" w:themeColor="text1"/>
        </w:rPr>
        <w:t>though</w:t>
      </w:r>
      <w:r w:rsidRPr="00A82A90">
        <w:rPr>
          <w:color w:val="000000" w:themeColor="text1"/>
        </w:rPr>
        <w:t xml:space="preserve"> a contingency</w:t>
      </w:r>
      <w:r w:rsidR="00162AE6" w:rsidRPr="00A82A90">
        <w:rPr>
          <w:color w:val="000000" w:themeColor="text1"/>
        </w:rPr>
        <w:t xml:space="preserve"> for the out-of-</w:t>
      </w:r>
      <w:r w:rsidRPr="00A82A90">
        <w:rPr>
          <w:color w:val="000000" w:themeColor="text1"/>
        </w:rPr>
        <w:t>phase resampling of reefs impacted by acute disturbance was maintained.</w:t>
      </w:r>
      <w:r w:rsidR="00A82A90">
        <w:rPr>
          <w:color w:val="000000" w:themeColor="text1"/>
        </w:rPr>
        <w:t xml:space="preserve"> In 2016 </w:t>
      </w:r>
      <w:r w:rsidR="003E5B8F">
        <w:rPr>
          <w:color w:val="000000" w:themeColor="text1"/>
        </w:rPr>
        <w:t>all out-of-</w:t>
      </w:r>
      <w:r w:rsidR="008A1C10">
        <w:rPr>
          <w:color w:val="000000" w:themeColor="text1"/>
        </w:rPr>
        <w:t xml:space="preserve">cycle reefs in the Wet Tropics and Burdekin Regions </w:t>
      </w:r>
      <w:r w:rsidR="003D3103">
        <w:rPr>
          <w:color w:val="000000" w:themeColor="text1"/>
        </w:rPr>
        <w:t xml:space="preserve">were scheduled for contingency sampling </w:t>
      </w:r>
      <w:r w:rsidR="008A1C10">
        <w:rPr>
          <w:color w:val="000000" w:themeColor="text1"/>
        </w:rPr>
        <w:t xml:space="preserve">to assess the impact of coral bleaching. Based on repeated observation of limited bleaching on reefs in the Wet Tropics one reef “Barnards” was not resurveyed. In the Keppels region the sampling of Peak </w:t>
      </w:r>
      <w:r w:rsidR="003D3103">
        <w:rPr>
          <w:color w:val="000000" w:themeColor="text1"/>
        </w:rPr>
        <w:t>(</w:t>
      </w:r>
      <w:r w:rsidR="008A1C10">
        <w:rPr>
          <w:color w:val="000000" w:themeColor="text1"/>
        </w:rPr>
        <w:t>scheduled for sampling) was swapped with Pelican (not scheduled) due to our inability to survey as a result of very poor (&lt;1</w:t>
      </w:r>
      <w:r w:rsidR="003D3103">
        <w:rPr>
          <w:color w:val="000000" w:themeColor="text1"/>
        </w:rPr>
        <w:t xml:space="preserve"> </w:t>
      </w:r>
      <w:r w:rsidR="008A1C10">
        <w:rPr>
          <w:color w:val="000000" w:themeColor="text1"/>
        </w:rPr>
        <w:t xml:space="preserve">m) underwater visibility encountered at Peak on two consecutive </w:t>
      </w:r>
      <w:r w:rsidR="003E5B8F">
        <w:rPr>
          <w:color w:val="000000" w:themeColor="text1"/>
        </w:rPr>
        <w:t xml:space="preserve">survey </w:t>
      </w:r>
      <w:r w:rsidR="008A1C10">
        <w:rPr>
          <w:color w:val="000000" w:themeColor="text1"/>
        </w:rPr>
        <w:t>attempts.</w:t>
      </w:r>
      <w:r w:rsidR="00E75F5C">
        <w:rPr>
          <w:color w:val="000000" w:themeColor="text1"/>
        </w:rPr>
        <w:t xml:space="preserve"> </w:t>
      </w:r>
    </w:p>
    <w:p w14:paraId="11EA8C35" w14:textId="77777777" w:rsidR="00DA550A" w:rsidRPr="00F439FB" w:rsidRDefault="00DA550A">
      <w:pPr>
        <w:jc w:val="left"/>
        <w:rPr>
          <w:rStyle w:val="Heading7Char"/>
          <w:rFonts w:eastAsia="SimSun"/>
          <w:color w:val="4F81BD" w:themeColor="accent1"/>
        </w:rPr>
      </w:pPr>
      <w:r w:rsidRPr="00F439FB">
        <w:rPr>
          <w:rStyle w:val="Heading7Char"/>
          <w:rFonts w:eastAsia="SimSun"/>
          <w:color w:val="4F81BD" w:themeColor="accent1"/>
        </w:rPr>
        <w:br w:type="page"/>
      </w:r>
    </w:p>
    <w:p w14:paraId="11EA8C36" w14:textId="478F8437" w:rsidR="00B815F5" w:rsidRPr="004A2C55" w:rsidRDefault="004A2C55" w:rsidP="004A2C55">
      <w:pPr>
        <w:pStyle w:val="Caption"/>
        <w:rPr>
          <w:rStyle w:val="IntenseReference"/>
          <w:rFonts w:eastAsia="SimSun"/>
        </w:rPr>
      </w:pPr>
      <w:bookmarkStart w:id="62" w:name="_Ref491091079"/>
      <w:bookmarkStart w:id="63" w:name="_Ref470179946"/>
      <w:bookmarkStart w:id="64" w:name="_Toc491847020"/>
      <w:r>
        <w:t xml:space="preserve">Table </w:t>
      </w:r>
      <w:r>
        <w:fldChar w:fldCharType="begin"/>
      </w:r>
      <w:r>
        <w:instrText xml:space="preserve"> SEQ Table \* ARABIC </w:instrText>
      </w:r>
      <w:r>
        <w:fldChar w:fldCharType="separate"/>
      </w:r>
      <w:r w:rsidR="00D806F2">
        <w:rPr>
          <w:noProof/>
        </w:rPr>
        <w:t>1</w:t>
      </w:r>
      <w:r>
        <w:fldChar w:fldCharType="end"/>
      </w:r>
      <w:bookmarkEnd w:id="62"/>
      <w:r>
        <w:t xml:space="preserve"> Sampling locations.</w:t>
      </w:r>
      <w:bookmarkEnd w:id="63"/>
      <w:r w:rsidR="00B815F5" w:rsidRPr="00381F62">
        <w:rPr>
          <w:rStyle w:val="IntenseReference"/>
          <w:rFonts w:eastAsia="SimSun"/>
          <w:color w:val="auto"/>
        </w:rPr>
        <w:t xml:space="preserve"> </w:t>
      </w:r>
      <w:r w:rsidR="005E5E4B" w:rsidRPr="004A2C55">
        <w:rPr>
          <w:rStyle w:val="IntenseReference"/>
          <w:rFonts w:eastAsia="SimSun"/>
        </w:rPr>
        <w:t xml:space="preserve">Black </w:t>
      </w:r>
      <w:r w:rsidR="0029591A" w:rsidRPr="004A2C55">
        <w:rPr>
          <w:rStyle w:val="IntenseReference"/>
          <w:rFonts w:eastAsia="SimSun"/>
        </w:rPr>
        <w:t>dots</w:t>
      </w:r>
      <w:r w:rsidR="005E5E4B" w:rsidRPr="004A2C55">
        <w:rPr>
          <w:rStyle w:val="IntenseReference"/>
          <w:rFonts w:eastAsia="SimSun"/>
        </w:rPr>
        <w:t xml:space="preserve"> mark reefs surveyed as per sampling design, </w:t>
      </w:r>
      <w:r w:rsidR="0029591A" w:rsidRPr="004A2C55">
        <w:rPr>
          <w:rStyle w:val="IntenseReference"/>
          <w:rFonts w:eastAsia="SimSun"/>
        </w:rPr>
        <w:t>the “+”</w:t>
      </w:r>
      <w:r w:rsidR="005E5E4B" w:rsidRPr="004A2C55">
        <w:rPr>
          <w:rStyle w:val="IntenseReference"/>
          <w:rFonts w:eastAsia="SimSun"/>
        </w:rPr>
        <w:t xml:space="preserve"> </w:t>
      </w:r>
      <w:r w:rsidR="0029591A" w:rsidRPr="004A2C55">
        <w:rPr>
          <w:rStyle w:val="IntenseReference"/>
          <w:rFonts w:eastAsia="SimSun"/>
        </w:rPr>
        <w:t xml:space="preserve">symbol indicates </w:t>
      </w:r>
      <w:r w:rsidR="005E5E4B" w:rsidRPr="004A2C55">
        <w:rPr>
          <w:rStyle w:val="IntenseReference"/>
          <w:rFonts w:eastAsia="SimSun"/>
        </w:rPr>
        <w:t xml:space="preserve">reefs </w:t>
      </w:r>
      <w:r w:rsidR="007612E6" w:rsidRPr="004A2C55">
        <w:rPr>
          <w:rStyle w:val="IntenseReference"/>
          <w:rFonts w:eastAsia="SimSun"/>
        </w:rPr>
        <w:t xml:space="preserve">surveyed </w:t>
      </w:r>
      <w:r w:rsidR="005E5E4B" w:rsidRPr="004A2C55">
        <w:rPr>
          <w:rStyle w:val="IntenseReference"/>
          <w:rFonts w:eastAsia="SimSun"/>
        </w:rPr>
        <w:t>out of schedule to assess disturbance</w:t>
      </w:r>
      <w:r w:rsidR="00B815F5" w:rsidRPr="004A2C55">
        <w:rPr>
          <w:rStyle w:val="IntenseReference"/>
          <w:rFonts w:eastAsia="SimSun"/>
        </w:rPr>
        <w:t>. At each reef surveys of juvenile coral densities, benthic cover estimates derived from photo point intercept transects and scuba searches for incidence of coral mortality are undertaken</w:t>
      </w:r>
      <w:r w:rsidR="00997278" w:rsidRPr="004A2C55">
        <w:rPr>
          <w:rStyle w:val="IntenseReference"/>
          <w:rFonts w:eastAsia="SimSun"/>
        </w:rPr>
        <w:t xml:space="preserve">. WQ, indicates reefs at which water quality monitoring is undertaken, * </w:t>
      </w:r>
      <w:r w:rsidR="00651AE0" w:rsidRPr="004A2C55">
        <w:rPr>
          <w:rStyle w:val="IntenseReference"/>
          <w:rFonts w:eastAsia="SimSun"/>
        </w:rPr>
        <w:t>indicates WQ was ceased in 2014, and ** indicates WQ was begun in 2015.</w:t>
      </w:r>
      <w:bookmarkEnd w:id="64"/>
      <w:r w:rsidR="00B815F5" w:rsidRPr="004A2C55">
        <w:rPr>
          <w:rStyle w:val="IntenseReference"/>
          <w:rFonts w:eastAsia="SimSun"/>
        </w:rPr>
        <w:t xml:space="preserve"> </w:t>
      </w:r>
    </w:p>
    <w:p w14:paraId="11EA8C37" w14:textId="77777777" w:rsidR="00117212" w:rsidRPr="00117212" w:rsidRDefault="00117212" w:rsidP="00117212">
      <w:pPr>
        <w:rPr>
          <w:rFonts w:eastAsia="SimSun"/>
        </w:rPr>
      </w:pPr>
    </w:p>
    <w:tbl>
      <w:tblPr>
        <w:tblStyle w:val="TableGrid"/>
        <w:tblW w:w="9923" w:type="dxa"/>
        <w:tblLayout w:type="fixed"/>
        <w:tblLook w:val="04A0" w:firstRow="1" w:lastRow="0" w:firstColumn="1" w:lastColumn="0" w:noHBand="0" w:noVBand="1"/>
      </w:tblPr>
      <w:tblGrid>
        <w:gridCol w:w="781"/>
        <w:gridCol w:w="1097"/>
        <w:gridCol w:w="2261"/>
        <w:gridCol w:w="813"/>
        <w:gridCol w:w="415"/>
        <w:gridCol w:w="414"/>
        <w:gridCol w:w="414"/>
        <w:gridCol w:w="414"/>
        <w:gridCol w:w="415"/>
        <w:gridCol w:w="414"/>
        <w:gridCol w:w="414"/>
        <w:gridCol w:w="414"/>
        <w:gridCol w:w="415"/>
        <w:gridCol w:w="414"/>
        <w:gridCol w:w="414"/>
        <w:gridCol w:w="414"/>
      </w:tblGrid>
      <w:tr w:rsidR="00381F62" w:rsidRPr="00381F62" w14:paraId="11EA8C48" w14:textId="77777777" w:rsidTr="00117212">
        <w:trPr>
          <w:cantSplit/>
          <w:trHeight w:val="1067"/>
          <w:tblHeader/>
        </w:trPr>
        <w:tc>
          <w:tcPr>
            <w:tcW w:w="781" w:type="dxa"/>
            <w:textDirection w:val="btLr"/>
            <w:vAlign w:val="center"/>
          </w:tcPr>
          <w:p w14:paraId="11EA8C38" w14:textId="77777777" w:rsidR="00082358" w:rsidRPr="00381F62" w:rsidRDefault="00082358" w:rsidP="00651AE0">
            <w:pPr>
              <w:ind w:left="113" w:right="113"/>
              <w:jc w:val="center"/>
              <w:rPr>
                <w:rStyle w:val="IntenseReference"/>
                <w:color w:val="auto"/>
              </w:rPr>
            </w:pPr>
            <w:r w:rsidRPr="00381F62">
              <w:rPr>
                <w:rStyle w:val="IntenseReference"/>
                <w:color w:val="auto"/>
              </w:rPr>
              <w:t>Region</w:t>
            </w:r>
          </w:p>
        </w:tc>
        <w:tc>
          <w:tcPr>
            <w:tcW w:w="1097" w:type="dxa"/>
            <w:textDirection w:val="btLr"/>
            <w:vAlign w:val="center"/>
          </w:tcPr>
          <w:p w14:paraId="11EA8C39" w14:textId="77777777" w:rsidR="00082358" w:rsidRPr="00381F62" w:rsidRDefault="00082358" w:rsidP="00651AE0">
            <w:pPr>
              <w:ind w:left="113" w:right="113"/>
              <w:jc w:val="center"/>
              <w:rPr>
                <w:rStyle w:val="IntenseReference"/>
                <w:color w:val="auto"/>
              </w:rPr>
            </w:pPr>
            <w:r w:rsidRPr="00381F62">
              <w:rPr>
                <w:rStyle w:val="IntenseReference"/>
                <w:color w:val="auto"/>
              </w:rPr>
              <w:t>Sub Region</w:t>
            </w:r>
          </w:p>
        </w:tc>
        <w:tc>
          <w:tcPr>
            <w:tcW w:w="2261" w:type="dxa"/>
            <w:vAlign w:val="center"/>
          </w:tcPr>
          <w:p w14:paraId="11EA8C3A" w14:textId="77777777" w:rsidR="00082358" w:rsidRPr="00381F62" w:rsidRDefault="00082358" w:rsidP="00651AE0">
            <w:pPr>
              <w:jc w:val="center"/>
              <w:rPr>
                <w:rStyle w:val="IntenseReference"/>
                <w:color w:val="auto"/>
              </w:rPr>
            </w:pPr>
            <w:r w:rsidRPr="00381F62">
              <w:rPr>
                <w:rStyle w:val="IntenseReference"/>
                <w:color w:val="auto"/>
              </w:rPr>
              <w:t>Reef</w:t>
            </w:r>
          </w:p>
        </w:tc>
        <w:tc>
          <w:tcPr>
            <w:tcW w:w="813" w:type="dxa"/>
            <w:textDirection w:val="btLr"/>
            <w:vAlign w:val="center"/>
          </w:tcPr>
          <w:p w14:paraId="11EA8C3B" w14:textId="77777777" w:rsidR="00082358" w:rsidRPr="00381F62" w:rsidRDefault="00082358" w:rsidP="00651AE0">
            <w:pPr>
              <w:ind w:left="113" w:right="113"/>
              <w:jc w:val="center"/>
              <w:rPr>
                <w:rStyle w:val="IntenseReference"/>
                <w:color w:val="auto"/>
              </w:rPr>
            </w:pPr>
            <w:r w:rsidRPr="00381F62">
              <w:rPr>
                <w:rStyle w:val="IntenseReference"/>
                <w:color w:val="auto"/>
              </w:rPr>
              <w:t>Program</w:t>
            </w:r>
          </w:p>
        </w:tc>
        <w:tc>
          <w:tcPr>
            <w:tcW w:w="415" w:type="dxa"/>
            <w:textDirection w:val="btLr"/>
            <w:vAlign w:val="center"/>
          </w:tcPr>
          <w:p w14:paraId="11EA8C3C" w14:textId="77777777" w:rsidR="00082358" w:rsidRPr="00381F62" w:rsidRDefault="00082358" w:rsidP="00651AE0">
            <w:pPr>
              <w:ind w:left="113" w:right="113"/>
              <w:jc w:val="center"/>
              <w:rPr>
                <w:rStyle w:val="IntenseReference"/>
                <w:color w:val="auto"/>
              </w:rPr>
            </w:pPr>
            <w:r w:rsidRPr="00381F62">
              <w:rPr>
                <w:rStyle w:val="IntenseReference"/>
                <w:color w:val="auto"/>
              </w:rPr>
              <w:t>2005</w:t>
            </w:r>
          </w:p>
        </w:tc>
        <w:tc>
          <w:tcPr>
            <w:tcW w:w="414" w:type="dxa"/>
            <w:textDirection w:val="btLr"/>
            <w:vAlign w:val="center"/>
          </w:tcPr>
          <w:p w14:paraId="11EA8C3D" w14:textId="77777777" w:rsidR="00082358" w:rsidRPr="00381F62" w:rsidRDefault="00082358" w:rsidP="00651AE0">
            <w:pPr>
              <w:ind w:left="113" w:right="113"/>
              <w:jc w:val="center"/>
              <w:rPr>
                <w:rStyle w:val="IntenseReference"/>
                <w:color w:val="auto"/>
              </w:rPr>
            </w:pPr>
            <w:r w:rsidRPr="00381F62">
              <w:rPr>
                <w:rStyle w:val="IntenseReference"/>
                <w:color w:val="auto"/>
              </w:rPr>
              <w:t>2006</w:t>
            </w:r>
          </w:p>
        </w:tc>
        <w:tc>
          <w:tcPr>
            <w:tcW w:w="414" w:type="dxa"/>
            <w:textDirection w:val="btLr"/>
            <w:vAlign w:val="center"/>
          </w:tcPr>
          <w:p w14:paraId="11EA8C3E" w14:textId="77777777" w:rsidR="00082358" w:rsidRPr="00381F62" w:rsidRDefault="00082358" w:rsidP="00651AE0">
            <w:pPr>
              <w:ind w:left="113" w:right="113"/>
              <w:jc w:val="center"/>
              <w:rPr>
                <w:rStyle w:val="IntenseReference"/>
                <w:color w:val="auto"/>
              </w:rPr>
            </w:pPr>
            <w:r w:rsidRPr="00381F62">
              <w:rPr>
                <w:rStyle w:val="IntenseReference"/>
                <w:color w:val="auto"/>
              </w:rPr>
              <w:t>2007</w:t>
            </w:r>
          </w:p>
        </w:tc>
        <w:tc>
          <w:tcPr>
            <w:tcW w:w="414" w:type="dxa"/>
            <w:textDirection w:val="btLr"/>
            <w:vAlign w:val="center"/>
          </w:tcPr>
          <w:p w14:paraId="11EA8C3F" w14:textId="77777777" w:rsidR="00082358" w:rsidRPr="00381F62" w:rsidRDefault="00082358" w:rsidP="00651AE0">
            <w:pPr>
              <w:ind w:left="113" w:right="113"/>
              <w:jc w:val="center"/>
              <w:rPr>
                <w:rStyle w:val="IntenseReference"/>
                <w:color w:val="auto"/>
              </w:rPr>
            </w:pPr>
            <w:r w:rsidRPr="00381F62">
              <w:rPr>
                <w:rStyle w:val="IntenseReference"/>
                <w:color w:val="auto"/>
              </w:rPr>
              <w:t>2008</w:t>
            </w:r>
          </w:p>
        </w:tc>
        <w:tc>
          <w:tcPr>
            <w:tcW w:w="415" w:type="dxa"/>
            <w:textDirection w:val="btLr"/>
            <w:vAlign w:val="center"/>
          </w:tcPr>
          <w:p w14:paraId="11EA8C40" w14:textId="77777777" w:rsidR="00082358" w:rsidRPr="00381F62" w:rsidRDefault="00082358" w:rsidP="00651AE0">
            <w:pPr>
              <w:ind w:left="113" w:right="113"/>
              <w:jc w:val="center"/>
              <w:rPr>
                <w:rStyle w:val="IntenseReference"/>
                <w:color w:val="auto"/>
              </w:rPr>
            </w:pPr>
            <w:r w:rsidRPr="00381F62">
              <w:rPr>
                <w:rStyle w:val="IntenseReference"/>
                <w:color w:val="auto"/>
              </w:rPr>
              <w:t>2009</w:t>
            </w:r>
          </w:p>
        </w:tc>
        <w:tc>
          <w:tcPr>
            <w:tcW w:w="414" w:type="dxa"/>
            <w:textDirection w:val="btLr"/>
            <w:vAlign w:val="center"/>
          </w:tcPr>
          <w:p w14:paraId="11EA8C41" w14:textId="77777777" w:rsidR="00082358" w:rsidRPr="00381F62" w:rsidRDefault="00082358" w:rsidP="00651AE0">
            <w:pPr>
              <w:ind w:left="113" w:right="113"/>
              <w:jc w:val="center"/>
              <w:rPr>
                <w:rStyle w:val="IntenseReference"/>
                <w:color w:val="auto"/>
              </w:rPr>
            </w:pPr>
            <w:r w:rsidRPr="00381F62">
              <w:rPr>
                <w:rStyle w:val="IntenseReference"/>
                <w:color w:val="auto"/>
              </w:rPr>
              <w:t>2010</w:t>
            </w:r>
          </w:p>
        </w:tc>
        <w:tc>
          <w:tcPr>
            <w:tcW w:w="414" w:type="dxa"/>
            <w:textDirection w:val="btLr"/>
            <w:vAlign w:val="center"/>
          </w:tcPr>
          <w:p w14:paraId="11EA8C42" w14:textId="77777777" w:rsidR="00082358" w:rsidRPr="00381F62" w:rsidRDefault="00082358" w:rsidP="00651AE0">
            <w:pPr>
              <w:ind w:left="113" w:right="113"/>
              <w:jc w:val="center"/>
              <w:rPr>
                <w:rStyle w:val="IntenseReference"/>
                <w:color w:val="auto"/>
              </w:rPr>
            </w:pPr>
            <w:r w:rsidRPr="00381F62">
              <w:rPr>
                <w:rStyle w:val="IntenseReference"/>
                <w:color w:val="auto"/>
              </w:rPr>
              <w:t>2011</w:t>
            </w:r>
          </w:p>
        </w:tc>
        <w:tc>
          <w:tcPr>
            <w:tcW w:w="414" w:type="dxa"/>
            <w:textDirection w:val="btLr"/>
            <w:vAlign w:val="center"/>
          </w:tcPr>
          <w:p w14:paraId="11EA8C43" w14:textId="77777777" w:rsidR="00082358" w:rsidRPr="00381F62" w:rsidRDefault="00082358" w:rsidP="00651AE0">
            <w:pPr>
              <w:ind w:left="113" w:right="113"/>
              <w:jc w:val="center"/>
              <w:rPr>
                <w:rStyle w:val="IntenseReference"/>
                <w:color w:val="auto"/>
              </w:rPr>
            </w:pPr>
            <w:r w:rsidRPr="00381F62">
              <w:rPr>
                <w:rStyle w:val="IntenseReference"/>
                <w:color w:val="auto"/>
              </w:rPr>
              <w:t>2012</w:t>
            </w:r>
          </w:p>
        </w:tc>
        <w:tc>
          <w:tcPr>
            <w:tcW w:w="415" w:type="dxa"/>
            <w:textDirection w:val="btLr"/>
            <w:vAlign w:val="center"/>
          </w:tcPr>
          <w:p w14:paraId="11EA8C44" w14:textId="77777777" w:rsidR="00082358" w:rsidRPr="00381F62" w:rsidRDefault="00082358" w:rsidP="00651AE0">
            <w:pPr>
              <w:ind w:left="113" w:right="113"/>
              <w:jc w:val="center"/>
              <w:rPr>
                <w:rStyle w:val="IntenseReference"/>
                <w:color w:val="auto"/>
              </w:rPr>
            </w:pPr>
            <w:r w:rsidRPr="00381F62">
              <w:rPr>
                <w:rStyle w:val="IntenseReference"/>
                <w:color w:val="auto"/>
              </w:rPr>
              <w:t>2013</w:t>
            </w:r>
          </w:p>
        </w:tc>
        <w:tc>
          <w:tcPr>
            <w:tcW w:w="414" w:type="dxa"/>
            <w:textDirection w:val="btLr"/>
            <w:vAlign w:val="center"/>
          </w:tcPr>
          <w:p w14:paraId="11EA8C45" w14:textId="77777777" w:rsidR="00082358" w:rsidRPr="00381F62" w:rsidRDefault="00082358" w:rsidP="00651AE0">
            <w:pPr>
              <w:ind w:left="113" w:right="113"/>
              <w:jc w:val="center"/>
              <w:rPr>
                <w:rStyle w:val="IntenseReference"/>
                <w:color w:val="auto"/>
              </w:rPr>
            </w:pPr>
            <w:r w:rsidRPr="00381F62">
              <w:rPr>
                <w:rStyle w:val="IntenseReference"/>
                <w:color w:val="auto"/>
              </w:rPr>
              <w:t>2014</w:t>
            </w:r>
          </w:p>
        </w:tc>
        <w:tc>
          <w:tcPr>
            <w:tcW w:w="414" w:type="dxa"/>
            <w:textDirection w:val="btLr"/>
            <w:vAlign w:val="center"/>
          </w:tcPr>
          <w:p w14:paraId="11EA8C46" w14:textId="77777777" w:rsidR="00082358" w:rsidRPr="00381F62" w:rsidRDefault="00082358" w:rsidP="00651AE0">
            <w:pPr>
              <w:ind w:left="113" w:right="113"/>
              <w:jc w:val="center"/>
              <w:rPr>
                <w:rStyle w:val="IntenseReference"/>
                <w:color w:val="auto"/>
              </w:rPr>
            </w:pPr>
            <w:r w:rsidRPr="00381F62">
              <w:rPr>
                <w:rStyle w:val="IntenseReference"/>
                <w:color w:val="auto"/>
              </w:rPr>
              <w:t>2015</w:t>
            </w:r>
          </w:p>
        </w:tc>
        <w:tc>
          <w:tcPr>
            <w:tcW w:w="414" w:type="dxa"/>
            <w:textDirection w:val="btLr"/>
          </w:tcPr>
          <w:p w14:paraId="11EA8C47" w14:textId="77777777" w:rsidR="00082358" w:rsidRPr="00381F62" w:rsidRDefault="00082358" w:rsidP="00651AE0">
            <w:pPr>
              <w:ind w:left="113" w:right="113"/>
              <w:jc w:val="center"/>
              <w:rPr>
                <w:rStyle w:val="IntenseReference"/>
                <w:color w:val="auto"/>
              </w:rPr>
            </w:pPr>
            <w:r w:rsidRPr="00381F62">
              <w:rPr>
                <w:rStyle w:val="IntenseReference"/>
                <w:color w:val="auto"/>
              </w:rPr>
              <w:t>2016</w:t>
            </w:r>
          </w:p>
        </w:tc>
      </w:tr>
      <w:tr w:rsidR="00381F62" w:rsidRPr="00381F62" w14:paraId="11EA8C59" w14:textId="77777777" w:rsidTr="00117212">
        <w:tc>
          <w:tcPr>
            <w:tcW w:w="781" w:type="dxa"/>
            <w:vMerge w:val="restart"/>
            <w:vAlign w:val="center"/>
          </w:tcPr>
          <w:p w14:paraId="11EA8C49" w14:textId="77777777" w:rsidR="00082358" w:rsidRPr="00381F62" w:rsidRDefault="00082358" w:rsidP="00613E31">
            <w:pPr>
              <w:jc w:val="center"/>
              <w:rPr>
                <w:rStyle w:val="IntenseReference"/>
                <w:color w:val="auto"/>
              </w:rPr>
            </w:pPr>
            <w:r w:rsidRPr="00381F62">
              <w:rPr>
                <w:rStyle w:val="IntenseReference"/>
                <w:color w:val="auto"/>
              </w:rPr>
              <w:t>Wet Tropics</w:t>
            </w:r>
          </w:p>
        </w:tc>
        <w:tc>
          <w:tcPr>
            <w:tcW w:w="1097" w:type="dxa"/>
            <w:vMerge w:val="restart"/>
            <w:vAlign w:val="center"/>
          </w:tcPr>
          <w:p w14:paraId="11EA8C4A" w14:textId="77777777" w:rsidR="00082358" w:rsidRPr="00381F62" w:rsidRDefault="00082358" w:rsidP="00613E31">
            <w:pPr>
              <w:jc w:val="center"/>
              <w:rPr>
                <w:rStyle w:val="IntenseReference"/>
                <w:color w:val="auto"/>
              </w:rPr>
            </w:pPr>
            <w:r w:rsidRPr="00381F62">
              <w:rPr>
                <w:rStyle w:val="IntenseReference"/>
                <w:color w:val="auto"/>
              </w:rPr>
              <w:t>Barron Daintree</w:t>
            </w:r>
          </w:p>
        </w:tc>
        <w:tc>
          <w:tcPr>
            <w:tcW w:w="2261" w:type="dxa"/>
            <w:vAlign w:val="bottom"/>
          </w:tcPr>
          <w:p w14:paraId="11EA8C4B" w14:textId="77777777" w:rsidR="00082358" w:rsidRPr="00381F62" w:rsidRDefault="00082358" w:rsidP="00B815F5">
            <w:pPr>
              <w:rPr>
                <w:rStyle w:val="IntenseReference"/>
                <w:color w:val="auto"/>
              </w:rPr>
            </w:pPr>
            <w:r w:rsidRPr="00381F62">
              <w:rPr>
                <w:rStyle w:val="IntenseReference"/>
                <w:color w:val="auto"/>
              </w:rPr>
              <w:t>Cape Tribulation North</w:t>
            </w:r>
          </w:p>
        </w:tc>
        <w:tc>
          <w:tcPr>
            <w:tcW w:w="813" w:type="dxa"/>
          </w:tcPr>
          <w:p w14:paraId="11EA8C4C"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C4D"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4E"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4F" w14:textId="77777777" w:rsidR="00082358" w:rsidRPr="00381F62" w:rsidRDefault="00082358" w:rsidP="00B815F5">
            <w:pPr>
              <w:rPr>
                <w:rFonts w:ascii="Arial Narrow" w:hAnsi="Arial Narrow" w:cs="Arial"/>
                <w:szCs w:val="22"/>
              </w:rPr>
            </w:pPr>
          </w:p>
        </w:tc>
        <w:tc>
          <w:tcPr>
            <w:tcW w:w="414" w:type="dxa"/>
          </w:tcPr>
          <w:p w14:paraId="11EA8C50" w14:textId="77777777" w:rsidR="00082358" w:rsidRPr="00381F62" w:rsidRDefault="00082358" w:rsidP="00B815F5">
            <w:pPr>
              <w:rPr>
                <w:rFonts w:ascii="Arial Narrow" w:hAnsi="Arial Narrow" w:cs="Arial"/>
                <w:szCs w:val="22"/>
              </w:rPr>
            </w:pPr>
          </w:p>
        </w:tc>
        <w:tc>
          <w:tcPr>
            <w:tcW w:w="415" w:type="dxa"/>
          </w:tcPr>
          <w:p w14:paraId="11EA8C51" w14:textId="77777777" w:rsidR="00082358" w:rsidRPr="00381F62" w:rsidRDefault="00082358" w:rsidP="00B815F5">
            <w:pPr>
              <w:rPr>
                <w:rFonts w:ascii="Arial Narrow" w:hAnsi="Arial Narrow" w:cs="Arial"/>
                <w:szCs w:val="22"/>
              </w:rPr>
            </w:pPr>
          </w:p>
        </w:tc>
        <w:tc>
          <w:tcPr>
            <w:tcW w:w="414" w:type="dxa"/>
          </w:tcPr>
          <w:p w14:paraId="11EA8C52" w14:textId="77777777" w:rsidR="00082358" w:rsidRPr="00381F62" w:rsidRDefault="00082358" w:rsidP="00B815F5">
            <w:pPr>
              <w:rPr>
                <w:rFonts w:ascii="Arial Narrow" w:hAnsi="Arial Narrow" w:cs="Arial"/>
                <w:szCs w:val="22"/>
              </w:rPr>
            </w:pPr>
          </w:p>
        </w:tc>
        <w:tc>
          <w:tcPr>
            <w:tcW w:w="414" w:type="dxa"/>
          </w:tcPr>
          <w:p w14:paraId="11EA8C53" w14:textId="77777777" w:rsidR="00082358" w:rsidRPr="00381F62" w:rsidRDefault="00082358" w:rsidP="00B815F5">
            <w:pPr>
              <w:rPr>
                <w:rFonts w:ascii="Arial Narrow" w:hAnsi="Arial Narrow" w:cs="Arial"/>
                <w:szCs w:val="22"/>
              </w:rPr>
            </w:pPr>
          </w:p>
        </w:tc>
        <w:tc>
          <w:tcPr>
            <w:tcW w:w="414" w:type="dxa"/>
          </w:tcPr>
          <w:p w14:paraId="11EA8C54" w14:textId="77777777" w:rsidR="00082358" w:rsidRPr="00381F62" w:rsidRDefault="00082358" w:rsidP="00B815F5">
            <w:pPr>
              <w:rPr>
                <w:rFonts w:ascii="Arial Narrow" w:hAnsi="Arial Narrow" w:cs="Arial"/>
                <w:szCs w:val="22"/>
              </w:rPr>
            </w:pPr>
          </w:p>
        </w:tc>
        <w:tc>
          <w:tcPr>
            <w:tcW w:w="415" w:type="dxa"/>
          </w:tcPr>
          <w:p w14:paraId="11EA8C55" w14:textId="77777777" w:rsidR="00082358" w:rsidRPr="00381F62" w:rsidRDefault="00082358" w:rsidP="00B815F5">
            <w:pPr>
              <w:rPr>
                <w:rFonts w:ascii="Arial Narrow" w:hAnsi="Arial Narrow" w:cs="Arial"/>
                <w:szCs w:val="22"/>
              </w:rPr>
            </w:pPr>
          </w:p>
        </w:tc>
        <w:tc>
          <w:tcPr>
            <w:tcW w:w="414" w:type="dxa"/>
          </w:tcPr>
          <w:p w14:paraId="11EA8C56" w14:textId="77777777" w:rsidR="00082358" w:rsidRPr="00381F62" w:rsidRDefault="00082358" w:rsidP="00B815F5">
            <w:pPr>
              <w:rPr>
                <w:rFonts w:ascii="Arial Narrow" w:hAnsi="Arial Narrow" w:cs="Arial"/>
                <w:szCs w:val="22"/>
              </w:rPr>
            </w:pPr>
          </w:p>
        </w:tc>
        <w:tc>
          <w:tcPr>
            <w:tcW w:w="414" w:type="dxa"/>
          </w:tcPr>
          <w:p w14:paraId="11EA8C57" w14:textId="77777777" w:rsidR="00082358" w:rsidRPr="00381F62" w:rsidRDefault="00082358" w:rsidP="00B815F5">
            <w:pPr>
              <w:rPr>
                <w:rFonts w:ascii="Arial Narrow" w:hAnsi="Arial Narrow" w:cs="Arial"/>
                <w:szCs w:val="22"/>
              </w:rPr>
            </w:pPr>
          </w:p>
        </w:tc>
        <w:tc>
          <w:tcPr>
            <w:tcW w:w="414" w:type="dxa"/>
          </w:tcPr>
          <w:p w14:paraId="11EA8C58" w14:textId="77777777" w:rsidR="00082358" w:rsidRPr="00381F62" w:rsidRDefault="00082358" w:rsidP="00B815F5">
            <w:pPr>
              <w:rPr>
                <w:rFonts w:ascii="Arial Narrow" w:hAnsi="Arial Narrow" w:cs="Arial"/>
                <w:szCs w:val="22"/>
              </w:rPr>
            </w:pPr>
          </w:p>
        </w:tc>
      </w:tr>
      <w:tr w:rsidR="00381F62" w:rsidRPr="00381F62" w14:paraId="11EA8C6A" w14:textId="77777777" w:rsidTr="00117212">
        <w:tc>
          <w:tcPr>
            <w:tcW w:w="781" w:type="dxa"/>
            <w:vMerge/>
            <w:vAlign w:val="center"/>
          </w:tcPr>
          <w:p w14:paraId="11EA8C5A" w14:textId="77777777" w:rsidR="00082358" w:rsidRPr="00381F62" w:rsidRDefault="00082358" w:rsidP="00613E31">
            <w:pPr>
              <w:jc w:val="center"/>
              <w:rPr>
                <w:rStyle w:val="IntenseReference"/>
                <w:color w:val="auto"/>
              </w:rPr>
            </w:pPr>
          </w:p>
        </w:tc>
        <w:tc>
          <w:tcPr>
            <w:tcW w:w="1097" w:type="dxa"/>
            <w:vMerge/>
            <w:vAlign w:val="center"/>
          </w:tcPr>
          <w:p w14:paraId="11EA8C5B" w14:textId="77777777" w:rsidR="00082358" w:rsidRPr="00381F62" w:rsidRDefault="00082358" w:rsidP="00613E31">
            <w:pPr>
              <w:jc w:val="center"/>
              <w:rPr>
                <w:rStyle w:val="IntenseReference"/>
                <w:color w:val="auto"/>
              </w:rPr>
            </w:pPr>
          </w:p>
        </w:tc>
        <w:tc>
          <w:tcPr>
            <w:tcW w:w="2261" w:type="dxa"/>
            <w:vAlign w:val="bottom"/>
          </w:tcPr>
          <w:p w14:paraId="11EA8C5C" w14:textId="77777777" w:rsidR="00082358" w:rsidRPr="00381F62" w:rsidRDefault="00082358" w:rsidP="00B815F5">
            <w:pPr>
              <w:rPr>
                <w:rStyle w:val="IntenseReference"/>
                <w:color w:val="auto"/>
              </w:rPr>
            </w:pPr>
            <w:r w:rsidRPr="00381F62">
              <w:rPr>
                <w:rStyle w:val="IntenseReference"/>
                <w:color w:val="auto"/>
              </w:rPr>
              <w:t>Cape Tribulation Mid</w:t>
            </w:r>
          </w:p>
        </w:tc>
        <w:tc>
          <w:tcPr>
            <w:tcW w:w="813" w:type="dxa"/>
          </w:tcPr>
          <w:p w14:paraId="11EA8C5D"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C5E"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5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60" w14:textId="77777777" w:rsidR="00082358" w:rsidRPr="00381F62" w:rsidRDefault="00082358" w:rsidP="00B815F5">
            <w:pPr>
              <w:rPr>
                <w:rFonts w:ascii="Arial Narrow" w:hAnsi="Arial Narrow" w:cs="Arial"/>
                <w:szCs w:val="22"/>
              </w:rPr>
            </w:pPr>
          </w:p>
        </w:tc>
        <w:tc>
          <w:tcPr>
            <w:tcW w:w="414" w:type="dxa"/>
          </w:tcPr>
          <w:p w14:paraId="11EA8C61" w14:textId="77777777" w:rsidR="00082358" w:rsidRPr="00381F62" w:rsidRDefault="00082358" w:rsidP="00B815F5">
            <w:pPr>
              <w:rPr>
                <w:rFonts w:ascii="Arial Narrow" w:hAnsi="Arial Narrow" w:cs="Arial"/>
                <w:szCs w:val="22"/>
              </w:rPr>
            </w:pPr>
          </w:p>
        </w:tc>
        <w:tc>
          <w:tcPr>
            <w:tcW w:w="415" w:type="dxa"/>
          </w:tcPr>
          <w:p w14:paraId="11EA8C62" w14:textId="77777777" w:rsidR="00082358" w:rsidRPr="00381F62" w:rsidRDefault="00082358" w:rsidP="00B815F5">
            <w:pPr>
              <w:rPr>
                <w:rFonts w:ascii="Arial Narrow" w:hAnsi="Arial Narrow" w:cs="Arial"/>
                <w:szCs w:val="22"/>
              </w:rPr>
            </w:pPr>
          </w:p>
        </w:tc>
        <w:tc>
          <w:tcPr>
            <w:tcW w:w="414" w:type="dxa"/>
          </w:tcPr>
          <w:p w14:paraId="11EA8C63" w14:textId="77777777" w:rsidR="00082358" w:rsidRPr="00381F62" w:rsidRDefault="00082358" w:rsidP="00B815F5">
            <w:pPr>
              <w:rPr>
                <w:rFonts w:ascii="Arial Narrow" w:hAnsi="Arial Narrow" w:cs="Arial"/>
                <w:szCs w:val="22"/>
              </w:rPr>
            </w:pPr>
          </w:p>
        </w:tc>
        <w:tc>
          <w:tcPr>
            <w:tcW w:w="414" w:type="dxa"/>
          </w:tcPr>
          <w:p w14:paraId="11EA8C64" w14:textId="77777777" w:rsidR="00082358" w:rsidRPr="00381F62" w:rsidRDefault="00082358" w:rsidP="00B815F5">
            <w:pPr>
              <w:rPr>
                <w:rFonts w:ascii="Arial Narrow" w:hAnsi="Arial Narrow" w:cs="Arial"/>
                <w:szCs w:val="22"/>
              </w:rPr>
            </w:pPr>
          </w:p>
        </w:tc>
        <w:tc>
          <w:tcPr>
            <w:tcW w:w="414" w:type="dxa"/>
          </w:tcPr>
          <w:p w14:paraId="11EA8C65" w14:textId="77777777" w:rsidR="00082358" w:rsidRPr="00381F62" w:rsidRDefault="00082358" w:rsidP="00B815F5">
            <w:pPr>
              <w:rPr>
                <w:rFonts w:ascii="Arial Narrow" w:hAnsi="Arial Narrow" w:cs="Arial"/>
                <w:szCs w:val="22"/>
              </w:rPr>
            </w:pPr>
          </w:p>
        </w:tc>
        <w:tc>
          <w:tcPr>
            <w:tcW w:w="415" w:type="dxa"/>
          </w:tcPr>
          <w:p w14:paraId="11EA8C66" w14:textId="77777777" w:rsidR="00082358" w:rsidRPr="00381F62" w:rsidRDefault="00082358" w:rsidP="00B815F5">
            <w:pPr>
              <w:rPr>
                <w:rFonts w:ascii="Arial Narrow" w:hAnsi="Arial Narrow" w:cs="Arial"/>
                <w:szCs w:val="22"/>
              </w:rPr>
            </w:pPr>
          </w:p>
        </w:tc>
        <w:tc>
          <w:tcPr>
            <w:tcW w:w="414" w:type="dxa"/>
          </w:tcPr>
          <w:p w14:paraId="11EA8C67" w14:textId="77777777" w:rsidR="00082358" w:rsidRPr="00381F62" w:rsidRDefault="00082358" w:rsidP="00B815F5">
            <w:pPr>
              <w:rPr>
                <w:rFonts w:ascii="Arial Narrow" w:hAnsi="Arial Narrow" w:cs="Arial"/>
                <w:szCs w:val="22"/>
              </w:rPr>
            </w:pPr>
          </w:p>
        </w:tc>
        <w:tc>
          <w:tcPr>
            <w:tcW w:w="414" w:type="dxa"/>
          </w:tcPr>
          <w:p w14:paraId="11EA8C68" w14:textId="77777777" w:rsidR="00082358" w:rsidRPr="00381F62" w:rsidRDefault="00082358" w:rsidP="00B815F5">
            <w:pPr>
              <w:rPr>
                <w:rFonts w:ascii="Arial Narrow" w:hAnsi="Arial Narrow" w:cs="Arial"/>
                <w:szCs w:val="22"/>
              </w:rPr>
            </w:pPr>
          </w:p>
        </w:tc>
        <w:tc>
          <w:tcPr>
            <w:tcW w:w="414" w:type="dxa"/>
          </w:tcPr>
          <w:p w14:paraId="11EA8C69" w14:textId="77777777" w:rsidR="00082358" w:rsidRPr="00381F62" w:rsidRDefault="00082358" w:rsidP="00B815F5">
            <w:pPr>
              <w:rPr>
                <w:rFonts w:ascii="Arial Narrow" w:hAnsi="Arial Narrow" w:cs="Arial"/>
                <w:szCs w:val="22"/>
              </w:rPr>
            </w:pPr>
          </w:p>
        </w:tc>
      </w:tr>
      <w:tr w:rsidR="00381F62" w:rsidRPr="00381F62" w14:paraId="11EA8C7B" w14:textId="77777777" w:rsidTr="00117212">
        <w:tc>
          <w:tcPr>
            <w:tcW w:w="781" w:type="dxa"/>
            <w:vMerge/>
            <w:vAlign w:val="center"/>
          </w:tcPr>
          <w:p w14:paraId="11EA8C6B" w14:textId="77777777" w:rsidR="00082358" w:rsidRPr="00381F62" w:rsidRDefault="00082358" w:rsidP="00613E31">
            <w:pPr>
              <w:jc w:val="center"/>
              <w:rPr>
                <w:rStyle w:val="IntenseReference"/>
                <w:color w:val="auto"/>
              </w:rPr>
            </w:pPr>
          </w:p>
        </w:tc>
        <w:tc>
          <w:tcPr>
            <w:tcW w:w="1097" w:type="dxa"/>
            <w:vMerge/>
            <w:vAlign w:val="center"/>
          </w:tcPr>
          <w:p w14:paraId="11EA8C6C" w14:textId="77777777" w:rsidR="00082358" w:rsidRPr="00381F62" w:rsidRDefault="00082358" w:rsidP="00613E31">
            <w:pPr>
              <w:jc w:val="center"/>
              <w:rPr>
                <w:rStyle w:val="IntenseReference"/>
                <w:color w:val="auto"/>
              </w:rPr>
            </w:pPr>
          </w:p>
        </w:tc>
        <w:tc>
          <w:tcPr>
            <w:tcW w:w="2261" w:type="dxa"/>
            <w:vAlign w:val="bottom"/>
          </w:tcPr>
          <w:p w14:paraId="11EA8C6D" w14:textId="77777777" w:rsidR="00082358" w:rsidRPr="00381F62" w:rsidRDefault="00082358" w:rsidP="00B815F5">
            <w:pPr>
              <w:rPr>
                <w:rStyle w:val="IntenseReference"/>
                <w:color w:val="auto"/>
              </w:rPr>
            </w:pPr>
            <w:r w:rsidRPr="00381F62">
              <w:rPr>
                <w:rStyle w:val="IntenseReference"/>
                <w:color w:val="auto"/>
              </w:rPr>
              <w:t>Cape Tribulation South</w:t>
            </w:r>
          </w:p>
        </w:tc>
        <w:tc>
          <w:tcPr>
            <w:tcW w:w="813" w:type="dxa"/>
          </w:tcPr>
          <w:p w14:paraId="11EA8C6E"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C6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7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71" w14:textId="77777777" w:rsidR="00082358" w:rsidRPr="00381F62" w:rsidRDefault="00082358" w:rsidP="00B815F5">
            <w:pPr>
              <w:rPr>
                <w:rFonts w:ascii="Arial Narrow" w:hAnsi="Arial Narrow" w:cs="Arial"/>
                <w:szCs w:val="22"/>
              </w:rPr>
            </w:pPr>
          </w:p>
        </w:tc>
        <w:tc>
          <w:tcPr>
            <w:tcW w:w="414" w:type="dxa"/>
          </w:tcPr>
          <w:p w14:paraId="11EA8C72" w14:textId="77777777" w:rsidR="00082358" w:rsidRPr="00381F62" w:rsidRDefault="00082358" w:rsidP="00B815F5">
            <w:pPr>
              <w:rPr>
                <w:rFonts w:ascii="Arial Narrow" w:hAnsi="Arial Narrow" w:cs="Arial"/>
                <w:szCs w:val="22"/>
              </w:rPr>
            </w:pPr>
          </w:p>
        </w:tc>
        <w:tc>
          <w:tcPr>
            <w:tcW w:w="415" w:type="dxa"/>
          </w:tcPr>
          <w:p w14:paraId="11EA8C73" w14:textId="77777777" w:rsidR="00082358" w:rsidRPr="00381F62" w:rsidRDefault="00082358" w:rsidP="00B815F5">
            <w:pPr>
              <w:rPr>
                <w:rFonts w:ascii="Arial Narrow" w:hAnsi="Arial Narrow" w:cs="Arial"/>
                <w:szCs w:val="22"/>
              </w:rPr>
            </w:pPr>
          </w:p>
        </w:tc>
        <w:tc>
          <w:tcPr>
            <w:tcW w:w="414" w:type="dxa"/>
          </w:tcPr>
          <w:p w14:paraId="11EA8C74" w14:textId="77777777" w:rsidR="00082358" w:rsidRPr="00381F62" w:rsidRDefault="00082358" w:rsidP="00B815F5">
            <w:pPr>
              <w:rPr>
                <w:rFonts w:ascii="Arial Narrow" w:hAnsi="Arial Narrow" w:cs="Arial"/>
                <w:szCs w:val="22"/>
              </w:rPr>
            </w:pPr>
          </w:p>
        </w:tc>
        <w:tc>
          <w:tcPr>
            <w:tcW w:w="414" w:type="dxa"/>
          </w:tcPr>
          <w:p w14:paraId="11EA8C75" w14:textId="77777777" w:rsidR="00082358" w:rsidRPr="00381F62" w:rsidRDefault="00082358" w:rsidP="00B815F5">
            <w:pPr>
              <w:rPr>
                <w:rFonts w:ascii="Arial Narrow" w:hAnsi="Arial Narrow" w:cs="Arial"/>
                <w:szCs w:val="22"/>
              </w:rPr>
            </w:pPr>
          </w:p>
        </w:tc>
        <w:tc>
          <w:tcPr>
            <w:tcW w:w="414" w:type="dxa"/>
          </w:tcPr>
          <w:p w14:paraId="11EA8C76" w14:textId="77777777" w:rsidR="00082358" w:rsidRPr="00381F62" w:rsidRDefault="00082358" w:rsidP="00B815F5">
            <w:pPr>
              <w:rPr>
                <w:rFonts w:ascii="Arial Narrow" w:hAnsi="Arial Narrow" w:cs="Arial"/>
                <w:szCs w:val="22"/>
              </w:rPr>
            </w:pPr>
          </w:p>
        </w:tc>
        <w:tc>
          <w:tcPr>
            <w:tcW w:w="415" w:type="dxa"/>
          </w:tcPr>
          <w:p w14:paraId="11EA8C77" w14:textId="77777777" w:rsidR="00082358" w:rsidRPr="00381F62" w:rsidRDefault="00082358" w:rsidP="00B815F5">
            <w:pPr>
              <w:rPr>
                <w:rFonts w:ascii="Arial Narrow" w:hAnsi="Arial Narrow" w:cs="Arial"/>
                <w:szCs w:val="22"/>
              </w:rPr>
            </w:pPr>
          </w:p>
        </w:tc>
        <w:tc>
          <w:tcPr>
            <w:tcW w:w="414" w:type="dxa"/>
          </w:tcPr>
          <w:p w14:paraId="11EA8C78" w14:textId="77777777" w:rsidR="00082358" w:rsidRPr="00381F62" w:rsidRDefault="00082358" w:rsidP="00B815F5">
            <w:pPr>
              <w:rPr>
                <w:rFonts w:ascii="Arial Narrow" w:hAnsi="Arial Narrow" w:cs="Arial"/>
                <w:szCs w:val="22"/>
              </w:rPr>
            </w:pPr>
          </w:p>
        </w:tc>
        <w:tc>
          <w:tcPr>
            <w:tcW w:w="414" w:type="dxa"/>
          </w:tcPr>
          <w:p w14:paraId="11EA8C79" w14:textId="77777777" w:rsidR="00082358" w:rsidRPr="00381F62" w:rsidRDefault="00082358" w:rsidP="00B815F5">
            <w:pPr>
              <w:rPr>
                <w:rFonts w:ascii="Arial Narrow" w:hAnsi="Arial Narrow" w:cs="Arial"/>
                <w:szCs w:val="22"/>
              </w:rPr>
            </w:pPr>
          </w:p>
        </w:tc>
        <w:tc>
          <w:tcPr>
            <w:tcW w:w="414" w:type="dxa"/>
          </w:tcPr>
          <w:p w14:paraId="11EA8C7A" w14:textId="77777777" w:rsidR="00082358" w:rsidRPr="00381F62" w:rsidRDefault="00082358" w:rsidP="00B815F5">
            <w:pPr>
              <w:rPr>
                <w:rFonts w:ascii="Arial Narrow" w:hAnsi="Arial Narrow" w:cs="Arial"/>
                <w:szCs w:val="22"/>
              </w:rPr>
            </w:pPr>
          </w:p>
        </w:tc>
      </w:tr>
      <w:tr w:rsidR="00381F62" w:rsidRPr="00381F62" w14:paraId="11EA8C8C" w14:textId="77777777" w:rsidTr="00117212">
        <w:tc>
          <w:tcPr>
            <w:tcW w:w="781" w:type="dxa"/>
            <w:vMerge/>
            <w:vAlign w:val="center"/>
          </w:tcPr>
          <w:p w14:paraId="11EA8C7C" w14:textId="77777777" w:rsidR="00082358" w:rsidRPr="00381F62" w:rsidRDefault="00082358" w:rsidP="00613E31">
            <w:pPr>
              <w:jc w:val="center"/>
              <w:rPr>
                <w:rStyle w:val="IntenseReference"/>
                <w:color w:val="auto"/>
              </w:rPr>
            </w:pPr>
          </w:p>
        </w:tc>
        <w:tc>
          <w:tcPr>
            <w:tcW w:w="1097" w:type="dxa"/>
            <w:vMerge/>
            <w:vAlign w:val="center"/>
          </w:tcPr>
          <w:p w14:paraId="11EA8C7D" w14:textId="77777777" w:rsidR="00082358" w:rsidRPr="00381F62" w:rsidRDefault="00082358" w:rsidP="00613E31">
            <w:pPr>
              <w:jc w:val="center"/>
              <w:rPr>
                <w:rStyle w:val="IntenseReference"/>
                <w:color w:val="auto"/>
              </w:rPr>
            </w:pPr>
          </w:p>
        </w:tc>
        <w:tc>
          <w:tcPr>
            <w:tcW w:w="2261" w:type="dxa"/>
            <w:vAlign w:val="bottom"/>
          </w:tcPr>
          <w:p w14:paraId="11EA8C7E" w14:textId="77777777" w:rsidR="00082358" w:rsidRPr="00381F62" w:rsidRDefault="00082358" w:rsidP="00B815F5">
            <w:pPr>
              <w:rPr>
                <w:rStyle w:val="IntenseReference"/>
                <w:color w:val="auto"/>
              </w:rPr>
            </w:pPr>
            <w:r w:rsidRPr="00381F62">
              <w:rPr>
                <w:rStyle w:val="IntenseReference"/>
                <w:color w:val="auto"/>
              </w:rPr>
              <w:t>Snapper North (WQ)</w:t>
            </w:r>
          </w:p>
        </w:tc>
        <w:tc>
          <w:tcPr>
            <w:tcW w:w="813" w:type="dxa"/>
          </w:tcPr>
          <w:p w14:paraId="11EA8C7F"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C8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8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82"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8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C84"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8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8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8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C8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8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8A"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8B" w14:textId="5AA1FAED" w:rsidR="00082358" w:rsidRPr="00381F62" w:rsidRDefault="0029591A" w:rsidP="00B815F5">
            <w:pPr>
              <w:rPr>
                <w:rFonts w:ascii="Arial Narrow" w:hAnsi="Arial Narrow" w:cs="Arial"/>
                <w:szCs w:val="22"/>
              </w:rPr>
            </w:pPr>
            <w:r w:rsidRPr="0029591A">
              <w:rPr>
                <w:rFonts w:ascii="Arial Narrow" w:hAnsi="Arial Narrow" w:cs="Arial"/>
                <w:b/>
                <w:color w:val="000000" w:themeColor="text1"/>
                <w:szCs w:val="22"/>
              </w:rPr>
              <w:t>+</w:t>
            </w:r>
          </w:p>
        </w:tc>
      </w:tr>
      <w:tr w:rsidR="00381F62" w:rsidRPr="00381F62" w14:paraId="11EA8C9D" w14:textId="77777777" w:rsidTr="00117212">
        <w:tc>
          <w:tcPr>
            <w:tcW w:w="781" w:type="dxa"/>
            <w:vMerge/>
            <w:vAlign w:val="center"/>
          </w:tcPr>
          <w:p w14:paraId="11EA8C8D" w14:textId="77777777" w:rsidR="00082358" w:rsidRPr="00381F62" w:rsidRDefault="00082358" w:rsidP="00613E31">
            <w:pPr>
              <w:jc w:val="center"/>
              <w:rPr>
                <w:rStyle w:val="IntenseReference"/>
                <w:color w:val="auto"/>
              </w:rPr>
            </w:pPr>
          </w:p>
        </w:tc>
        <w:tc>
          <w:tcPr>
            <w:tcW w:w="1097" w:type="dxa"/>
            <w:vMerge/>
            <w:vAlign w:val="center"/>
          </w:tcPr>
          <w:p w14:paraId="11EA8C8E" w14:textId="77777777" w:rsidR="00082358" w:rsidRPr="00381F62" w:rsidRDefault="00082358" w:rsidP="00613E31">
            <w:pPr>
              <w:jc w:val="center"/>
              <w:rPr>
                <w:rStyle w:val="IntenseReference"/>
                <w:color w:val="auto"/>
              </w:rPr>
            </w:pPr>
          </w:p>
        </w:tc>
        <w:tc>
          <w:tcPr>
            <w:tcW w:w="2261" w:type="dxa"/>
            <w:vAlign w:val="bottom"/>
          </w:tcPr>
          <w:p w14:paraId="11EA8C8F" w14:textId="77777777" w:rsidR="00082358" w:rsidRPr="00381F62" w:rsidRDefault="00082358" w:rsidP="00B815F5">
            <w:pPr>
              <w:rPr>
                <w:rStyle w:val="IntenseReference"/>
                <w:color w:val="auto"/>
              </w:rPr>
            </w:pPr>
            <w:r w:rsidRPr="00381F62">
              <w:rPr>
                <w:rStyle w:val="IntenseReference"/>
                <w:color w:val="auto"/>
              </w:rPr>
              <w:t>Snapper South</w:t>
            </w:r>
          </w:p>
        </w:tc>
        <w:tc>
          <w:tcPr>
            <w:tcW w:w="813" w:type="dxa"/>
          </w:tcPr>
          <w:p w14:paraId="11EA8C90"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C9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92"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9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94"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C9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9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9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9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C9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9A"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9B"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9C"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r>
      <w:tr w:rsidR="00381F62" w:rsidRPr="00381F62" w14:paraId="11EA8CAE" w14:textId="77777777" w:rsidTr="00117212">
        <w:tc>
          <w:tcPr>
            <w:tcW w:w="781" w:type="dxa"/>
            <w:vMerge/>
            <w:vAlign w:val="center"/>
          </w:tcPr>
          <w:p w14:paraId="11EA8C9E" w14:textId="77777777" w:rsidR="00082358" w:rsidRPr="00381F62" w:rsidRDefault="00082358" w:rsidP="00613E31">
            <w:pPr>
              <w:jc w:val="center"/>
              <w:rPr>
                <w:rStyle w:val="IntenseReference"/>
                <w:color w:val="auto"/>
              </w:rPr>
            </w:pPr>
          </w:p>
        </w:tc>
        <w:tc>
          <w:tcPr>
            <w:tcW w:w="1097" w:type="dxa"/>
            <w:vMerge/>
            <w:vAlign w:val="center"/>
          </w:tcPr>
          <w:p w14:paraId="11EA8C9F" w14:textId="77777777" w:rsidR="00082358" w:rsidRPr="00381F62" w:rsidRDefault="00082358" w:rsidP="00613E31">
            <w:pPr>
              <w:jc w:val="center"/>
              <w:rPr>
                <w:rStyle w:val="IntenseReference"/>
                <w:color w:val="auto"/>
              </w:rPr>
            </w:pPr>
          </w:p>
        </w:tc>
        <w:tc>
          <w:tcPr>
            <w:tcW w:w="2261" w:type="dxa"/>
            <w:vAlign w:val="bottom"/>
          </w:tcPr>
          <w:p w14:paraId="11EA8CA0" w14:textId="77777777" w:rsidR="00082358" w:rsidRPr="00381F62" w:rsidRDefault="00082358" w:rsidP="00B815F5">
            <w:pPr>
              <w:rPr>
                <w:rStyle w:val="IntenseReference"/>
                <w:color w:val="auto"/>
              </w:rPr>
            </w:pPr>
            <w:r w:rsidRPr="00381F62">
              <w:rPr>
                <w:rStyle w:val="IntenseReference"/>
                <w:color w:val="auto"/>
              </w:rPr>
              <w:t>Low Isles</w:t>
            </w:r>
          </w:p>
        </w:tc>
        <w:tc>
          <w:tcPr>
            <w:tcW w:w="813" w:type="dxa"/>
          </w:tcPr>
          <w:p w14:paraId="11EA8CA1" w14:textId="77777777" w:rsidR="00082358" w:rsidRPr="00381F62" w:rsidRDefault="00082358" w:rsidP="00B815F5">
            <w:pPr>
              <w:rPr>
                <w:rStyle w:val="IntenseReference"/>
                <w:color w:val="auto"/>
              </w:rPr>
            </w:pPr>
            <w:r w:rsidRPr="00381F62">
              <w:rPr>
                <w:rStyle w:val="IntenseReference"/>
                <w:color w:val="auto"/>
              </w:rPr>
              <w:t>LTMP</w:t>
            </w:r>
          </w:p>
        </w:tc>
        <w:tc>
          <w:tcPr>
            <w:tcW w:w="415" w:type="dxa"/>
          </w:tcPr>
          <w:p w14:paraId="11EA8CA2"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A3" w14:textId="77777777" w:rsidR="00082358" w:rsidRPr="00381F62" w:rsidRDefault="00082358" w:rsidP="00B815F5">
            <w:pPr>
              <w:rPr>
                <w:rFonts w:ascii="Arial Narrow" w:hAnsi="Arial Narrow" w:cs="Arial"/>
                <w:szCs w:val="22"/>
              </w:rPr>
            </w:pPr>
          </w:p>
        </w:tc>
        <w:tc>
          <w:tcPr>
            <w:tcW w:w="414" w:type="dxa"/>
          </w:tcPr>
          <w:p w14:paraId="11EA8CA4"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A5" w14:textId="77777777" w:rsidR="00082358" w:rsidRPr="00381F62" w:rsidRDefault="00082358" w:rsidP="00B815F5">
            <w:pPr>
              <w:rPr>
                <w:rFonts w:ascii="Arial Narrow" w:hAnsi="Arial Narrow" w:cs="Arial"/>
                <w:szCs w:val="22"/>
              </w:rPr>
            </w:pPr>
          </w:p>
        </w:tc>
        <w:tc>
          <w:tcPr>
            <w:tcW w:w="415" w:type="dxa"/>
          </w:tcPr>
          <w:p w14:paraId="11EA8CA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A7" w14:textId="77777777" w:rsidR="00082358" w:rsidRPr="00381F62" w:rsidRDefault="00082358" w:rsidP="00B815F5">
            <w:pPr>
              <w:rPr>
                <w:rFonts w:ascii="Arial Narrow" w:hAnsi="Arial Narrow" w:cs="Arial"/>
                <w:szCs w:val="22"/>
              </w:rPr>
            </w:pPr>
          </w:p>
        </w:tc>
        <w:tc>
          <w:tcPr>
            <w:tcW w:w="414" w:type="dxa"/>
          </w:tcPr>
          <w:p w14:paraId="11EA8CA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A9" w14:textId="77777777" w:rsidR="00082358" w:rsidRPr="00381F62" w:rsidRDefault="00082358" w:rsidP="00B815F5">
            <w:pPr>
              <w:rPr>
                <w:rFonts w:ascii="Arial Narrow" w:hAnsi="Arial Narrow" w:cs="Arial"/>
                <w:szCs w:val="22"/>
              </w:rPr>
            </w:pPr>
          </w:p>
        </w:tc>
        <w:tc>
          <w:tcPr>
            <w:tcW w:w="415" w:type="dxa"/>
          </w:tcPr>
          <w:p w14:paraId="11EA8CAA"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AB" w14:textId="77777777" w:rsidR="00082358" w:rsidRPr="00381F62" w:rsidRDefault="00082358" w:rsidP="00B815F5">
            <w:pPr>
              <w:rPr>
                <w:rFonts w:ascii="Arial Narrow" w:hAnsi="Arial Narrow" w:cs="Arial"/>
                <w:szCs w:val="22"/>
              </w:rPr>
            </w:pPr>
          </w:p>
        </w:tc>
        <w:tc>
          <w:tcPr>
            <w:tcW w:w="414" w:type="dxa"/>
          </w:tcPr>
          <w:p w14:paraId="11EA8CAC"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AD" w14:textId="77777777" w:rsidR="00082358" w:rsidRPr="00381F62" w:rsidRDefault="00082358" w:rsidP="00B815F5">
            <w:pPr>
              <w:rPr>
                <w:rFonts w:ascii="Arial Narrow" w:hAnsi="Arial Narrow" w:cs="Arial"/>
                <w:szCs w:val="22"/>
              </w:rPr>
            </w:pPr>
          </w:p>
        </w:tc>
      </w:tr>
      <w:tr w:rsidR="00381F62" w:rsidRPr="00381F62" w14:paraId="11EA8CBF" w14:textId="77777777" w:rsidTr="00117212">
        <w:tc>
          <w:tcPr>
            <w:tcW w:w="781" w:type="dxa"/>
            <w:vMerge/>
            <w:vAlign w:val="center"/>
          </w:tcPr>
          <w:p w14:paraId="11EA8CAF" w14:textId="77777777" w:rsidR="00082358" w:rsidRPr="00381F62" w:rsidRDefault="00082358" w:rsidP="00613E31">
            <w:pPr>
              <w:jc w:val="center"/>
              <w:rPr>
                <w:rStyle w:val="IntenseReference"/>
                <w:color w:val="auto"/>
              </w:rPr>
            </w:pPr>
          </w:p>
        </w:tc>
        <w:tc>
          <w:tcPr>
            <w:tcW w:w="1097" w:type="dxa"/>
            <w:vMerge w:val="restart"/>
            <w:vAlign w:val="center"/>
          </w:tcPr>
          <w:p w14:paraId="11EA8CB0" w14:textId="77777777" w:rsidR="00082358" w:rsidRPr="00381F62" w:rsidRDefault="00082358" w:rsidP="00613E31">
            <w:pPr>
              <w:jc w:val="center"/>
              <w:rPr>
                <w:rStyle w:val="IntenseReference"/>
                <w:color w:val="auto"/>
              </w:rPr>
            </w:pPr>
            <w:r w:rsidRPr="00381F62">
              <w:rPr>
                <w:rStyle w:val="IntenseReference"/>
                <w:color w:val="auto"/>
              </w:rPr>
              <w:t>Johnstone Russell-Mulgrave</w:t>
            </w:r>
          </w:p>
        </w:tc>
        <w:tc>
          <w:tcPr>
            <w:tcW w:w="2261" w:type="dxa"/>
            <w:vAlign w:val="bottom"/>
          </w:tcPr>
          <w:p w14:paraId="11EA8CB1" w14:textId="77777777" w:rsidR="00082358" w:rsidRPr="00381F62" w:rsidRDefault="00082358" w:rsidP="00B815F5">
            <w:pPr>
              <w:rPr>
                <w:rStyle w:val="IntenseReference"/>
                <w:color w:val="auto"/>
              </w:rPr>
            </w:pPr>
            <w:r w:rsidRPr="00381F62">
              <w:rPr>
                <w:rStyle w:val="IntenseReference"/>
                <w:color w:val="auto"/>
              </w:rPr>
              <w:t>Green</w:t>
            </w:r>
          </w:p>
        </w:tc>
        <w:tc>
          <w:tcPr>
            <w:tcW w:w="813" w:type="dxa"/>
          </w:tcPr>
          <w:p w14:paraId="11EA8CB2" w14:textId="77777777" w:rsidR="00082358" w:rsidRPr="00381F62" w:rsidRDefault="00082358" w:rsidP="00B815F5">
            <w:pPr>
              <w:rPr>
                <w:rStyle w:val="IntenseReference"/>
                <w:color w:val="auto"/>
              </w:rPr>
            </w:pPr>
            <w:r w:rsidRPr="00381F62">
              <w:rPr>
                <w:rStyle w:val="IntenseReference"/>
                <w:color w:val="auto"/>
              </w:rPr>
              <w:t>LTMP</w:t>
            </w:r>
          </w:p>
        </w:tc>
        <w:tc>
          <w:tcPr>
            <w:tcW w:w="415" w:type="dxa"/>
          </w:tcPr>
          <w:p w14:paraId="11EA8CB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B4" w14:textId="77777777" w:rsidR="00082358" w:rsidRPr="00381F62" w:rsidRDefault="00082358" w:rsidP="00B815F5">
            <w:pPr>
              <w:rPr>
                <w:rFonts w:ascii="Arial Narrow" w:hAnsi="Arial Narrow" w:cs="Arial"/>
                <w:szCs w:val="22"/>
              </w:rPr>
            </w:pPr>
          </w:p>
        </w:tc>
        <w:tc>
          <w:tcPr>
            <w:tcW w:w="414" w:type="dxa"/>
          </w:tcPr>
          <w:p w14:paraId="11EA8CB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B6" w14:textId="77777777" w:rsidR="00082358" w:rsidRPr="00381F62" w:rsidRDefault="00082358" w:rsidP="00B815F5">
            <w:pPr>
              <w:rPr>
                <w:rFonts w:ascii="Arial Narrow" w:hAnsi="Arial Narrow" w:cs="Arial"/>
                <w:szCs w:val="22"/>
              </w:rPr>
            </w:pPr>
          </w:p>
        </w:tc>
        <w:tc>
          <w:tcPr>
            <w:tcW w:w="415" w:type="dxa"/>
          </w:tcPr>
          <w:p w14:paraId="11EA8CB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B8" w14:textId="77777777" w:rsidR="00082358" w:rsidRPr="00381F62" w:rsidRDefault="00082358" w:rsidP="00B815F5">
            <w:pPr>
              <w:rPr>
                <w:rFonts w:ascii="Arial Narrow" w:hAnsi="Arial Narrow" w:cs="Arial"/>
                <w:szCs w:val="22"/>
              </w:rPr>
            </w:pPr>
          </w:p>
        </w:tc>
        <w:tc>
          <w:tcPr>
            <w:tcW w:w="414" w:type="dxa"/>
          </w:tcPr>
          <w:p w14:paraId="11EA8CB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BA" w14:textId="77777777" w:rsidR="00082358" w:rsidRPr="00381F62" w:rsidRDefault="00082358" w:rsidP="00B815F5">
            <w:pPr>
              <w:rPr>
                <w:rFonts w:ascii="Arial Narrow" w:hAnsi="Arial Narrow" w:cs="Arial"/>
                <w:szCs w:val="22"/>
              </w:rPr>
            </w:pPr>
          </w:p>
        </w:tc>
        <w:tc>
          <w:tcPr>
            <w:tcW w:w="415" w:type="dxa"/>
          </w:tcPr>
          <w:p w14:paraId="11EA8CBB"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BC" w14:textId="77777777" w:rsidR="00082358" w:rsidRPr="00381F62" w:rsidRDefault="00082358" w:rsidP="00B815F5">
            <w:pPr>
              <w:rPr>
                <w:rFonts w:ascii="Arial Narrow" w:hAnsi="Arial Narrow" w:cs="Arial"/>
                <w:szCs w:val="22"/>
              </w:rPr>
            </w:pPr>
          </w:p>
        </w:tc>
        <w:tc>
          <w:tcPr>
            <w:tcW w:w="414" w:type="dxa"/>
          </w:tcPr>
          <w:p w14:paraId="11EA8CBD"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BE" w14:textId="77777777" w:rsidR="00082358" w:rsidRPr="00381F62" w:rsidRDefault="00082358" w:rsidP="00B815F5">
            <w:pPr>
              <w:rPr>
                <w:rFonts w:ascii="Arial Narrow" w:hAnsi="Arial Narrow" w:cs="Arial"/>
                <w:szCs w:val="22"/>
              </w:rPr>
            </w:pPr>
          </w:p>
        </w:tc>
      </w:tr>
      <w:tr w:rsidR="00381F62" w:rsidRPr="00381F62" w14:paraId="11EA8CD0" w14:textId="77777777" w:rsidTr="00117212">
        <w:tc>
          <w:tcPr>
            <w:tcW w:w="781" w:type="dxa"/>
            <w:vMerge/>
            <w:vAlign w:val="center"/>
          </w:tcPr>
          <w:p w14:paraId="11EA8CC0" w14:textId="77777777" w:rsidR="00082358" w:rsidRPr="00381F62" w:rsidRDefault="00082358" w:rsidP="00613E31">
            <w:pPr>
              <w:jc w:val="center"/>
              <w:rPr>
                <w:rStyle w:val="IntenseReference"/>
                <w:color w:val="auto"/>
              </w:rPr>
            </w:pPr>
          </w:p>
        </w:tc>
        <w:tc>
          <w:tcPr>
            <w:tcW w:w="1097" w:type="dxa"/>
            <w:vMerge/>
            <w:vAlign w:val="center"/>
          </w:tcPr>
          <w:p w14:paraId="11EA8CC1" w14:textId="77777777" w:rsidR="00082358" w:rsidRPr="00381F62" w:rsidRDefault="00082358" w:rsidP="00613E31">
            <w:pPr>
              <w:jc w:val="center"/>
              <w:rPr>
                <w:rStyle w:val="IntenseReference"/>
                <w:color w:val="auto"/>
              </w:rPr>
            </w:pPr>
          </w:p>
        </w:tc>
        <w:tc>
          <w:tcPr>
            <w:tcW w:w="2261" w:type="dxa"/>
            <w:vAlign w:val="bottom"/>
          </w:tcPr>
          <w:p w14:paraId="11EA8CC2" w14:textId="77777777" w:rsidR="00082358" w:rsidRPr="00381F62" w:rsidRDefault="00082358" w:rsidP="00B815F5">
            <w:pPr>
              <w:rPr>
                <w:rStyle w:val="IntenseReference"/>
                <w:color w:val="auto"/>
              </w:rPr>
            </w:pPr>
            <w:r w:rsidRPr="00381F62">
              <w:rPr>
                <w:rStyle w:val="IntenseReference"/>
                <w:color w:val="auto"/>
              </w:rPr>
              <w:t>Fitzroy West</w:t>
            </w:r>
          </w:p>
        </w:tc>
        <w:tc>
          <w:tcPr>
            <w:tcW w:w="813" w:type="dxa"/>
          </w:tcPr>
          <w:p w14:paraId="11EA8CC3" w14:textId="77777777" w:rsidR="00082358" w:rsidRPr="00381F62" w:rsidRDefault="00082358" w:rsidP="00B815F5">
            <w:pPr>
              <w:rPr>
                <w:rStyle w:val="IntenseReference"/>
                <w:color w:val="auto"/>
              </w:rPr>
            </w:pPr>
            <w:r w:rsidRPr="00381F62">
              <w:rPr>
                <w:rStyle w:val="IntenseReference"/>
                <w:color w:val="auto"/>
              </w:rPr>
              <w:t>LTMP</w:t>
            </w:r>
          </w:p>
        </w:tc>
        <w:tc>
          <w:tcPr>
            <w:tcW w:w="415" w:type="dxa"/>
          </w:tcPr>
          <w:p w14:paraId="11EA8CC4"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C5" w14:textId="77777777" w:rsidR="00082358" w:rsidRPr="00381F62" w:rsidRDefault="00082358" w:rsidP="00B815F5">
            <w:pPr>
              <w:rPr>
                <w:rFonts w:ascii="Arial Narrow" w:hAnsi="Arial Narrow" w:cs="Arial"/>
                <w:szCs w:val="22"/>
              </w:rPr>
            </w:pPr>
          </w:p>
        </w:tc>
        <w:tc>
          <w:tcPr>
            <w:tcW w:w="414" w:type="dxa"/>
          </w:tcPr>
          <w:p w14:paraId="11EA8CC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C7" w14:textId="77777777" w:rsidR="00082358" w:rsidRPr="00381F62" w:rsidRDefault="00082358" w:rsidP="00B815F5">
            <w:pPr>
              <w:rPr>
                <w:rFonts w:ascii="Arial Narrow" w:hAnsi="Arial Narrow" w:cs="Arial"/>
                <w:szCs w:val="22"/>
              </w:rPr>
            </w:pPr>
          </w:p>
        </w:tc>
        <w:tc>
          <w:tcPr>
            <w:tcW w:w="415" w:type="dxa"/>
          </w:tcPr>
          <w:p w14:paraId="11EA8CC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C9" w14:textId="77777777" w:rsidR="00082358" w:rsidRPr="00381F62" w:rsidRDefault="00082358" w:rsidP="00B815F5">
            <w:pPr>
              <w:rPr>
                <w:rFonts w:ascii="Arial Narrow" w:hAnsi="Arial Narrow" w:cs="Arial"/>
                <w:szCs w:val="22"/>
              </w:rPr>
            </w:pPr>
          </w:p>
        </w:tc>
        <w:tc>
          <w:tcPr>
            <w:tcW w:w="414" w:type="dxa"/>
          </w:tcPr>
          <w:p w14:paraId="11EA8CCA"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CB" w14:textId="77777777" w:rsidR="00082358" w:rsidRPr="00381F62" w:rsidRDefault="00082358" w:rsidP="00B815F5">
            <w:pPr>
              <w:rPr>
                <w:rFonts w:ascii="Arial Narrow" w:hAnsi="Arial Narrow" w:cs="Arial"/>
                <w:szCs w:val="22"/>
              </w:rPr>
            </w:pPr>
          </w:p>
        </w:tc>
        <w:tc>
          <w:tcPr>
            <w:tcW w:w="415" w:type="dxa"/>
          </w:tcPr>
          <w:p w14:paraId="11EA8CCC"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CD" w14:textId="77777777" w:rsidR="00082358" w:rsidRPr="00381F62" w:rsidRDefault="00082358" w:rsidP="00B815F5">
            <w:pPr>
              <w:rPr>
                <w:rFonts w:ascii="Arial Narrow" w:hAnsi="Arial Narrow" w:cs="Arial"/>
                <w:szCs w:val="22"/>
              </w:rPr>
            </w:pPr>
          </w:p>
        </w:tc>
        <w:tc>
          <w:tcPr>
            <w:tcW w:w="414" w:type="dxa"/>
          </w:tcPr>
          <w:p w14:paraId="11EA8CCE"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CF" w14:textId="77777777" w:rsidR="00082358" w:rsidRPr="00381F62" w:rsidRDefault="00082358" w:rsidP="00B815F5">
            <w:pPr>
              <w:rPr>
                <w:rFonts w:ascii="Arial Narrow" w:hAnsi="Arial Narrow" w:cs="Arial"/>
                <w:szCs w:val="22"/>
              </w:rPr>
            </w:pPr>
          </w:p>
        </w:tc>
      </w:tr>
      <w:tr w:rsidR="00381F62" w:rsidRPr="00381F62" w14:paraId="11EA8CE1" w14:textId="77777777" w:rsidTr="00117212">
        <w:tc>
          <w:tcPr>
            <w:tcW w:w="781" w:type="dxa"/>
            <w:vMerge/>
            <w:vAlign w:val="center"/>
          </w:tcPr>
          <w:p w14:paraId="11EA8CD1" w14:textId="77777777" w:rsidR="00082358" w:rsidRPr="00381F62" w:rsidRDefault="00082358" w:rsidP="00613E31">
            <w:pPr>
              <w:jc w:val="center"/>
              <w:rPr>
                <w:rStyle w:val="IntenseReference"/>
                <w:color w:val="auto"/>
              </w:rPr>
            </w:pPr>
          </w:p>
        </w:tc>
        <w:tc>
          <w:tcPr>
            <w:tcW w:w="1097" w:type="dxa"/>
            <w:vMerge/>
            <w:vAlign w:val="center"/>
          </w:tcPr>
          <w:p w14:paraId="11EA8CD2" w14:textId="77777777" w:rsidR="00082358" w:rsidRPr="00381F62" w:rsidRDefault="00082358" w:rsidP="00613E31">
            <w:pPr>
              <w:jc w:val="center"/>
              <w:rPr>
                <w:rStyle w:val="IntenseReference"/>
                <w:color w:val="auto"/>
              </w:rPr>
            </w:pPr>
          </w:p>
        </w:tc>
        <w:tc>
          <w:tcPr>
            <w:tcW w:w="2261" w:type="dxa"/>
            <w:vAlign w:val="bottom"/>
          </w:tcPr>
          <w:p w14:paraId="11EA8CD3" w14:textId="77777777" w:rsidR="00082358" w:rsidRPr="00381F62" w:rsidRDefault="00082358" w:rsidP="00B815F5">
            <w:pPr>
              <w:rPr>
                <w:rStyle w:val="IntenseReference"/>
                <w:color w:val="auto"/>
              </w:rPr>
            </w:pPr>
            <w:r w:rsidRPr="00381F62">
              <w:rPr>
                <w:rStyle w:val="IntenseReference"/>
                <w:color w:val="auto"/>
              </w:rPr>
              <w:t>Fitzroy West (WQ)</w:t>
            </w:r>
          </w:p>
        </w:tc>
        <w:tc>
          <w:tcPr>
            <w:tcW w:w="813" w:type="dxa"/>
          </w:tcPr>
          <w:p w14:paraId="11EA8CD4"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CD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D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D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D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CD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DA"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DB"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DC"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CDD"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DE"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D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E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r>
      <w:tr w:rsidR="00381F62" w:rsidRPr="00381F62" w14:paraId="11EA8CF2" w14:textId="77777777" w:rsidTr="00117212">
        <w:tc>
          <w:tcPr>
            <w:tcW w:w="781" w:type="dxa"/>
            <w:vMerge/>
            <w:vAlign w:val="center"/>
          </w:tcPr>
          <w:p w14:paraId="11EA8CE2" w14:textId="77777777" w:rsidR="00082358" w:rsidRPr="00381F62" w:rsidRDefault="00082358" w:rsidP="00613E31">
            <w:pPr>
              <w:jc w:val="center"/>
              <w:rPr>
                <w:rStyle w:val="IntenseReference"/>
                <w:color w:val="auto"/>
              </w:rPr>
            </w:pPr>
          </w:p>
        </w:tc>
        <w:tc>
          <w:tcPr>
            <w:tcW w:w="1097" w:type="dxa"/>
            <w:vMerge/>
            <w:vAlign w:val="center"/>
          </w:tcPr>
          <w:p w14:paraId="11EA8CE3" w14:textId="77777777" w:rsidR="00082358" w:rsidRPr="00381F62" w:rsidRDefault="00082358" w:rsidP="00613E31">
            <w:pPr>
              <w:jc w:val="center"/>
              <w:rPr>
                <w:rStyle w:val="IntenseReference"/>
                <w:color w:val="auto"/>
              </w:rPr>
            </w:pPr>
          </w:p>
        </w:tc>
        <w:tc>
          <w:tcPr>
            <w:tcW w:w="2261" w:type="dxa"/>
            <w:vAlign w:val="bottom"/>
          </w:tcPr>
          <w:p w14:paraId="11EA8CE4" w14:textId="77777777" w:rsidR="00082358" w:rsidRPr="00381F62" w:rsidRDefault="00082358" w:rsidP="00B815F5">
            <w:pPr>
              <w:rPr>
                <w:rStyle w:val="IntenseReference"/>
                <w:color w:val="auto"/>
              </w:rPr>
            </w:pPr>
            <w:r w:rsidRPr="00381F62">
              <w:rPr>
                <w:rStyle w:val="IntenseReference"/>
                <w:color w:val="auto"/>
              </w:rPr>
              <w:t>Fitzroy East</w:t>
            </w:r>
          </w:p>
        </w:tc>
        <w:tc>
          <w:tcPr>
            <w:tcW w:w="813" w:type="dxa"/>
          </w:tcPr>
          <w:p w14:paraId="11EA8CE5"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CE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E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E8" w14:textId="5A978C5A" w:rsidR="00082358" w:rsidRPr="00381F62" w:rsidRDefault="0029591A" w:rsidP="00B815F5">
            <w:pPr>
              <w:rPr>
                <w:rFonts w:ascii="Arial Narrow" w:hAnsi="Arial Narrow" w:cs="Arial"/>
                <w:szCs w:val="22"/>
              </w:rPr>
            </w:pPr>
            <w:r w:rsidRPr="0029591A">
              <w:rPr>
                <w:rFonts w:ascii="Arial Narrow" w:hAnsi="Arial Narrow" w:cs="Arial"/>
                <w:b/>
                <w:color w:val="000000" w:themeColor="text1"/>
                <w:szCs w:val="22"/>
              </w:rPr>
              <w:t>+</w:t>
            </w:r>
          </w:p>
        </w:tc>
        <w:tc>
          <w:tcPr>
            <w:tcW w:w="414" w:type="dxa"/>
          </w:tcPr>
          <w:p w14:paraId="11EA8CE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CEA" w14:textId="77777777" w:rsidR="00082358" w:rsidRPr="00381F62" w:rsidRDefault="00082358" w:rsidP="00B815F5">
            <w:pPr>
              <w:rPr>
                <w:rFonts w:ascii="Arial Narrow" w:hAnsi="Arial Narrow" w:cs="Arial"/>
                <w:szCs w:val="22"/>
              </w:rPr>
            </w:pPr>
          </w:p>
        </w:tc>
        <w:tc>
          <w:tcPr>
            <w:tcW w:w="414" w:type="dxa"/>
          </w:tcPr>
          <w:p w14:paraId="11EA8CEB"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EC" w14:textId="02F033E3" w:rsidR="00082358" w:rsidRPr="00381F62" w:rsidRDefault="0029591A" w:rsidP="00B815F5">
            <w:pPr>
              <w:rPr>
                <w:rFonts w:ascii="Arial Narrow" w:hAnsi="Arial Narrow" w:cs="Arial"/>
                <w:szCs w:val="22"/>
              </w:rPr>
            </w:pPr>
            <w:r w:rsidRPr="0029591A">
              <w:rPr>
                <w:rFonts w:ascii="Arial Narrow" w:hAnsi="Arial Narrow" w:cs="Arial"/>
                <w:b/>
                <w:color w:val="000000" w:themeColor="text1"/>
                <w:szCs w:val="22"/>
              </w:rPr>
              <w:t>+</w:t>
            </w:r>
          </w:p>
        </w:tc>
        <w:tc>
          <w:tcPr>
            <w:tcW w:w="414" w:type="dxa"/>
          </w:tcPr>
          <w:p w14:paraId="11EA8CED"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CEE" w14:textId="77777777" w:rsidR="00082358" w:rsidRPr="00381F62" w:rsidRDefault="00082358" w:rsidP="00B815F5">
            <w:pPr>
              <w:rPr>
                <w:rFonts w:ascii="Arial Narrow" w:hAnsi="Arial Narrow" w:cs="Arial"/>
                <w:szCs w:val="22"/>
              </w:rPr>
            </w:pPr>
          </w:p>
        </w:tc>
        <w:tc>
          <w:tcPr>
            <w:tcW w:w="414" w:type="dxa"/>
          </w:tcPr>
          <w:p w14:paraId="11EA8CE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F0" w14:textId="77777777" w:rsidR="00082358" w:rsidRPr="00381F62" w:rsidRDefault="00082358" w:rsidP="00B815F5">
            <w:pPr>
              <w:rPr>
                <w:rFonts w:ascii="Arial Narrow" w:hAnsi="Arial Narrow" w:cs="Arial"/>
                <w:szCs w:val="22"/>
              </w:rPr>
            </w:pPr>
          </w:p>
        </w:tc>
        <w:tc>
          <w:tcPr>
            <w:tcW w:w="414" w:type="dxa"/>
          </w:tcPr>
          <w:p w14:paraId="11EA8CF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r>
      <w:tr w:rsidR="00381F62" w:rsidRPr="00381F62" w14:paraId="11EA8D03" w14:textId="77777777" w:rsidTr="00117212">
        <w:tc>
          <w:tcPr>
            <w:tcW w:w="781" w:type="dxa"/>
            <w:vMerge/>
            <w:vAlign w:val="center"/>
          </w:tcPr>
          <w:p w14:paraId="11EA8CF3" w14:textId="77777777" w:rsidR="00082358" w:rsidRPr="00381F62" w:rsidRDefault="00082358" w:rsidP="005E5E4B">
            <w:pPr>
              <w:jc w:val="center"/>
              <w:rPr>
                <w:rStyle w:val="IntenseReference"/>
                <w:color w:val="auto"/>
              </w:rPr>
            </w:pPr>
          </w:p>
        </w:tc>
        <w:tc>
          <w:tcPr>
            <w:tcW w:w="1097" w:type="dxa"/>
            <w:vMerge/>
            <w:vAlign w:val="center"/>
          </w:tcPr>
          <w:p w14:paraId="11EA8CF4" w14:textId="77777777" w:rsidR="00082358" w:rsidRPr="00381F62" w:rsidRDefault="00082358" w:rsidP="005E5E4B">
            <w:pPr>
              <w:jc w:val="center"/>
              <w:rPr>
                <w:rStyle w:val="IntenseReference"/>
                <w:color w:val="auto"/>
              </w:rPr>
            </w:pPr>
          </w:p>
        </w:tc>
        <w:tc>
          <w:tcPr>
            <w:tcW w:w="2261" w:type="dxa"/>
            <w:vAlign w:val="bottom"/>
          </w:tcPr>
          <w:p w14:paraId="11EA8CF5" w14:textId="77777777" w:rsidR="00082358" w:rsidRPr="00381F62" w:rsidRDefault="00082358" w:rsidP="00B815F5">
            <w:pPr>
              <w:rPr>
                <w:rStyle w:val="IntenseReference"/>
                <w:color w:val="auto"/>
              </w:rPr>
            </w:pPr>
            <w:r w:rsidRPr="00381F62">
              <w:rPr>
                <w:rStyle w:val="IntenseReference"/>
                <w:color w:val="auto"/>
              </w:rPr>
              <w:t>High East</w:t>
            </w:r>
          </w:p>
        </w:tc>
        <w:tc>
          <w:tcPr>
            <w:tcW w:w="813" w:type="dxa"/>
          </w:tcPr>
          <w:p w14:paraId="11EA8CF6"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CF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F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F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FA" w14:textId="77777777" w:rsidR="00082358" w:rsidRPr="00381F62" w:rsidRDefault="00082358" w:rsidP="00B815F5">
            <w:pPr>
              <w:rPr>
                <w:rFonts w:ascii="Arial Narrow" w:hAnsi="Arial Narrow" w:cs="Arial"/>
                <w:szCs w:val="22"/>
              </w:rPr>
            </w:pPr>
          </w:p>
        </w:tc>
        <w:tc>
          <w:tcPr>
            <w:tcW w:w="415" w:type="dxa"/>
          </w:tcPr>
          <w:p w14:paraId="11EA8CFB"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FC" w14:textId="77777777" w:rsidR="00082358" w:rsidRPr="00381F62" w:rsidRDefault="00082358" w:rsidP="00B815F5">
            <w:pPr>
              <w:rPr>
                <w:rFonts w:ascii="Arial Narrow" w:hAnsi="Arial Narrow" w:cs="Arial"/>
                <w:szCs w:val="22"/>
              </w:rPr>
            </w:pPr>
          </w:p>
        </w:tc>
        <w:tc>
          <w:tcPr>
            <w:tcW w:w="414" w:type="dxa"/>
          </w:tcPr>
          <w:p w14:paraId="11EA8CFD"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CFE" w14:textId="77777777" w:rsidR="00082358" w:rsidRPr="00381F62" w:rsidRDefault="00082358" w:rsidP="00B815F5">
            <w:pPr>
              <w:rPr>
                <w:rFonts w:ascii="Arial Narrow" w:hAnsi="Arial Narrow" w:cs="Arial"/>
                <w:szCs w:val="22"/>
              </w:rPr>
            </w:pPr>
          </w:p>
        </w:tc>
        <w:tc>
          <w:tcPr>
            <w:tcW w:w="415" w:type="dxa"/>
          </w:tcPr>
          <w:p w14:paraId="11EA8CF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00" w14:textId="77777777" w:rsidR="00082358" w:rsidRPr="00381F62" w:rsidRDefault="00082358" w:rsidP="00B815F5">
            <w:pPr>
              <w:rPr>
                <w:rFonts w:ascii="Arial Narrow" w:hAnsi="Arial Narrow" w:cs="Arial"/>
                <w:szCs w:val="22"/>
              </w:rPr>
            </w:pPr>
          </w:p>
        </w:tc>
        <w:tc>
          <w:tcPr>
            <w:tcW w:w="414" w:type="dxa"/>
          </w:tcPr>
          <w:p w14:paraId="11EA8D0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02" w14:textId="1E84A749" w:rsidR="00082358" w:rsidRPr="0029591A" w:rsidRDefault="0029591A" w:rsidP="00B815F5">
            <w:pPr>
              <w:rPr>
                <w:rFonts w:ascii="Arial Narrow" w:hAnsi="Arial Narrow" w:cs="Arial"/>
                <w:b/>
                <w:color w:val="000000" w:themeColor="text1"/>
                <w:szCs w:val="22"/>
              </w:rPr>
            </w:pPr>
            <w:r w:rsidRPr="0029591A">
              <w:rPr>
                <w:rFonts w:ascii="Arial Narrow" w:hAnsi="Arial Narrow" w:cs="Arial"/>
                <w:b/>
                <w:color w:val="000000" w:themeColor="text1"/>
                <w:szCs w:val="22"/>
              </w:rPr>
              <w:t>+</w:t>
            </w:r>
          </w:p>
        </w:tc>
      </w:tr>
      <w:tr w:rsidR="00381F62" w:rsidRPr="00381F62" w14:paraId="11EA8D14" w14:textId="77777777" w:rsidTr="00117212">
        <w:tc>
          <w:tcPr>
            <w:tcW w:w="781" w:type="dxa"/>
            <w:vMerge/>
            <w:vAlign w:val="center"/>
          </w:tcPr>
          <w:p w14:paraId="11EA8D04" w14:textId="77777777" w:rsidR="00082358" w:rsidRPr="00381F62" w:rsidRDefault="00082358" w:rsidP="005E5E4B">
            <w:pPr>
              <w:jc w:val="center"/>
              <w:rPr>
                <w:rStyle w:val="IntenseReference"/>
                <w:color w:val="auto"/>
              </w:rPr>
            </w:pPr>
          </w:p>
        </w:tc>
        <w:tc>
          <w:tcPr>
            <w:tcW w:w="1097" w:type="dxa"/>
            <w:vMerge/>
            <w:vAlign w:val="center"/>
          </w:tcPr>
          <w:p w14:paraId="11EA8D05" w14:textId="77777777" w:rsidR="00082358" w:rsidRPr="00381F62" w:rsidRDefault="00082358" w:rsidP="005E5E4B">
            <w:pPr>
              <w:jc w:val="center"/>
              <w:rPr>
                <w:rStyle w:val="IntenseReference"/>
                <w:color w:val="auto"/>
              </w:rPr>
            </w:pPr>
          </w:p>
        </w:tc>
        <w:tc>
          <w:tcPr>
            <w:tcW w:w="2261" w:type="dxa"/>
            <w:vAlign w:val="bottom"/>
          </w:tcPr>
          <w:p w14:paraId="11EA8D06" w14:textId="77777777" w:rsidR="00082358" w:rsidRPr="00381F62" w:rsidRDefault="00082358" w:rsidP="00B815F5">
            <w:pPr>
              <w:rPr>
                <w:rStyle w:val="IntenseReference"/>
                <w:color w:val="auto"/>
              </w:rPr>
            </w:pPr>
            <w:r w:rsidRPr="00381F62">
              <w:rPr>
                <w:rStyle w:val="IntenseReference"/>
                <w:color w:val="auto"/>
              </w:rPr>
              <w:t>High West (WQ)</w:t>
            </w:r>
          </w:p>
        </w:tc>
        <w:tc>
          <w:tcPr>
            <w:tcW w:w="813" w:type="dxa"/>
          </w:tcPr>
          <w:p w14:paraId="11EA8D07"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D0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0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0A"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0B"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0C"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0D"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0E"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0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1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1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12" w14:textId="77777777" w:rsidR="00082358" w:rsidRPr="00381F62" w:rsidRDefault="00082358" w:rsidP="00B815F5">
            <w:pPr>
              <w:rPr>
                <w:rFonts w:ascii="Arial Narrow" w:hAnsi="Arial Narrow" w:cs="Arial"/>
                <w:szCs w:val="22"/>
              </w:rPr>
            </w:pPr>
          </w:p>
        </w:tc>
        <w:tc>
          <w:tcPr>
            <w:tcW w:w="414" w:type="dxa"/>
          </w:tcPr>
          <w:p w14:paraId="11EA8D1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r>
      <w:tr w:rsidR="00381F62" w:rsidRPr="00381F62" w14:paraId="11EA8D25" w14:textId="77777777" w:rsidTr="00117212">
        <w:tc>
          <w:tcPr>
            <w:tcW w:w="781" w:type="dxa"/>
            <w:vMerge/>
            <w:vAlign w:val="center"/>
          </w:tcPr>
          <w:p w14:paraId="11EA8D15" w14:textId="77777777" w:rsidR="00082358" w:rsidRPr="00381F62" w:rsidRDefault="00082358" w:rsidP="005E5E4B">
            <w:pPr>
              <w:jc w:val="center"/>
              <w:rPr>
                <w:rStyle w:val="IntenseReference"/>
                <w:color w:val="auto"/>
              </w:rPr>
            </w:pPr>
          </w:p>
        </w:tc>
        <w:tc>
          <w:tcPr>
            <w:tcW w:w="1097" w:type="dxa"/>
            <w:vMerge/>
            <w:vAlign w:val="center"/>
          </w:tcPr>
          <w:p w14:paraId="11EA8D16" w14:textId="77777777" w:rsidR="00082358" w:rsidRPr="00381F62" w:rsidRDefault="00082358" w:rsidP="005E5E4B">
            <w:pPr>
              <w:jc w:val="center"/>
              <w:rPr>
                <w:rStyle w:val="IntenseReference"/>
                <w:color w:val="auto"/>
              </w:rPr>
            </w:pPr>
          </w:p>
        </w:tc>
        <w:tc>
          <w:tcPr>
            <w:tcW w:w="2261" w:type="dxa"/>
            <w:vAlign w:val="bottom"/>
          </w:tcPr>
          <w:p w14:paraId="11EA8D17" w14:textId="77777777" w:rsidR="00082358" w:rsidRPr="00381F62" w:rsidRDefault="00082358" w:rsidP="00B815F5">
            <w:pPr>
              <w:rPr>
                <w:rStyle w:val="IntenseReference"/>
                <w:color w:val="auto"/>
              </w:rPr>
            </w:pPr>
            <w:r w:rsidRPr="00381F62">
              <w:rPr>
                <w:rStyle w:val="IntenseReference"/>
                <w:color w:val="auto"/>
              </w:rPr>
              <w:t>Frankland East</w:t>
            </w:r>
          </w:p>
        </w:tc>
        <w:tc>
          <w:tcPr>
            <w:tcW w:w="813" w:type="dxa"/>
          </w:tcPr>
          <w:p w14:paraId="11EA8D18"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D1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1A"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1B"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1C" w14:textId="77777777" w:rsidR="00082358" w:rsidRPr="00381F62" w:rsidRDefault="00082358" w:rsidP="00B815F5">
            <w:pPr>
              <w:rPr>
                <w:rFonts w:ascii="Arial Narrow" w:hAnsi="Arial Narrow" w:cs="Arial"/>
                <w:szCs w:val="22"/>
              </w:rPr>
            </w:pPr>
          </w:p>
        </w:tc>
        <w:tc>
          <w:tcPr>
            <w:tcW w:w="415" w:type="dxa"/>
          </w:tcPr>
          <w:p w14:paraId="11EA8D1D"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1E" w14:textId="77777777" w:rsidR="00082358" w:rsidRPr="00381F62" w:rsidRDefault="00082358" w:rsidP="00B815F5">
            <w:pPr>
              <w:rPr>
                <w:rFonts w:ascii="Arial Narrow" w:hAnsi="Arial Narrow" w:cs="Arial"/>
                <w:szCs w:val="22"/>
              </w:rPr>
            </w:pPr>
          </w:p>
        </w:tc>
        <w:tc>
          <w:tcPr>
            <w:tcW w:w="414" w:type="dxa"/>
          </w:tcPr>
          <w:p w14:paraId="11EA8D1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20" w14:textId="77777777" w:rsidR="00082358" w:rsidRPr="00381F62" w:rsidRDefault="00082358" w:rsidP="00B815F5">
            <w:pPr>
              <w:rPr>
                <w:rFonts w:ascii="Arial Narrow" w:hAnsi="Arial Narrow" w:cs="Arial"/>
                <w:szCs w:val="22"/>
              </w:rPr>
            </w:pPr>
          </w:p>
        </w:tc>
        <w:tc>
          <w:tcPr>
            <w:tcW w:w="415" w:type="dxa"/>
          </w:tcPr>
          <w:p w14:paraId="11EA8D2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22" w14:textId="77777777" w:rsidR="00082358" w:rsidRPr="00381F62" w:rsidRDefault="00082358" w:rsidP="00B815F5">
            <w:pPr>
              <w:rPr>
                <w:rFonts w:ascii="Arial Narrow" w:hAnsi="Arial Narrow" w:cs="Arial"/>
                <w:szCs w:val="22"/>
              </w:rPr>
            </w:pPr>
          </w:p>
        </w:tc>
        <w:tc>
          <w:tcPr>
            <w:tcW w:w="414" w:type="dxa"/>
          </w:tcPr>
          <w:p w14:paraId="11EA8D2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24" w14:textId="5A73FB0D" w:rsidR="00082358" w:rsidRPr="00381F62" w:rsidRDefault="006617A7" w:rsidP="00B815F5">
            <w:pPr>
              <w:rPr>
                <w:rFonts w:ascii="Arial Narrow" w:hAnsi="Arial Narrow" w:cs="Arial"/>
                <w:szCs w:val="22"/>
              </w:rPr>
            </w:pPr>
            <w:r w:rsidRPr="0029591A">
              <w:rPr>
                <w:rFonts w:ascii="Arial Narrow" w:hAnsi="Arial Narrow" w:cs="Arial"/>
                <w:b/>
                <w:color w:val="000000" w:themeColor="text1"/>
                <w:szCs w:val="22"/>
              </w:rPr>
              <w:t>+</w:t>
            </w:r>
          </w:p>
        </w:tc>
      </w:tr>
      <w:tr w:rsidR="00381F62" w:rsidRPr="00381F62" w14:paraId="11EA8D36" w14:textId="77777777" w:rsidTr="00117212">
        <w:tc>
          <w:tcPr>
            <w:tcW w:w="781" w:type="dxa"/>
            <w:vMerge/>
            <w:vAlign w:val="center"/>
          </w:tcPr>
          <w:p w14:paraId="11EA8D26" w14:textId="77777777" w:rsidR="00082358" w:rsidRPr="00381F62" w:rsidRDefault="00082358" w:rsidP="005E5E4B">
            <w:pPr>
              <w:jc w:val="center"/>
              <w:rPr>
                <w:rStyle w:val="IntenseReference"/>
                <w:color w:val="auto"/>
              </w:rPr>
            </w:pPr>
          </w:p>
        </w:tc>
        <w:tc>
          <w:tcPr>
            <w:tcW w:w="1097" w:type="dxa"/>
            <w:vMerge/>
            <w:vAlign w:val="center"/>
          </w:tcPr>
          <w:p w14:paraId="11EA8D27" w14:textId="77777777" w:rsidR="00082358" w:rsidRPr="00381F62" w:rsidRDefault="00082358" w:rsidP="005E5E4B">
            <w:pPr>
              <w:jc w:val="center"/>
              <w:rPr>
                <w:rStyle w:val="IntenseReference"/>
                <w:color w:val="auto"/>
              </w:rPr>
            </w:pPr>
          </w:p>
        </w:tc>
        <w:tc>
          <w:tcPr>
            <w:tcW w:w="2261" w:type="dxa"/>
            <w:vAlign w:val="bottom"/>
          </w:tcPr>
          <w:p w14:paraId="11EA8D28" w14:textId="77777777" w:rsidR="00082358" w:rsidRPr="00381F62" w:rsidRDefault="00082358" w:rsidP="00B815F5">
            <w:pPr>
              <w:rPr>
                <w:rStyle w:val="IntenseReference"/>
                <w:color w:val="auto"/>
              </w:rPr>
            </w:pPr>
            <w:r w:rsidRPr="00381F62">
              <w:rPr>
                <w:rStyle w:val="IntenseReference"/>
                <w:color w:val="auto"/>
              </w:rPr>
              <w:t>Frankland West (WQ)</w:t>
            </w:r>
          </w:p>
        </w:tc>
        <w:tc>
          <w:tcPr>
            <w:tcW w:w="813" w:type="dxa"/>
          </w:tcPr>
          <w:p w14:paraId="11EA8D29"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D2A"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2B"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2C"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2D"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2E"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2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3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3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32"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3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34" w14:textId="77777777" w:rsidR="00082358" w:rsidRPr="00381F62" w:rsidRDefault="00082358" w:rsidP="00B815F5">
            <w:pPr>
              <w:rPr>
                <w:rFonts w:ascii="Arial Narrow" w:hAnsi="Arial Narrow" w:cs="Arial"/>
                <w:szCs w:val="22"/>
              </w:rPr>
            </w:pPr>
          </w:p>
        </w:tc>
        <w:tc>
          <w:tcPr>
            <w:tcW w:w="414" w:type="dxa"/>
          </w:tcPr>
          <w:p w14:paraId="11EA8D3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r>
      <w:tr w:rsidR="00381F62" w:rsidRPr="00381F62" w14:paraId="11EA8D47" w14:textId="77777777" w:rsidTr="00117212">
        <w:tc>
          <w:tcPr>
            <w:tcW w:w="781" w:type="dxa"/>
            <w:vMerge/>
            <w:vAlign w:val="center"/>
          </w:tcPr>
          <w:p w14:paraId="11EA8D37" w14:textId="77777777" w:rsidR="00082358" w:rsidRPr="00381F62" w:rsidRDefault="00082358" w:rsidP="005E5E4B">
            <w:pPr>
              <w:jc w:val="center"/>
              <w:rPr>
                <w:rStyle w:val="IntenseReference"/>
                <w:color w:val="auto"/>
              </w:rPr>
            </w:pPr>
          </w:p>
        </w:tc>
        <w:tc>
          <w:tcPr>
            <w:tcW w:w="1097" w:type="dxa"/>
            <w:vMerge w:val="restart"/>
            <w:vAlign w:val="center"/>
          </w:tcPr>
          <w:p w14:paraId="11EA8D38" w14:textId="77777777" w:rsidR="00082358" w:rsidRPr="00381F62" w:rsidRDefault="00082358" w:rsidP="005E5E4B">
            <w:pPr>
              <w:jc w:val="center"/>
              <w:rPr>
                <w:rStyle w:val="IntenseReference"/>
                <w:color w:val="auto"/>
              </w:rPr>
            </w:pPr>
            <w:r w:rsidRPr="00381F62">
              <w:rPr>
                <w:rStyle w:val="IntenseReference"/>
                <w:color w:val="auto"/>
              </w:rPr>
              <w:t>Tully</w:t>
            </w:r>
          </w:p>
        </w:tc>
        <w:tc>
          <w:tcPr>
            <w:tcW w:w="2261" w:type="dxa"/>
            <w:vAlign w:val="bottom"/>
          </w:tcPr>
          <w:p w14:paraId="11EA8D39" w14:textId="77777777" w:rsidR="00082358" w:rsidRPr="00381F62" w:rsidRDefault="00082358" w:rsidP="00B815F5">
            <w:pPr>
              <w:rPr>
                <w:rStyle w:val="IntenseReference"/>
                <w:color w:val="auto"/>
              </w:rPr>
            </w:pPr>
            <w:r w:rsidRPr="00381F62">
              <w:rPr>
                <w:rStyle w:val="IntenseReference"/>
                <w:color w:val="auto"/>
              </w:rPr>
              <w:t>Barnards</w:t>
            </w:r>
          </w:p>
        </w:tc>
        <w:tc>
          <w:tcPr>
            <w:tcW w:w="813" w:type="dxa"/>
          </w:tcPr>
          <w:p w14:paraId="11EA8D3A"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D3B"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3C"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3D"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3E" w14:textId="77777777" w:rsidR="00082358" w:rsidRPr="00381F62" w:rsidRDefault="00082358" w:rsidP="00B815F5">
            <w:pPr>
              <w:rPr>
                <w:rFonts w:ascii="Arial Narrow" w:hAnsi="Arial Narrow" w:cs="Arial"/>
                <w:szCs w:val="22"/>
              </w:rPr>
            </w:pPr>
          </w:p>
        </w:tc>
        <w:tc>
          <w:tcPr>
            <w:tcW w:w="415" w:type="dxa"/>
          </w:tcPr>
          <w:p w14:paraId="11EA8D3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40" w14:textId="77777777" w:rsidR="00082358" w:rsidRPr="00381F62" w:rsidRDefault="00082358" w:rsidP="00B815F5">
            <w:pPr>
              <w:rPr>
                <w:rFonts w:ascii="Arial Narrow" w:hAnsi="Arial Narrow" w:cs="Arial"/>
                <w:szCs w:val="22"/>
              </w:rPr>
            </w:pPr>
          </w:p>
        </w:tc>
        <w:tc>
          <w:tcPr>
            <w:tcW w:w="414" w:type="dxa"/>
          </w:tcPr>
          <w:p w14:paraId="11EA8D4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42" w14:textId="77777777" w:rsidR="00082358" w:rsidRPr="00381F62" w:rsidRDefault="00082358" w:rsidP="00B815F5">
            <w:pPr>
              <w:rPr>
                <w:rFonts w:ascii="Arial Narrow" w:hAnsi="Arial Narrow" w:cs="Arial"/>
                <w:szCs w:val="22"/>
              </w:rPr>
            </w:pPr>
          </w:p>
        </w:tc>
        <w:tc>
          <w:tcPr>
            <w:tcW w:w="415" w:type="dxa"/>
          </w:tcPr>
          <w:p w14:paraId="11EA8D4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44" w14:textId="77777777" w:rsidR="00082358" w:rsidRPr="00381F62" w:rsidRDefault="00082358" w:rsidP="00B815F5">
            <w:pPr>
              <w:rPr>
                <w:rFonts w:ascii="Arial Narrow" w:hAnsi="Arial Narrow" w:cs="Arial"/>
                <w:szCs w:val="22"/>
              </w:rPr>
            </w:pPr>
          </w:p>
        </w:tc>
        <w:tc>
          <w:tcPr>
            <w:tcW w:w="414" w:type="dxa"/>
          </w:tcPr>
          <w:p w14:paraId="11EA8D4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46" w14:textId="77777777" w:rsidR="00082358" w:rsidRPr="00381F62" w:rsidRDefault="00082358" w:rsidP="00B815F5">
            <w:pPr>
              <w:rPr>
                <w:rFonts w:ascii="Arial Narrow" w:hAnsi="Arial Narrow" w:cs="Arial"/>
                <w:szCs w:val="22"/>
              </w:rPr>
            </w:pPr>
          </w:p>
        </w:tc>
      </w:tr>
      <w:tr w:rsidR="00381F62" w:rsidRPr="00381F62" w14:paraId="11EA8D58" w14:textId="77777777" w:rsidTr="00117212">
        <w:tc>
          <w:tcPr>
            <w:tcW w:w="781" w:type="dxa"/>
            <w:vMerge/>
            <w:vAlign w:val="center"/>
          </w:tcPr>
          <w:p w14:paraId="11EA8D48" w14:textId="77777777" w:rsidR="00082358" w:rsidRPr="00381F62" w:rsidRDefault="00082358" w:rsidP="00D230AA">
            <w:pPr>
              <w:jc w:val="center"/>
              <w:rPr>
                <w:rStyle w:val="IntenseReference"/>
                <w:color w:val="auto"/>
              </w:rPr>
            </w:pPr>
          </w:p>
        </w:tc>
        <w:tc>
          <w:tcPr>
            <w:tcW w:w="1097" w:type="dxa"/>
            <w:vMerge/>
            <w:vAlign w:val="center"/>
          </w:tcPr>
          <w:p w14:paraId="11EA8D49" w14:textId="77777777" w:rsidR="00082358" w:rsidRPr="00381F62" w:rsidRDefault="00082358" w:rsidP="00D230AA">
            <w:pPr>
              <w:jc w:val="center"/>
              <w:rPr>
                <w:rStyle w:val="IntenseReference"/>
                <w:color w:val="auto"/>
              </w:rPr>
            </w:pPr>
          </w:p>
        </w:tc>
        <w:tc>
          <w:tcPr>
            <w:tcW w:w="2261" w:type="dxa"/>
            <w:vAlign w:val="bottom"/>
          </w:tcPr>
          <w:p w14:paraId="11EA8D4A" w14:textId="77777777" w:rsidR="00082358" w:rsidRPr="00381F62" w:rsidRDefault="00082358" w:rsidP="00B815F5">
            <w:pPr>
              <w:rPr>
                <w:rStyle w:val="IntenseReference"/>
                <w:color w:val="auto"/>
              </w:rPr>
            </w:pPr>
            <w:r w:rsidRPr="00381F62">
              <w:rPr>
                <w:rStyle w:val="IntenseReference"/>
                <w:color w:val="auto"/>
              </w:rPr>
              <w:t>King</w:t>
            </w:r>
          </w:p>
        </w:tc>
        <w:tc>
          <w:tcPr>
            <w:tcW w:w="813" w:type="dxa"/>
          </w:tcPr>
          <w:p w14:paraId="11EA8D4B"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D4C"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4D"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4E" w14:textId="77777777" w:rsidR="00082358" w:rsidRPr="00381F62" w:rsidRDefault="00082358" w:rsidP="00B815F5">
            <w:pPr>
              <w:rPr>
                <w:rFonts w:ascii="Arial Narrow" w:hAnsi="Arial Narrow" w:cs="Arial"/>
                <w:szCs w:val="22"/>
              </w:rPr>
            </w:pPr>
          </w:p>
        </w:tc>
        <w:tc>
          <w:tcPr>
            <w:tcW w:w="414" w:type="dxa"/>
          </w:tcPr>
          <w:p w14:paraId="11EA8D4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50" w14:textId="77777777" w:rsidR="00082358" w:rsidRPr="00381F62" w:rsidRDefault="00082358" w:rsidP="00B815F5">
            <w:pPr>
              <w:rPr>
                <w:rFonts w:ascii="Arial Narrow" w:hAnsi="Arial Narrow" w:cs="Arial"/>
                <w:szCs w:val="22"/>
              </w:rPr>
            </w:pPr>
          </w:p>
        </w:tc>
        <w:tc>
          <w:tcPr>
            <w:tcW w:w="414" w:type="dxa"/>
          </w:tcPr>
          <w:p w14:paraId="11EA8D5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52" w14:textId="77777777" w:rsidR="00082358" w:rsidRPr="00381F62" w:rsidRDefault="00082358" w:rsidP="00B815F5">
            <w:pPr>
              <w:rPr>
                <w:rFonts w:ascii="Arial Narrow" w:hAnsi="Arial Narrow" w:cs="Arial"/>
                <w:szCs w:val="22"/>
              </w:rPr>
            </w:pPr>
          </w:p>
        </w:tc>
        <w:tc>
          <w:tcPr>
            <w:tcW w:w="414" w:type="dxa"/>
          </w:tcPr>
          <w:p w14:paraId="11EA8D5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54" w14:textId="77777777" w:rsidR="00082358" w:rsidRPr="00381F62" w:rsidRDefault="00082358" w:rsidP="00B815F5">
            <w:pPr>
              <w:rPr>
                <w:rFonts w:ascii="Arial Narrow" w:hAnsi="Arial Narrow" w:cs="Arial"/>
                <w:szCs w:val="22"/>
              </w:rPr>
            </w:pPr>
          </w:p>
        </w:tc>
        <w:tc>
          <w:tcPr>
            <w:tcW w:w="414" w:type="dxa"/>
          </w:tcPr>
          <w:p w14:paraId="11EA8D5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56" w14:textId="77777777" w:rsidR="00082358" w:rsidRPr="00381F62" w:rsidRDefault="00082358" w:rsidP="00B815F5">
            <w:pPr>
              <w:rPr>
                <w:rFonts w:ascii="Arial Narrow" w:hAnsi="Arial Narrow" w:cs="Arial"/>
                <w:szCs w:val="22"/>
              </w:rPr>
            </w:pPr>
          </w:p>
        </w:tc>
        <w:tc>
          <w:tcPr>
            <w:tcW w:w="414" w:type="dxa"/>
          </w:tcPr>
          <w:p w14:paraId="11EA8D57" w14:textId="77777777" w:rsidR="00082358" w:rsidRPr="00381F62" w:rsidRDefault="00082358" w:rsidP="00B815F5">
            <w:pPr>
              <w:rPr>
                <w:rFonts w:ascii="Arial Narrow" w:hAnsi="Arial Narrow" w:cs="Arial"/>
                <w:szCs w:val="22"/>
              </w:rPr>
            </w:pPr>
          </w:p>
        </w:tc>
      </w:tr>
      <w:tr w:rsidR="00381F62" w:rsidRPr="00381F62" w14:paraId="11EA8D69" w14:textId="77777777" w:rsidTr="00117212">
        <w:tc>
          <w:tcPr>
            <w:tcW w:w="781" w:type="dxa"/>
            <w:vMerge/>
            <w:vAlign w:val="center"/>
          </w:tcPr>
          <w:p w14:paraId="11EA8D59" w14:textId="77777777" w:rsidR="00082358" w:rsidRPr="00381F62" w:rsidRDefault="00082358" w:rsidP="00D230AA">
            <w:pPr>
              <w:jc w:val="center"/>
              <w:rPr>
                <w:rStyle w:val="IntenseReference"/>
                <w:color w:val="auto"/>
              </w:rPr>
            </w:pPr>
          </w:p>
        </w:tc>
        <w:tc>
          <w:tcPr>
            <w:tcW w:w="1097" w:type="dxa"/>
            <w:vMerge/>
            <w:vAlign w:val="center"/>
          </w:tcPr>
          <w:p w14:paraId="11EA8D5A" w14:textId="77777777" w:rsidR="00082358" w:rsidRPr="00381F62" w:rsidRDefault="00082358" w:rsidP="00D230AA">
            <w:pPr>
              <w:jc w:val="center"/>
              <w:rPr>
                <w:rStyle w:val="IntenseReference"/>
                <w:color w:val="auto"/>
              </w:rPr>
            </w:pPr>
          </w:p>
        </w:tc>
        <w:tc>
          <w:tcPr>
            <w:tcW w:w="2261" w:type="dxa"/>
            <w:vAlign w:val="bottom"/>
          </w:tcPr>
          <w:p w14:paraId="11EA8D5B" w14:textId="77777777" w:rsidR="00082358" w:rsidRPr="00381F62" w:rsidRDefault="00082358" w:rsidP="00B815F5">
            <w:pPr>
              <w:rPr>
                <w:rStyle w:val="IntenseReference"/>
                <w:color w:val="auto"/>
              </w:rPr>
            </w:pPr>
            <w:r w:rsidRPr="00381F62">
              <w:rPr>
                <w:rStyle w:val="IntenseReference"/>
                <w:color w:val="auto"/>
              </w:rPr>
              <w:t>Dunk North (WQ)</w:t>
            </w:r>
          </w:p>
        </w:tc>
        <w:tc>
          <w:tcPr>
            <w:tcW w:w="813" w:type="dxa"/>
          </w:tcPr>
          <w:p w14:paraId="11EA8D5C"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D5D"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5E"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5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6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6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62"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6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64"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6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6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67" w14:textId="77777777" w:rsidR="00082358" w:rsidRPr="00381F62" w:rsidRDefault="00082358" w:rsidP="00B815F5">
            <w:pPr>
              <w:rPr>
                <w:rFonts w:ascii="Arial Narrow" w:hAnsi="Arial Narrow" w:cs="Arial"/>
                <w:szCs w:val="22"/>
              </w:rPr>
            </w:pPr>
          </w:p>
        </w:tc>
        <w:tc>
          <w:tcPr>
            <w:tcW w:w="414" w:type="dxa"/>
          </w:tcPr>
          <w:p w14:paraId="11EA8D68" w14:textId="77777777" w:rsidR="00082358" w:rsidRPr="00381F62" w:rsidRDefault="00381F62" w:rsidP="00B815F5">
            <w:pPr>
              <w:rPr>
                <w:rFonts w:ascii="Arial Narrow" w:hAnsi="Arial Narrow" w:cs="Arial"/>
                <w:szCs w:val="22"/>
              </w:rPr>
            </w:pPr>
            <w:r w:rsidRPr="00381F62">
              <w:rPr>
                <w:rFonts w:ascii="Arial Narrow" w:hAnsi="Arial Narrow" w:cs="Arial"/>
                <w:szCs w:val="22"/>
              </w:rPr>
              <w:t>●</w:t>
            </w:r>
          </w:p>
        </w:tc>
      </w:tr>
      <w:tr w:rsidR="00381F62" w:rsidRPr="00381F62" w14:paraId="11EA8D7A" w14:textId="77777777" w:rsidTr="00117212">
        <w:tc>
          <w:tcPr>
            <w:tcW w:w="781" w:type="dxa"/>
            <w:vMerge/>
            <w:vAlign w:val="center"/>
          </w:tcPr>
          <w:p w14:paraId="11EA8D6A" w14:textId="77777777" w:rsidR="00082358" w:rsidRPr="00381F62" w:rsidRDefault="00082358" w:rsidP="00D230AA">
            <w:pPr>
              <w:jc w:val="center"/>
              <w:rPr>
                <w:rStyle w:val="IntenseReference"/>
                <w:color w:val="auto"/>
              </w:rPr>
            </w:pPr>
          </w:p>
        </w:tc>
        <w:tc>
          <w:tcPr>
            <w:tcW w:w="1097" w:type="dxa"/>
            <w:vMerge/>
            <w:vAlign w:val="center"/>
          </w:tcPr>
          <w:p w14:paraId="11EA8D6B" w14:textId="77777777" w:rsidR="00082358" w:rsidRPr="00381F62" w:rsidRDefault="00082358" w:rsidP="00D230AA">
            <w:pPr>
              <w:jc w:val="center"/>
              <w:rPr>
                <w:rStyle w:val="IntenseReference"/>
                <w:color w:val="auto"/>
              </w:rPr>
            </w:pPr>
          </w:p>
        </w:tc>
        <w:tc>
          <w:tcPr>
            <w:tcW w:w="2261" w:type="dxa"/>
            <w:vAlign w:val="bottom"/>
          </w:tcPr>
          <w:p w14:paraId="11EA8D6C" w14:textId="77777777" w:rsidR="00082358" w:rsidRPr="00381F62" w:rsidRDefault="00082358" w:rsidP="00B815F5">
            <w:pPr>
              <w:rPr>
                <w:rStyle w:val="IntenseReference"/>
                <w:color w:val="auto"/>
              </w:rPr>
            </w:pPr>
            <w:r w:rsidRPr="00381F62">
              <w:rPr>
                <w:rStyle w:val="IntenseReference"/>
                <w:color w:val="auto"/>
              </w:rPr>
              <w:t>Dunk South</w:t>
            </w:r>
          </w:p>
        </w:tc>
        <w:tc>
          <w:tcPr>
            <w:tcW w:w="813" w:type="dxa"/>
          </w:tcPr>
          <w:p w14:paraId="11EA8D6D"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D6E"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6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70" w14:textId="77777777" w:rsidR="00082358" w:rsidRPr="00381F62" w:rsidRDefault="00082358" w:rsidP="00B815F5">
            <w:pPr>
              <w:rPr>
                <w:rFonts w:ascii="Arial Narrow" w:hAnsi="Arial Narrow" w:cs="Arial"/>
                <w:szCs w:val="22"/>
              </w:rPr>
            </w:pPr>
          </w:p>
        </w:tc>
        <w:tc>
          <w:tcPr>
            <w:tcW w:w="414" w:type="dxa"/>
          </w:tcPr>
          <w:p w14:paraId="11EA8D7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72" w14:textId="77777777" w:rsidR="00082358" w:rsidRPr="00381F62" w:rsidRDefault="00082358" w:rsidP="00B815F5">
            <w:pPr>
              <w:rPr>
                <w:rFonts w:ascii="Arial Narrow" w:hAnsi="Arial Narrow" w:cs="Arial"/>
                <w:szCs w:val="22"/>
              </w:rPr>
            </w:pPr>
          </w:p>
        </w:tc>
        <w:tc>
          <w:tcPr>
            <w:tcW w:w="414" w:type="dxa"/>
          </w:tcPr>
          <w:p w14:paraId="11EA8D7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74" w14:textId="4C45569D" w:rsidR="00082358" w:rsidRPr="00381F62" w:rsidRDefault="006617A7" w:rsidP="00B815F5">
            <w:pPr>
              <w:rPr>
                <w:rFonts w:ascii="Arial Narrow" w:hAnsi="Arial Narrow" w:cs="Arial"/>
                <w:szCs w:val="22"/>
              </w:rPr>
            </w:pPr>
            <w:r w:rsidRPr="0029591A">
              <w:rPr>
                <w:rFonts w:ascii="Arial Narrow" w:hAnsi="Arial Narrow" w:cs="Arial"/>
                <w:b/>
                <w:color w:val="000000" w:themeColor="text1"/>
                <w:szCs w:val="22"/>
              </w:rPr>
              <w:t>+</w:t>
            </w:r>
          </w:p>
        </w:tc>
        <w:tc>
          <w:tcPr>
            <w:tcW w:w="414" w:type="dxa"/>
          </w:tcPr>
          <w:p w14:paraId="11EA8D7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76" w14:textId="77777777" w:rsidR="00082358" w:rsidRPr="00381F62" w:rsidRDefault="00082358" w:rsidP="00B815F5">
            <w:pPr>
              <w:rPr>
                <w:rFonts w:ascii="Arial Narrow" w:hAnsi="Arial Narrow" w:cs="Arial"/>
                <w:szCs w:val="22"/>
              </w:rPr>
            </w:pPr>
          </w:p>
        </w:tc>
        <w:tc>
          <w:tcPr>
            <w:tcW w:w="414" w:type="dxa"/>
          </w:tcPr>
          <w:p w14:paraId="11EA8D7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78" w14:textId="77777777" w:rsidR="00082358" w:rsidRPr="00381F62" w:rsidRDefault="00082358" w:rsidP="00B815F5">
            <w:pPr>
              <w:rPr>
                <w:rFonts w:ascii="Arial Narrow" w:hAnsi="Arial Narrow" w:cs="Arial"/>
                <w:szCs w:val="22"/>
              </w:rPr>
            </w:pPr>
          </w:p>
        </w:tc>
        <w:tc>
          <w:tcPr>
            <w:tcW w:w="414" w:type="dxa"/>
          </w:tcPr>
          <w:p w14:paraId="11EA8D79" w14:textId="77777777" w:rsidR="00082358" w:rsidRPr="00381F62" w:rsidRDefault="00381F62" w:rsidP="00B815F5">
            <w:pPr>
              <w:rPr>
                <w:rFonts w:ascii="Arial Narrow" w:hAnsi="Arial Narrow" w:cs="Arial"/>
                <w:szCs w:val="22"/>
              </w:rPr>
            </w:pPr>
            <w:r w:rsidRPr="00381F62">
              <w:rPr>
                <w:rFonts w:ascii="Arial Narrow" w:hAnsi="Arial Narrow" w:cs="Arial"/>
                <w:szCs w:val="22"/>
              </w:rPr>
              <w:t>●</w:t>
            </w:r>
          </w:p>
        </w:tc>
      </w:tr>
      <w:tr w:rsidR="00381F62" w:rsidRPr="00381F62" w14:paraId="11EA8D8B" w14:textId="77777777" w:rsidTr="00117212">
        <w:tc>
          <w:tcPr>
            <w:tcW w:w="781" w:type="dxa"/>
            <w:vMerge/>
            <w:vAlign w:val="center"/>
          </w:tcPr>
          <w:p w14:paraId="11EA8D7B" w14:textId="77777777" w:rsidR="00082358" w:rsidRPr="00381F62" w:rsidRDefault="00082358" w:rsidP="00D230AA">
            <w:pPr>
              <w:jc w:val="center"/>
              <w:rPr>
                <w:rStyle w:val="IntenseReference"/>
                <w:color w:val="auto"/>
              </w:rPr>
            </w:pPr>
          </w:p>
        </w:tc>
        <w:tc>
          <w:tcPr>
            <w:tcW w:w="1097" w:type="dxa"/>
            <w:vMerge/>
            <w:vAlign w:val="center"/>
          </w:tcPr>
          <w:p w14:paraId="11EA8D7C" w14:textId="77777777" w:rsidR="00082358" w:rsidRPr="00381F62" w:rsidRDefault="00082358" w:rsidP="00D230AA">
            <w:pPr>
              <w:jc w:val="center"/>
              <w:rPr>
                <w:rStyle w:val="IntenseReference"/>
                <w:color w:val="auto"/>
              </w:rPr>
            </w:pPr>
          </w:p>
        </w:tc>
        <w:tc>
          <w:tcPr>
            <w:tcW w:w="2261" w:type="dxa"/>
            <w:vAlign w:val="bottom"/>
          </w:tcPr>
          <w:p w14:paraId="11EA8D7D" w14:textId="77777777" w:rsidR="00082358" w:rsidRPr="00381F62" w:rsidRDefault="00082358" w:rsidP="00B815F5">
            <w:pPr>
              <w:rPr>
                <w:rStyle w:val="IntenseReference"/>
                <w:color w:val="auto"/>
              </w:rPr>
            </w:pPr>
            <w:r w:rsidRPr="00381F62">
              <w:rPr>
                <w:rStyle w:val="IntenseReference"/>
                <w:color w:val="auto"/>
              </w:rPr>
              <w:t>Bedarra</w:t>
            </w:r>
          </w:p>
        </w:tc>
        <w:tc>
          <w:tcPr>
            <w:tcW w:w="813" w:type="dxa"/>
          </w:tcPr>
          <w:p w14:paraId="11EA8D7E"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D7F" w14:textId="77777777" w:rsidR="00082358" w:rsidRPr="00381F62" w:rsidRDefault="00082358" w:rsidP="00B815F5">
            <w:pPr>
              <w:rPr>
                <w:rFonts w:ascii="Arial Narrow" w:hAnsi="Arial Narrow" w:cs="Arial"/>
                <w:szCs w:val="22"/>
              </w:rPr>
            </w:pPr>
          </w:p>
        </w:tc>
        <w:tc>
          <w:tcPr>
            <w:tcW w:w="414" w:type="dxa"/>
          </w:tcPr>
          <w:p w14:paraId="11EA8D80" w14:textId="77777777" w:rsidR="00082358" w:rsidRPr="00381F62" w:rsidRDefault="00082358" w:rsidP="00B815F5">
            <w:pPr>
              <w:rPr>
                <w:rFonts w:ascii="Arial Narrow" w:hAnsi="Arial Narrow" w:cs="Arial"/>
                <w:szCs w:val="22"/>
              </w:rPr>
            </w:pPr>
          </w:p>
        </w:tc>
        <w:tc>
          <w:tcPr>
            <w:tcW w:w="414" w:type="dxa"/>
          </w:tcPr>
          <w:p w14:paraId="11EA8D81" w14:textId="77777777" w:rsidR="00082358" w:rsidRPr="00381F62" w:rsidRDefault="00082358" w:rsidP="00B815F5">
            <w:pPr>
              <w:rPr>
                <w:rFonts w:ascii="Arial Narrow" w:hAnsi="Arial Narrow" w:cs="Arial"/>
                <w:szCs w:val="22"/>
              </w:rPr>
            </w:pPr>
          </w:p>
        </w:tc>
        <w:tc>
          <w:tcPr>
            <w:tcW w:w="414" w:type="dxa"/>
          </w:tcPr>
          <w:p w14:paraId="11EA8D82" w14:textId="77777777" w:rsidR="00082358" w:rsidRPr="00381F62" w:rsidRDefault="00082358" w:rsidP="00B815F5">
            <w:pPr>
              <w:rPr>
                <w:rFonts w:ascii="Arial Narrow" w:hAnsi="Arial Narrow" w:cs="Arial"/>
                <w:szCs w:val="22"/>
              </w:rPr>
            </w:pPr>
          </w:p>
        </w:tc>
        <w:tc>
          <w:tcPr>
            <w:tcW w:w="415" w:type="dxa"/>
          </w:tcPr>
          <w:p w14:paraId="11EA8D83" w14:textId="77777777" w:rsidR="00082358" w:rsidRPr="00381F62" w:rsidRDefault="00082358" w:rsidP="00B815F5">
            <w:pPr>
              <w:rPr>
                <w:rFonts w:ascii="Arial Narrow" w:hAnsi="Arial Narrow" w:cs="Arial"/>
                <w:szCs w:val="22"/>
              </w:rPr>
            </w:pPr>
          </w:p>
        </w:tc>
        <w:tc>
          <w:tcPr>
            <w:tcW w:w="414" w:type="dxa"/>
          </w:tcPr>
          <w:p w14:paraId="11EA8D84" w14:textId="77777777" w:rsidR="00082358" w:rsidRPr="00381F62" w:rsidRDefault="00082358" w:rsidP="00B815F5">
            <w:pPr>
              <w:rPr>
                <w:rFonts w:ascii="Arial Narrow" w:hAnsi="Arial Narrow" w:cs="Arial"/>
                <w:szCs w:val="22"/>
              </w:rPr>
            </w:pPr>
          </w:p>
        </w:tc>
        <w:tc>
          <w:tcPr>
            <w:tcW w:w="414" w:type="dxa"/>
          </w:tcPr>
          <w:p w14:paraId="11EA8D85" w14:textId="77777777" w:rsidR="00082358" w:rsidRPr="00381F62" w:rsidRDefault="00082358" w:rsidP="00B815F5">
            <w:pPr>
              <w:rPr>
                <w:rFonts w:ascii="Arial Narrow" w:hAnsi="Arial Narrow" w:cs="Arial"/>
                <w:szCs w:val="22"/>
              </w:rPr>
            </w:pPr>
          </w:p>
        </w:tc>
        <w:tc>
          <w:tcPr>
            <w:tcW w:w="414" w:type="dxa"/>
          </w:tcPr>
          <w:p w14:paraId="11EA8D86" w14:textId="77777777" w:rsidR="00082358" w:rsidRPr="00381F62" w:rsidRDefault="00082358" w:rsidP="00B815F5">
            <w:pPr>
              <w:rPr>
                <w:rFonts w:ascii="Arial Narrow" w:hAnsi="Arial Narrow" w:cs="Arial"/>
                <w:szCs w:val="22"/>
              </w:rPr>
            </w:pPr>
          </w:p>
        </w:tc>
        <w:tc>
          <w:tcPr>
            <w:tcW w:w="415" w:type="dxa"/>
          </w:tcPr>
          <w:p w14:paraId="11EA8D87" w14:textId="77777777" w:rsidR="00082358" w:rsidRPr="00381F62" w:rsidRDefault="00082358" w:rsidP="00B815F5">
            <w:pPr>
              <w:rPr>
                <w:rFonts w:ascii="Arial Narrow" w:hAnsi="Arial Narrow" w:cs="Arial"/>
                <w:szCs w:val="22"/>
              </w:rPr>
            </w:pPr>
          </w:p>
        </w:tc>
        <w:tc>
          <w:tcPr>
            <w:tcW w:w="414" w:type="dxa"/>
          </w:tcPr>
          <w:p w14:paraId="11EA8D88" w14:textId="77777777" w:rsidR="00082358" w:rsidRPr="00381F62" w:rsidRDefault="00082358" w:rsidP="00B815F5">
            <w:pPr>
              <w:rPr>
                <w:rFonts w:ascii="Arial Narrow" w:hAnsi="Arial Narrow" w:cs="Arial"/>
                <w:szCs w:val="22"/>
              </w:rPr>
            </w:pPr>
          </w:p>
        </w:tc>
        <w:tc>
          <w:tcPr>
            <w:tcW w:w="414" w:type="dxa"/>
          </w:tcPr>
          <w:p w14:paraId="11EA8D8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8A" w14:textId="6CC97822" w:rsidR="00082358" w:rsidRPr="00381F62" w:rsidRDefault="006617A7" w:rsidP="00B815F5">
            <w:pPr>
              <w:rPr>
                <w:rFonts w:ascii="Arial Narrow" w:hAnsi="Arial Narrow" w:cs="Arial"/>
                <w:szCs w:val="22"/>
              </w:rPr>
            </w:pPr>
            <w:r w:rsidRPr="0029591A">
              <w:rPr>
                <w:rFonts w:ascii="Arial Narrow" w:hAnsi="Arial Narrow" w:cs="Arial"/>
                <w:b/>
                <w:color w:val="000000" w:themeColor="text1"/>
                <w:szCs w:val="22"/>
              </w:rPr>
              <w:t>+</w:t>
            </w:r>
          </w:p>
        </w:tc>
      </w:tr>
      <w:tr w:rsidR="00381F62" w:rsidRPr="00381F62" w14:paraId="11EA8D9B" w14:textId="77777777" w:rsidTr="00117212">
        <w:tc>
          <w:tcPr>
            <w:tcW w:w="1878" w:type="dxa"/>
            <w:gridSpan w:val="2"/>
            <w:vMerge w:val="restart"/>
            <w:vAlign w:val="center"/>
          </w:tcPr>
          <w:p w14:paraId="11EA8D8C" w14:textId="77777777" w:rsidR="00082358" w:rsidRPr="00381F62" w:rsidRDefault="00082358" w:rsidP="00613E31">
            <w:pPr>
              <w:jc w:val="center"/>
              <w:rPr>
                <w:rStyle w:val="IntenseReference"/>
                <w:color w:val="auto"/>
              </w:rPr>
            </w:pPr>
            <w:r w:rsidRPr="00381F62">
              <w:rPr>
                <w:rStyle w:val="IntenseReference"/>
                <w:color w:val="auto"/>
              </w:rPr>
              <w:t>Burdekin</w:t>
            </w:r>
          </w:p>
        </w:tc>
        <w:tc>
          <w:tcPr>
            <w:tcW w:w="2261" w:type="dxa"/>
            <w:vAlign w:val="bottom"/>
          </w:tcPr>
          <w:p w14:paraId="11EA8D8D" w14:textId="77777777" w:rsidR="00082358" w:rsidRPr="00381F62" w:rsidRDefault="00082358" w:rsidP="00B815F5">
            <w:pPr>
              <w:rPr>
                <w:rStyle w:val="IntenseReference"/>
                <w:color w:val="auto"/>
              </w:rPr>
            </w:pPr>
            <w:r w:rsidRPr="00381F62">
              <w:rPr>
                <w:rStyle w:val="IntenseReference"/>
                <w:color w:val="auto"/>
              </w:rPr>
              <w:t>Palms West (WQ)</w:t>
            </w:r>
          </w:p>
        </w:tc>
        <w:tc>
          <w:tcPr>
            <w:tcW w:w="813" w:type="dxa"/>
          </w:tcPr>
          <w:p w14:paraId="11EA8D8E"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D8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9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9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92"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9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94"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9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9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9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9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9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9A" w14:textId="32430140" w:rsidR="00082358" w:rsidRPr="00381F62" w:rsidRDefault="006617A7" w:rsidP="00B815F5">
            <w:pPr>
              <w:rPr>
                <w:rFonts w:ascii="Arial Narrow" w:hAnsi="Arial Narrow" w:cs="Arial"/>
                <w:szCs w:val="22"/>
              </w:rPr>
            </w:pPr>
            <w:r w:rsidRPr="0029591A">
              <w:rPr>
                <w:rFonts w:ascii="Arial Narrow" w:hAnsi="Arial Narrow" w:cs="Arial"/>
                <w:b/>
                <w:color w:val="000000" w:themeColor="text1"/>
                <w:szCs w:val="22"/>
              </w:rPr>
              <w:t>+</w:t>
            </w:r>
          </w:p>
        </w:tc>
      </w:tr>
      <w:tr w:rsidR="00381F62" w:rsidRPr="00381F62" w14:paraId="11EA8DAB" w14:textId="77777777" w:rsidTr="00117212">
        <w:tc>
          <w:tcPr>
            <w:tcW w:w="1878" w:type="dxa"/>
            <w:gridSpan w:val="2"/>
            <w:vMerge/>
            <w:vAlign w:val="center"/>
          </w:tcPr>
          <w:p w14:paraId="11EA8D9C" w14:textId="77777777" w:rsidR="00082358" w:rsidRPr="00381F62" w:rsidRDefault="00082358" w:rsidP="00D230AA">
            <w:pPr>
              <w:jc w:val="center"/>
              <w:rPr>
                <w:rStyle w:val="IntenseReference"/>
                <w:color w:val="auto"/>
              </w:rPr>
            </w:pPr>
          </w:p>
        </w:tc>
        <w:tc>
          <w:tcPr>
            <w:tcW w:w="2261" w:type="dxa"/>
            <w:vAlign w:val="bottom"/>
          </w:tcPr>
          <w:p w14:paraId="11EA8D9D" w14:textId="77777777" w:rsidR="00082358" w:rsidRPr="00381F62" w:rsidRDefault="00082358" w:rsidP="00B815F5">
            <w:pPr>
              <w:rPr>
                <w:rStyle w:val="IntenseReference"/>
                <w:color w:val="auto"/>
              </w:rPr>
            </w:pPr>
            <w:r w:rsidRPr="00381F62">
              <w:rPr>
                <w:rStyle w:val="IntenseReference"/>
                <w:color w:val="auto"/>
              </w:rPr>
              <w:t>Palms East</w:t>
            </w:r>
          </w:p>
        </w:tc>
        <w:tc>
          <w:tcPr>
            <w:tcW w:w="813" w:type="dxa"/>
          </w:tcPr>
          <w:p w14:paraId="11EA8D9E"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D9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A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A1" w14:textId="77777777" w:rsidR="00082358" w:rsidRPr="00381F62" w:rsidRDefault="00082358" w:rsidP="00B815F5">
            <w:pPr>
              <w:rPr>
                <w:rFonts w:ascii="Arial Narrow" w:hAnsi="Arial Narrow" w:cs="Arial"/>
                <w:szCs w:val="22"/>
              </w:rPr>
            </w:pPr>
          </w:p>
        </w:tc>
        <w:tc>
          <w:tcPr>
            <w:tcW w:w="414" w:type="dxa"/>
          </w:tcPr>
          <w:p w14:paraId="11EA8DA2"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A3" w14:textId="77777777" w:rsidR="00082358" w:rsidRPr="00381F62" w:rsidRDefault="00082358" w:rsidP="00B815F5">
            <w:pPr>
              <w:rPr>
                <w:rFonts w:ascii="Arial Narrow" w:hAnsi="Arial Narrow" w:cs="Arial"/>
                <w:szCs w:val="22"/>
              </w:rPr>
            </w:pPr>
          </w:p>
        </w:tc>
        <w:tc>
          <w:tcPr>
            <w:tcW w:w="414" w:type="dxa"/>
          </w:tcPr>
          <w:p w14:paraId="11EA8DA4"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A5" w14:textId="1B18943D" w:rsidR="00082358" w:rsidRPr="00381F62" w:rsidRDefault="006617A7" w:rsidP="00B815F5">
            <w:pPr>
              <w:rPr>
                <w:rFonts w:ascii="Arial Narrow" w:hAnsi="Arial Narrow" w:cs="Arial"/>
                <w:szCs w:val="22"/>
              </w:rPr>
            </w:pPr>
            <w:r w:rsidRPr="0029591A">
              <w:rPr>
                <w:rFonts w:ascii="Arial Narrow" w:hAnsi="Arial Narrow" w:cs="Arial"/>
                <w:b/>
                <w:color w:val="000000" w:themeColor="text1"/>
                <w:szCs w:val="22"/>
              </w:rPr>
              <w:t>+</w:t>
            </w:r>
          </w:p>
        </w:tc>
        <w:tc>
          <w:tcPr>
            <w:tcW w:w="414" w:type="dxa"/>
          </w:tcPr>
          <w:p w14:paraId="11EA8DA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A7" w14:textId="77777777" w:rsidR="00082358" w:rsidRPr="00381F62" w:rsidRDefault="00082358" w:rsidP="00B815F5">
            <w:pPr>
              <w:rPr>
                <w:rFonts w:ascii="Arial Narrow" w:hAnsi="Arial Narrow" w:cs="Arial"/>
                <w:szCs w:val="22"/>
              </w:rPr>
            </w:pPr>
          </w:p>
        </w:tc>
        <w:tc>
          <w:tcPr>
            <w:tcW w:w="414" w:type="dxa"/>
          </w:tcPr>
          <w:p w14:paraId="11EA8DA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A9" w14:textId="77777777" w:rsidR="00082358" w:rsidRPr="00381F62" w:rsidRDefault="00082358" w:rsidP="00B815F5">
            <w:pPr>
              <w:rPr>
                <w:rFonts w:ascii="Arial Narrow" w:hAnsi="Arial Narrow" w:cs="Arial"/>
                <w:szCs w:val="22"/>
              </w:rPr>
            </w:pPr>
          </w:p>
        </w:tc>
        <w:tc>
          <w:tcPr>
            <w:tcW w:w="414" w:type="dxa"/>
          </w:tcPr>
          <w:p w14:paraId="11EA8DAA" w14:textId="77777777" w:rsidR="00082358" w:rsidRPr="00381F62" w:rsidRDefault="00381F62" w:rsidP="00B815F5">
            <w:pPr>
              <w:rPr>
                <w:rFonts w:ascii="Arial Narrow" w:hAnsi="Arial Narrow" w:cs="Arial"/>
                <w:szCs w:val="22"/>
              </w:rPr>
            </w:pPr>
            <w:r w:rsidRPr="00381F62">
              <w:rPr>
                <w:rFonts w:ascii="Arial Narrow" w:hAnsi="Arial Narrow" w:cs="Arial"/>
                <w:szCs w:val="22"/>
              </w:rPr>
              <w:t>●</w:t>
            </w:r>
          </w:p>
        </w:tc>
      </w:tr>
      <w:tr w:rsidR="00381F62" w:rsidRPr="00381F62" w14:paraId="11EA8DBB" w14:textId="77777777" w:rsidTr="00117212">
        <w:tc>
          <w:tcPr>
            <w:tcW w:w="1878" w:type="dxa"/>
            <w:gridSpan w:val="2"/>
            <w:vMerge/>
            <w:vAlign w:val="center"/>
          </w:tcPr>
          <w:p w14:paraId="11EA8DAC" w14:textId="77777777" w:rsidR="00082358" w:rsidRPr="00381F62" w:rsidRDefault="00082358" w:rsidP="00D230AA">
            <w:pPr>
              <w:jc w:val="center"/>
              <w:rPr>
                <w:rStyle w:val="IntenseReference"/>
                <w:color w:val="auto"/>
              </w:rPr>
            </w:pPr>
          </w:p>
        </w:tc>
        <w:tc>
          <w:tcPr>
            <w:tcW w:w="2261" w:type="dxa"/>
            <w:vAlign w:val="bottom"/>
          </w:tcPr>
          <w:p w14:paraId="11EA8DAD" w14:textId="77777777" w:rsidR="00082358" w:rsidRPr="00381F62" w:rsidRDefault="00082358" w:rsidP="00B815F5">
            <w:pPr>
              <w:rPr>
                <w:rStyle w:val="IntenseReference"/>
                <w:color w:val="auto"/>
              </w:rPr>
            </w:pPr>
            <w:r w:rsidRPr="00381F62">
              <w:rPr>
                <w:rStyle w:val="IntenseReference"/>
                <w:color w:val="auto"/>
              </w:rPr>
              <w:t>Lady Elliot</w:t>
            </w:r>
          </w:p>
        </w:tc>
        <w:tc>
          <w:tcPr>
            <w:tcW w:w="813" w:type="dxa"/>
          </w:tcPr>
          <w:p w14:paraId="11EA8DAE"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DA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B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B1" w14:textId="77777777" w:rsidR="00082358" w:rsidRPr="00381F62" w:rsidRDefault="00082358" w:rsidP="00B815F5">
            <w:pPr>
              <w:rPr>
                <w:rFonts w:ascii="Arial Narrow" w:hAnsi="Arial Narrow" w:cs="Arial"/>
                <w:szCs w:val="22"/>
              </w:rPr>
            </w:pPr>
          </w:p>
        </w:tc>
        <w:tc>
          <w:tcPr>
            <w:tcW w:w="414" w:type="dxa"/>
          </w:tcPr>
          <w:p w14:paraId="11EA8DB2"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B3" w14:textId="77777777" w:rsidR="00082358" w:rsidRPr="00381F62" w:rsidRDefault="00082358" w:rsidP="00B815F5">
            <w:pPr>
              <w:rPr>
                <w:rFonts w:ascii="Arial Narrow" w:hAnsi="Arial Narrow" w:cs="Arial"/>
                <w:szCs w:val="22"/>
              </w:rPr>
            </w:pPr>
          </w:p>
        </w:tc>
        <w:tc>
          <w:tcPr>
            <w:tcW w:w="414" w:type="dxa"/>
          </w:tcPr>
          <w:p w14:paraId="11EA8DB4"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B5" w14:textId="77777777" w:rsidR="00082358" w:rsidRPr="00381F62" w:rsidRDefault="00082358" w:rsidP="00B815F5">
            <w:pPr>
              <w:rPr>
                <w:rFonts w:ascii="Arial Narrow" w:hAnsi="Arial Narrow" w:cs="Arial"/>
                <w:szCs w:val="22"/>
              </w:rPr>
            </w:pPr>
          </w:p>
        </w:tc>
        <w:tc>
          <w:tcPr>
            <w:tcW w:w="414" w:type="dxa"/>
          </w:tcPr>
          <w:p w14:paraId="11EA8DB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B7" w14:textId="77777777" w:rsidR="00082358" w:rsidRPr="00381F62" w:rsidRDefault="00082358" w:rsidP="00B815F5">
            <w:pPr>
              <w:rPr>
                <w:rFonts w:ascii="Arial Narrow" w:hAnsi="Arial Narrow" w:cs="Arial"/>
                <w:szCs w:val="22"/>
              </w:rPr>
            </w:pPr>
          </w:p>
        </w:tc>
        <w:tc>
          <w:tcPr>
            <w:tcW w:w="414" w:type="dxa"/>
          </w:tcPr>
          <w:p w14:paraId="11EA8DB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B9" w14:textId="77777777" w:rsidR="00082358" w:rsidRPr="00381F62" w:rsidRDefault="00082358" w:rsidP="00B815F5">
            <w:pPr>
              <w:rPr>
                <w:rFonts w:ascii="Arial Narrow" w:hAnsi="Arial Narrow" w:cs="Arial"/>
                <w:szCs w:val="22"/>
              </w:rPr>
            </w:pPr>
          </w:p>
        </w:tc>
        <w:tc>
          <w:tcPr>
            <w:tcW w:w="414" w:type="dxa"/>
          </w:tcPr>
          <w:p w14:paraId="11EA8DBA" w14:textId="77777777" w:rsidR="00082358" w:rsidRPr="00381F62" w:rsidRDefault="00381F62" w:rsidP="00B815F5">
            <w:pPr>
              <w:rPr>
                <w:rFonts w:ascii="Arial Narrow" w:hAnsi="Arial Narrow" w:cs="Arial"/>
                <w:szCs w:val="22"/>
              </w:rPr>
            </w:pPr>
            <w:r w:rsidRPr="00381F62">
              <w:rPr>
                <w:rFonts w:ascii="Arial Narrow" w:hAnsi="Arial Narrow" w:cs="Arial"/>
                <w:szCs w:val="22"/>
              </w:rPr>
              <w:t>●</w:t>
            </w:r>
          </w:p>
        </w:tc>
      </w:tr>
      <w:tr w:rsidR="00381F62" w:rsidRPr="00381F62" w14:paraId="11EA8DCB" w14:textId="77777777" w:rsidTr="00117212">
        <w:tc>
          <w:tcPr>
            <w:tcW w:w="1878" w:type="dxa"/>
            <w:gridSpan w:val="2"/>
            <w:vMerge/>
            <w:vAlign w:val="center"/>
          </w:tcPr>
          <w:p w14:paraId="11EA8DBC" w14:textId="77777777" w:rsidR="00082358" w:rsidRPr="00381F62" w:rsidRDefault="00082358" w:rsidP="00D230AA">
            <w:pPr>
              <w:jc w:val="center"/>
              <w:rPr>
                <w:rStyle w:val="IntenseReference"/>
                <w:color w:val="auto"/>
              </w:rPr>
            </w:pPr>
          </w:p>
        </w:tc>
        <w:tc>
          <w:tcPr>
            <w:tcW w:w="2261" w:type="dxa"/>
            <w:vAlign w:val="bottom"/>
          </w:tcPr>
          <w:p w14:paraId="11EA8DBD" w14:textId="77777777" w:rsidR="00082358" w:rsidRPr="00381F62" w:rsidRDefault="00082358" w:rsidP="00B815F5">
            <w:pPr>
              <w:rPr>
                <w:rStyle w:val="IntenseReference"/>
                <w:color w:val="auto"/>
              </w:rPr>
            </w:pPr>
            <w:r w:rsidRPr="00381F62">
              <w:rPr>
                <w:rStyle w:val="IntenseReference"/>
                <w:color w:val="auto"/>
              </w:rPr>
              <w:t>Pandora North</w:t>
            </w:r>
          </w:p>
        </w:tc>
        <w:tc>
          <w:tcPr>
            <w:tcW w:w="813" w:type="dxa"/>
          </w:tcPr>
          <w:p w14:paraId="11EA8DBE" w14:textId="77777777" w:rsidR="00082358" w:rsidRPr="00381F62" w:rsidRDefault="00082358" w:rsidP="00B815F5">
            <w:pPr>
              <w:rPr>
                <w:rStyle w:val="IntenseReference"/>
                <w:color w:val="auto"/>
              </w:rPr>
            </w:pPr>
            <w:r w:rsidRPr="00381F62">
              <w:rPr>
                <w:rStyle w:val="IntenseReference"/>
                <w:color w:val="auto"/>
              </w:rPr>
              <w:t>LTMP</w:t>
            </w:r>
          </w:p>
        </w:tc>
        <w:tc>
          <w:tcPr>
            <w:tcW w:w="415" w:type="dxa"/>
          </w:tcPr>
          <w:p w14:paraId="11EA8DB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C0" w14:textId="77777777" w:rsidR="00082358" w:rsidRPr="00381F62" w:rsidRDefault="00082358" w:rsidP="00B815F5">
            <w:pPr>
              <w:rPr>
                <w:rFonts w:ascii="Arial Narrow" w:hAnsi="Arial Narrow" w:cs="Arial"/>
                <w:szCs w:val="22"/>
              </w:rPr>
            </w:pPr>
          </w:p>
        </w:tc>
        <w:tc>
          <w:tcPr>
            <w:tcW w:w="414" w:type="dxa"/>
          </w:tcPr>
          <w:p w14:paraId="11EA8DC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C2" w14:textId="77777777" w:rsidR="00082358" w:rsidRPr="00381F62" w:rsidRDefault="00082358" w:rsidP="00B815F5">
            <w:pPr>
              <w:rPr>
                <w:rFonts w:ascii="Arial Narrow" w:hAnsi="Arial Narrow" w:cs="Arial"/>
                <w:szCs w:val="22"/>
              </w:rPr>
            </w:pPr>
          </w:p>
        </w:tc>
        <w:tc>
          <w:tcPr>
            <w:tcW w:w="415" w:type="dxa"/>
          </w:tcPr>
          <w:p w14:paraId="11EA8DC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C4" w14:textId="77777777" w:rsidR="00082358" w:rsidRPr="00381F62" w:rsidRDefault="00082358" w:rsidP="00B815F5">
            <w:pPr>
              <w:rPr>
                <w:rFonts w:ascii="Arial Narrow" w:hAnsi="Arial Narrow" w:cs="Arial"/>
                <w:szCs w:val="22"/>
              </w:rPr>
            </w:pPr>
          </w:p>
        </w:tc>
        <w:tc>
          <w:tcPr>
            <w:tcW w:w="414" w:type="dxa"/>
          </w:tcPr>
          <w:p w14:paraId="11EA8DC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C6" w14:textId="77777777" w:rsidR="00082358" w:rsidRPr="00381F62" w:rsidRDefault="00082358" w:rsidP="00B815F5">
            <w:pPr>
              <w:rPr>
                <w:rFonts w:ascii="Arial Narrow" w:hAnsi="Arial Narrow" w:cs="Arial"/>
                <w:szCs w:val="22"/>
              </w:rPr>
            </w:pPr>
          </w:p>
        </w:tc>
        <w:tc>
          <w:tcPr>
            <w:tcW w:w="415" w:type="dxa"/>
          </w:tcPr>
          <w:p w14:paraId="11EA8DC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C8" w14:textId="77777777" w:rsidR="00082358" w:rsidRPr="00381F62" w:rsidRDefault="00082358" w:rsidP="00B815F5">
            <w:pPr>
              <w:rPr>
                <w:rFonts w:ascii="Arial Narrow" w:hAnsi="Arial Narrow" w:cs="Arial"/>
                <w:szCs w:val="22"/>
              </w:rPr>
            </w:pPr>
          </w:p>
        </w:tc>
        <w:tc>
          <w:tcPr>
            <w:tcW w:w="414" w:type="dxa"/>
          </w:tcPr>
          <w:p w14:paraId="11EA8DC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CA" w14:textId="77777777" w:rsidR="00082358" w:rsidRPr="00381F62" w:rsidRDefault="00082358" w:rsidP="00B815F5">
            <w:pPr>
              <w:rPr>
                <w:rFonts w:ascii="Arial Narrow" w:hAnsi="Arial Narrow" w:cs="Arial"/>
                <w:szCs w:val="22"/>
              </w:rPr>
            </w:pPr>
          </w:p>
        </w:tc>
      </w:tr>
      <w:tr w:rsidR="00381F62" w:rsidRPr="00381F62" w14:paraId="11EA8DDB" w14:textId="77777777" w:rsidTr="00117212">
        <w:tc>
          <w:tcPr>
            <w:tcW w:w="1878" w:type="dxa"/>
            <w:gridSpan w:val="2"/>
            <w:vMerge/>
            <w:vAlign w:val="center"/>
          </w:tcPr>
          <w:p w14:paraId="11EA8DCC" w14:textId="77777777" w:rsidR="00082358" w:rsidRPr="00381F62" w:rsidRDefault="00082358" w:rsidP="00D230AA">
            <w:pPr>
              <w:jc w:val="center"/>
              <w:rPr>
                <w:rStyle w:val="IntenseReference"/>
                <w:color w:val="auto"/>
              </w:rPr>
            </w:pPr>
          </w:p>
        </w:tc>
        <w:tc>
          <w:tcPr>
            <w:tcW w:w="2261" w:type="dxa"/>
            <w:vAlign w:val="bottom"/>
          </w:tcPr>
          <w:p w14:paraId="11EA8DCD" w14:textId="77777777" w:rsidR="00082358" w:rsidRPr="00381F62" w:rsidRDefault="00082358" w:rsidP="00B815F5">
            <w:pPr>
              <w:rPr>
                <w:rStyle w:val="IntenseReference"/>
                <w:color w:val="auto"/>
              </w:rPr>
            </w:pPr>
            <w:r w:rsidRPr="00381F62">
              <w:rPr>
                <w:rStyle w:val="IntenseReference"/>
                <w:color w:val="auto"/>
              </w:rPr>
              <w:t>Pandora (WQ)</w:t>
            </w:r>
          </w:p>
        </w:tc>
        <w:tc>
          <w:tcPr>
            <w:tcW w:w="813" w:type="dxa"/>
          </w:tcPr>
          <w:p w14:paraId="11EA8DCE"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DC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D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D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D2"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D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D4"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D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D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DD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D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D9" w14:textId="77777777" w:rsidR="00082358" w:rsidRPr="00381F62" w:rsidRDefault="00082358" w:rsidP="00B815F5">
            <w:pPr>
              <w:rPr>
                <w:rFonts w:ascii="Arial Narrow" w:hAnsi="Arial Narrow" w:cs="Arial"/>
                <w:szCs w:val="22"/>
              </w:rPr>
            </w:pPr>
          </w:p>
        </w:tc>
        <w:tc>
          <w:tcPr>
            <w:tcW w:w="414" w:type="dxa"/>
          </w:tcPr>
          <w:p w14:paraId="11EA8DDA" w14:textId="77777777" w:rsidR="00082358" w:rsidRPr="00381F62" w:rsidRDefault="00381F62" w:rsidP="00B815F5">
            <w:pPr>
              <w:rPr>
                <w:rFonts w:ascii="Arial Narrow" w:hAnsi="Arial Narrow" w:cs="Arial"/>
                <w:szCs w:val="22"/>
              </w:rPr>
            </w:pPr>
            <w:r w:rsidRPr="00381F62">
              <w:rPr>
                <w:rFonts w:ascii="Arial Narrow" w:hAnsi="Arial Narrow" w:cs="Arial"/>
                <w:szCs w:val="22"/>
              </w:rPr>
              <w:t>●</w:t>
            </w:r>
          </w:p>
        </w:tc>
      </w:tr>
      <w:tr w:rsidR="00381F62" w:rsidRPr="00381F62" w14:paraId="11EA8DEB" w14:textId="77777777" w:rsidTr="00117212">
        <w:tc>
          <w:tcPr>
            <w:tcW w:w="1878" w:type="dxa"/>
            <w:gridSpan w:val="2"/>
            <w:vMerge/>
            <w:vAlign w:val="center"/>
          </w:tcPr>
          <w:p w14:paraId="11EA8DDC" w14:textId="77777777" w:rsidR="00082358" w:rsidRPr="00381F62" w:rsidRDefault="00082358" w:rsidP="00D230AA">
            <w:pPr>
              <w:jc w:val="center"/>
              <w:rPr>
                <w:rStyle w:val="IntenseReference"/>
                <w:color w:val="auto"/>
              </w:rPr>
            </w:pPr>
          </w:p>
        </w:tc>
        <w:tc>
          <w:tcPr>
            <w:tcW w:w="2261" w:type="dxa"/>
            <w:vAlign w:val="bottom"/>
          </w:tcPr>
          <w:p w14:paraId="11EA8DDD" w14:textId="77777777" w:rsidR="00082358" w:rsidRPr="00381F62" w:rsidRDefault="00082358" w:rsidP="00B815F5">
            <w:pPr>
              <w:rPr>
                <w:rStyle w:val="IntenseReference"/>
                <w:color w:val="auto"/>
              </w:rPr>
            </w:pPr>
            <w:r w:rsidRPr="00381F62">
              <w:rPr>
                <w:rStyle w:val="IntenseReference"/>
                <w:color w:val="auto"/>
              </w:rPr>
              <w:t>Havannah North</w:t>
            </w:r>
          </w:p>
        </w:tc>
        <w:tc>
          <w:tcPr>
            <w:tcW w:w="813" w:type="dxa"/>
          </w:tcPr>
          <w:p w14:paraId="11EA8DDE" w14:textId="77777777" w:rsidR="00082358" w:rsidRPr="00381F62" w:rsidRDefault="00082358" w:rsidP="00B815F5">
            <w:pPr>
              <w:rPr>
                <w:rStyle w:val="IntenseReference"/>
                <w:color w:val="auto"/>
              </w:rPr>
            </w:pPr>
            <w:r w:rsidRPr="00381F62">
              <w:rPr>
                <w:rStyle w:val="IntenseReference"/>
                <w:color w:val="auto"/>
              </w:rPr>
              <w:t>LTMP</w:t>
            </w:r>
          </w:p>
        </w:tc>
        <w:tc>
          <w:tcPr>
            <w:tcW w:w="415" w:type="dxa"/>
          </w:tcPr>
          <w:p w14:paraId="11EA8DD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E0" w14:textId="77777777" w:rsidR="00082358" w:rsidRPr="00381F62" w:rsidRDefault="00082358" w:rsidP="00B815F5">
            <w:pPr>
              <w:rPr>
                <w:rFonts w:ascii="Arial Narrow" w:hAnsi="Arial Narrow" w:cs="Arial"/>
                <w:szCs w:val="22"/>
              </w:rPr>
            </w:pPr>
          </w:p>
        </w:tc>
        <w:tc>
          <w:tcPr>
            <w:tcW w:w="414" w:type="dxa"/>
          </w:tcPr>
          <w:p w14:paraId="11EA8DE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E2" w14:textId="77777777" w:rsidR="00082358" w:rsidRPr="00381F62" w:rsidRDefault="00082358" w:rsidP="00B815F5">
            <w:pPr>
              <w:rPr>
                <w:rFonts w:ascii="Arial Narrow" w:hAnsi="Arial Narrow" w:cs="Arial"/>
                <w:szCs w:val="22"/>
              </w:rPr>
            </w:pPr>
          </w:p>
        </w:tc>
        <w:tc>
          <w:tcPr>
            <w:tcW w:w="415" w:type="dxa"/>
          </w:tcPr>
          <w:p w14:paraId="11EA8DE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E4" w14:textId="77777777" w:rsidR="00082358" w:rsidRPr="00381F62" w:rsidRDefault="00082358" w:rsidP="00B815F5">
            <w:pPr>
              <w:rPr>
                <w:rFonts w:ascii="Arial Narrow" w:hAnsi="Arial Narrow" w:cs="Arial"/>
                <w:szCs w:val="22"/>
              </w:rPr>
            </w:pPr>
          </w:p>
        </w:tc>
        <w:tc>
          <w:tcPr>
            <w:tcW w:w="414" w:type="dxa"/>
          </w:tcPr>
          <w:p w14:paraId="11EA8DE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E6" w14:textId="77777777" w:rsidR="00082358" w:rsidRPr="00381F62" w:rsidRDefault="00082358" w:rsidP="00B815F5">
            <w:pPr>
              <w:rPr>
                <w:rFonts w:ascii="Arial Narrow" w:hAnsi="Arial Narrow" w:cs="Arial"/>
                <w:szCs w:val="22"/>
              </w:rPr>
            </w:pPr>
          </w:p>
        </w:tc>
        <w:tc>
          <w:tcPr>
            <w:tcW w:w="415" w:type="dxa"/>
          </w:tcPr>
          <w:p w14:paraId="11EA8DE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E8" w14:textId="77777777" w:rsidR="00082358" w:rsidRPr="00381F62" w:rsidRDefault="00082358" w:rsidP="00B815F5">
            <w:pPr>
              <w:rPr>
                <w:rFonts w:ascii="Arial Narrow" w:hAnsi="Arial Narrow" w:cs="Arial"/>
                <w:szCs w:val="22"/>
              </w:rPr>
            </w:pPr>
          </w:p>
        </w:tc>
        <w:tc>
          <w:tcPr>
            <w:tcW w:w="414" w:type="dxa"/>
          </w:tcPr>
          <w:p w14:paraId="11EA8DE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EA" w14:textId="77777777" w:rsidR="00082358" w:rsidRPr="00381F62" w:rsidRDefault="00082358" w:rsidP="00B815F5">
            <w:pPr>
              <w:rPr>
                <w:rFonts w:ascii="Arial Narrow" w:hAnsi="Arial Narrow" w:cs="Arial"/>
                <w:szCs w:val="22"/>
              </w:rPr>
            </w:pPr>
          </w:p>
        </w:tc>
      </w:tr>
      <w:tr w:rsidR="00381F62" w:rsidRPr="00381F62" w14:paraId="11EA8DFB" w14:textId="77777777" w:rsidTr="00117212">
        <w:tc>
          <w:tcPr>
            <w:tcW w:w="1878" w:type="dxa"/>
            <w:gridSpan w:val="2"/>
            <w:vMerge/>
            <w:vAlign w:val="center"/>
          </w:tcPr>
          <w:p w14:paraId="11EA8DEC" w14:textId="77777777" w:rsidR="00082358" w:rsidRPr="00381F62" w:rsidRDefault="00082358" w:rsidP="00D230AA">
            <w:pPr>
              <w:jc w:val="center"/>
              <w:rPr>
                <w:rStyle w:val="IntenseReference"/>
                <w:color w:val="auto"/>
              </w:rPr>
            </w:pPr>
          </w:p>
        </w:tc>
        <w:tc>
          <w:tcPr>
            <w:tcW w:w="2261" w:type="dxa"/>
            <w:vAlign w:val="bottom"/>
          </w:tcPr>
          <w:p w14:paraId="11EA8DED" w14:textId="77777777" w:rsidR="00082358" w:rsidRPr="00381F62" w:rsidRDefault="00082358" w:rsidP="00B815F5">
            <w:pPr>
              <w:rPr>
                <w:rStyle w:val="IntenseReference"/>
                <w:color w:val="auto"/>
              </w:rPr>
            </w:pPr>
            <w:r w:rsidRPr="00381F62">
              <w:rPr>
                <w:rStyle w:val="IntenseReference"/>
                <w:color w:val="auto"/>
              </w:rPr>
              <w:t>Havannah</w:t>
            </w:r>
          </w:p>
        </w:tc>
        <w:tc>
          <w:tcPr>
            <w:tcW w:w="813" w:type="dxa"/>
          </w:tcPr>
          <w:p w14:paraId="11EA8DEE"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DE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F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F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F2" w14:textId="77777777" w:rsidR="00082358" w:rsidRPr="00381F62" w:rsidRDefault="00082358" w:rsidP="00B815F5">
            <w:pPr>
              <w:rPr>
                <w:rFonts w:ascii="Arial Narrow" w:hAnsi="Arial Narrow" w:cs="Arial"/>
                <w:szCs w:val="22"/>
              </w:rPr>
            </w:pPr>
          </w:p>
        </w:tc>
        <w:tc>
          <w:tcPr>
            <w:tcW w:w="415" w:type="dxa"/>
          </w:tcPr>
          <w:p w14:paraId="11EA8DF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F4" w14:textId="77777777" w:rsidR="00082358" w:rsidRPr="00381F62" w:rsidRDefault="00082358" w:rsidP="00B815F5">
            <w:pPr>
              <w:rPr>
                <w:rFonts w:ascii="Arial Narrow" w:hAnsi="Arial Narrow" w:cs="Arial"/>
                <w:szCs w:val="22"/>
              </w:rPr>
            </w:pPr>
          </w:p>
        </w:tc>
        <w:tc>
          <w:tcPr>
            <w:tcW w:w="414" w:type="dxa"/>
          </w:tcPr>
          <w:p w14:paraId="11EA8DF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F6" w14:textId="77777777" w:rsidR="00082358" w:rsidRPr="00381F62" w:rsidRDefault="00082358" w:rsidP="00B815F5">
            <w:pPr>
              <w:rPr>
                <w:rFonts w:ascii="Arial Narrow" w:hAnsi="Arial Narrow" w:cs="Arial"/>
                <w:szCs w:val="22"/>
              </w:rPr>
            </w:pPr>
          </w:p>
        </w:tc>
        <w:tc>
          <w:tcPr>
            <w:tcW w:w="415" w:type="dxa"/>
          </w:tcPr>
          <w:p w14:paraId="11EA8DF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F8" w14:textId="77777777" w:rsidR="00082358" w:rsidRPr="00381F62" w:rsidRDefault="00082358" w:rsidP="00B815F5">
            <w:pPr>
              <w:rPr>
                <w:rFonts w:ascii="Arial Narrow" w:hAnsi="Arial Narrow" w:cs="Arial"/>
                <w:szCs w:val="22"/>
              </w:rPr>
            </w:pPr>
          </w:p>
        </w:tc>
        <w:tc>
          <w:tcPr>
            <w:tcW w:w="414" w:type="dxa"/>
          </w:tcPr>
          <w:p w14:paraId="11EA8DF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DFA" w14:textId="3812D92F" w:rsidR="00082358" w:rsidRPr="00381F62" w:rsidRDefault="006617A7" w:rsidP="00B815F5">
            <w:pPr>
              <w:rPr>
                <w:rFonts w:ascii="Arial Narrow" w:hAnsi="Arial Narrow" w:cs="Arial"/>
                <w:szCs w:val="22"/>
              </w:rPr>
            </w:pPr>
            <w:r w:rsidRPr="0029591A">
              <w:rPr>
                <w:rFonts w:ascii="Arial Narrow" w:hAnsi="Arial Narrow" w:cs="Arial"/>
                <w:b/>
                <w:color w:val="000000" w:themeColor="text1"/>
                <w:szCs w:val="22"/>
              </w:rPr>
              <w:t>+</w:t>
            </w:r>
          </w:p>
        </w:tc>
      </w:tr>
      <w:tr w:rsidR="00381F62" w:rsidRPr="00381F62" w14:paraId="11EA8E0B" w14:textId="77777777" w:rsidTr="00117212">
        <w:tc>
          <w:tcPr>
            <w:tcW w:w="1878" w:type="dxa"/>
            <w:gridSpan w:val="2"/>
            <w:vMerge/>
            <w:vAlign w:val="center"/>
          </w:tcPr>
          <w:p w14:paraId="11EA8DFC" w14:textId="77777777" w:rsidR="00082358" w:rsidRPr="00381F62" w:rsidRDefault="00082358" w:rsidP="00D230AA">
            <w:pPr>
              <w:jc w:val="center"/>
              <w:rPr>
                <w:rStyle w:val="IntenseReference"/>
                <w:color w:val="auto"/>
              </w:rPr>
            </w:pPr>
          </w:p>
        </w:tc>
        <w:tc>
          <w:tcPr>
            <w:tcW w:w="2261" w:type="dxa"/>
            <w:vAlign w:val="bottom"/>
          </w:tcPr>
          <w:p w14:paraId="11EA8DFD" w14:textId="77777777" w:rsidR="00082358" w:rsidRPr="00381F62" w:rsidRDefault="00082358" w:rsidP="00B815F5">
            <w:pPr>
              <w:rPr>
                <w:rStyle w:val="IntenseReference"/>
                <w:color w:val="auto"/>
              </w:rPr>
            </w:pPr>
            <w:r w:rsidRPr="00381F62">
              <w:rPr>
                <w:rStyle w:val="IntenseReference"/>
                <w:color w:val="auto"/>
              </w:rPr>
              <w:t>Middle Reef</w:t>
            </w:r>
          </w:p>
        </w:tc>
        <w:tc>
          <w:tcPr>
            <w:tcW w:w="813" w:type="dxa"/>
          </w:tcPr>
          <w:p w14:paraId="11EA8DFE" w14:textId="77777777" w:rsidR="00082358" w:rsidRPr="00381F62" w:rsidRDefault="00082358" w:rsidP="00B815F5">
            <w:pPr>
              <w:rPr>
                <w:rStyle w:val="IntenseReference"/>
                <w:color w:val="auto"/>
              </w:rPr>
            </w:pPr>
            <w:r w:rsidRPr="00381F62">
              <w:rPr>
                <w:rStyle w:val="IntenseReference"/>
                <w:color w:val="auto"/>
              </w:rPr>
              <w:t>LTMP</w:t>
            </w:r>
          </w:p>
        </w:tc>
        <w:tc>
          <w:tcPr>
            <w:tcW w:w="415" w:type="dxa"/>
          </w:tcPr>
          <w:p w14:paraId="11EA8DF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00" w14:textId="77777777" w:rsidR="00082358" w:rsidRPr="00381F62" w:rsidRDefault="00082358" w:rsidP="00B815F5">
            <w:pPr>
              <w:rPr>
                <w:rFonts w:ascii="Arial Narrow" w:hAnsi="Arial Narrow" w:cs="Arial"/>
                <w:szCs w:val="22"/>
              </w:rPr>
            </w:pPr>
          </w:p>
        </w:tc>
        <w:tc>
          <w:tcPr>
            <w:tcW w:w="414" w:type="dxa"/>
          </w:tcPr>
          <w:p w14:paraId="11EA8E0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02" w14:textId="77777777" w:rsidR="00082358" w:rsidRPr="00381F62" w:rsidRDefault="00082358" w:rsidP="00B815F5">
            <w:pPr>
              <w:rPr>
                <w:rFonts w:ascii="Arial Narrow" w:hAnsi="Arial Narrow" w:cs="Arial"/>
                <w:szCs w:val="22"/>
              </w:rPr>
            </w:pPr>
          </w:p>
        </w:tc>
        <w:tc>
          <w:tcPr>
            <w:tcW w:w="415" w:type="dxa"/>
          </w:tcPr>
          <w:p w14:paraId="11EA8E0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04" w14:textId="77777777" w:rsidR="00082358" w:rsidRPr="00381F62" w:rsidRDefault="00082358" w:rsidP="00B815F5">
            <w:pPr>
              <w:rPr>
                <w:rFonts w:ascii="Arial Narrow" w:hAnsi="Arial Narrow" w:cs="Arial"/>
                <w:szCs w:val="22"/>
              </w:rPr>
            </w:pPr>
          </w:p>
        </w:tc>
        <w:tc>
          <w:tcPr>
            <w:tcW w:w="414" w:type="dxa"/>
          </w:tcPr>
          <w:p w14:paraId="11EA8E0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06" w14:textId="77777777" w:rsidR="00082358" w:rsidRPr="00381F62" w:rsidRDefault="00082358" w:rsidP="00B815F5">
            <w:pPr>
              <w:rPr>
                <w:rFonts w:ascii="Arial Narrow" w:hAnsi="Arial Narrow" w:cs="Arial"/>
                <w:szCs w:val="22"/>
              </w:rPr>
            </w:pPr>
          </w:p>
        </w:tc>
        <w:tc>
          <w:tcPr>
            <w:tcW w:w="415" w:type="dxa"/>
          </w:tcPr>
          <w:p w14:paraId="11EA8E0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08" w14:textId="77777777" w:rsidR="00082358" w:rsidRPr="00381F62" w:rsidRDefault="00082358" w:rsidP="00B815F5">
            <w:pPr>
              <w:rPr>
                <w:rFonts w:ascii="Arial Narrow" w:hAnsi="Arial Narrow" w:cs="Arial"/>
                <w:szCs w:val="22"/>
              </w:rPr>
            </w:pPr>
          </w:p>
        </w:tc>
        <w:tc>
          <w:tcPr>
            <w:tcW w:w="414" w:type="dxa"/>
          </w:tcPr>
          <w:p w14:paraId="11EA8E09" w14:textId="77777777" w:rsidR="00082358" w:rsidRPr="00381F62" w:rsidRDefault="00082358" w:rsidP="00B815F5">
            <w:pPr>
              <w:rPr>
                <w:rFonts w:ascii="Arial Narrow" w:hAnsi="Arial Narrow" w:cs="Arial"/>
                <w:szCs w:val="22"/>
              </w:rPr>
            </w:pPr>
          </w:p>
        </w:tc>
        <w:tc>
          <w:tcPr>
            <w:tcW w:w="414" w:type="dxa"/>
          </w:tcPr>
          <w:p w14:paraId="11EA8E0A" w14:textId="77777777" w:rsidR="00082358" w:rsidRPr="00381F62" w:rsidRDefault="00082358" w:rsidP="00B815F5">
            <w:pPr>
              <w:rPr>
                <w:rFonts w:ascii="Arial Narrow" w:hAnsi="Arial Narrow" w:cs="Arial"/>
                <w:szCs w:val="22"/>
              </w:rPr>
            </w:pPr>
          </w:p>
        </w:tc>
      </w:tr>
      <w:tr w:rsidR="00381F62" w:rsidRPr="00381F62" w14:paraId="11EA8E1B" w14:textId="77777777" w:rsidTr="00117212">
        <w:tc>
          <w:tcPr>
            <w:tcW w:w="1878" w:type="dxa"/>
            <w:gridSpan w:val="2"/>
            <w:vMerge/>
            <w:vAlign w:val="center"/>
          </w:tcPr>
          <w:p w14:paraId="11EA8E0C" w14:textId="77777777" w:rsidR="00082358" w:rsidRPr="00381F62" w:rsidRDefault="00082358" w:rsidP="00D230AA">
            <w:pPr>
              <w:jc w:val="center"/>
              <w:rPr>
                <w:rStyle w:val="IntenseReference"/>
                <w:color w:val="auto"/>
              </w:rPr>
            </w:pPr>
          </w:p>
        </w:tc>
        <w:tc>
          <w:tcPr>
            <w:tcW w:w="2261" w:type="dxa"/>
            <w:vAlign w:val="bottom"/>
          </w:tcPr>
          <w:p w14:paraId="11EA8E0D" w14:textId="77777777" w:rsidR="00082358" w:rsidRPr="00381F62" w:rsidRDefault="00082358" w:rsidP="00B815F5">
            <w:pPr>
              <w:rPr>
                <w:rStyle w:val="IntenseReference"/>
                <w:color w:val="auto"/>
              </w:rPr>
            </w:pPr>
            <w:r w:rsidRPr="00381F62">
              <w:rPr>
                <w:rStyle w:val="IntenseReference"/>
                <w:color w:val="auto"/>
              </w:rPr>
              <w:t>Middle Reef</w:t>
            </w:r>
          </w:p>
        </w:tc>
        <w:tc>
          <w:tcPr>
            <w:tcW w:w="813" w:type="dxa"/>
          </w:tcPr>
          <w:p w14:paraId="11EA8E0E"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E0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1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1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12" w14:textId="77777777" w:rsidR="00082358" w:rsidRPr="00381F62" w:rsidRDefault="00082358" w:rsidP="00B815F5">
            <w:pPr>
              <w:rPr>
                <w:rFonts w:ascii="Arial Narrow" w:hAnsi="Arial Narrow" w:cs="Arial"/>
                <w:szCs w:val="22"/>
              </w:rPr>
            </w:pPr>
          </w:p>
        </w:tc>
        <w:tc>
          <w:tcPr>
            <w:tcW w:w="415" w:type="dxa"/>
          </w:tcPr>
          <w:p w14:paraId="11EA8E1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14" w14:textId="77777777" w:rsidR="00082358" w:rsidRPr="00381F62" w:rsidRDefault="00082358" w:rsidP="00B815F5">
            <w:pPr>
              <w:rPr>
                <w:rFonts w:ascii="Arial Narrow" w:hAnsi="Arial Narrow" w:cs="Arial"/>
                <w:szCs w:val="22"/>
              </w:rPr>
            </w:pPr>
          </w:p>
        </w:tc>
        <w:tc>
          <w:tcPr>
            <w:tcW w:w="414" w:type="dxa"/>
          </w:tcPr>
          <w:p w14:paraId="11EA8E1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16" w14:textId="77777777" w:rsidR="00082358" w:rsidRPr="00381F62" w:rsidRDefault="00082358" w:rsidP="00B815F5">
            <w:pPr>
              <w:rPr>
                <w:rFonts w:ascii="Arial Narrow" w:hAnsi="Arial Narrow" w:cs="Arial"/>
                <w:szCs w:val="22"/>
              </w:rPr>
            </w:pPr>
          </w:p>
        </w:tc>
        <w:tc>
          <w:tcPr>
            <w:tcW w:w="415" w:type="dxa"/>
          </w:tcPr>
          <w:p w14:paraId="11EA8E1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18" w14:textId="77777777" w:rsidR="00082358" w:rsidRPr="00381F62" w:rsidRDefault="00082358" w:rsidP="00B815F5">
            <w:pPr>
              <w:rPr>
                <w:rFonts w:ascii="Arial Narrow" w:hAnsi="Arial Narrow" w:cs="Arial"/>
                <w:szCs w:val="22"/>
              </w:rPr>
            </w:pPr>
          </w:p>
        </w:tc>
        <w:tc>
          <w:tcPr>
            <w:tcW w:w="414" w:type="dxa"/>
          </w:tcPr>
          <w:p w14:paraId="11EA8E19" w14:textId="77777777" w:rsidR="00082358" w:rsidRPr="00381F62" w:rsidRDefault="00082358" w:rsidP="00B815F5">
            <w:pPr>
              <w:rPr>
                <w:rFonts w:ascii="Arial Narrow" w:hAnsi="Arial Narrow" w:cs="Arial"/>
                <w:szCs w:val="22"/>
              </w:rPr>
            </w:pPr>
          </w:p>
        </w:tc>
        <w:tc>
          <w:tcPr>
            <w:tcW w:w="414" w:type="dxa"/>
          </w:tcPr>
          <w:p w14:paraId="11EA8E1A" w14:textId="77777777" w:rsidR="00082358" w:rsidRPr="00381F62" w:rsidRDefault="00082358" w:rsidP="00B815F5">
            <w:pPr>
              <w:rPr>
                <w:rFonts w:ascii="Arial Narrow" w:hAnsi="Arial Narrow" w:cs="Arial"/>
                <w:szCs w:val="22"/>
              </w:rPr>
            </w:pPr>
          </w:p>
        </w:tc>
      </w:tr>
      <w:tr w:rsidR="00381F62" w:rsidRPr="00381F62" w14:paraId="11EA8E2B" w14:textId="77777777" w:rsidTr="00117212">
        <w:tc>
          <w:tcPr>
            <w:tcW w:w="1878" w:type="dxa"/>
            <w:gridSpan w:val="2"/>
            <w:vMerge/>
            <w:vAlign w:val="center"/>
          </w:tcPr>
          <w:p w14:paraId="11EA8E1C" w14:textId="77777777" w:rsidR="00082358" w:rsidRPr="00381F62" w:rsidRDefault="00082358" w:rsidP="00D230AA">
            <w:pPr>
              <w:jc w:val="center"/>
              <w:rPr>
                <w:rStyle w:val="IntenseReference"/>
                <w:color w:val="auto"/>
              </w:rPr>
            </w:pPr>
          </w:p>
        </w:tc>
        <w:tc>
          <w:tcPr>
            <w:tcW w:w="2261" w:type="dxa"/>
            <w:vAlign w:val="bottom"/>
          </w:tcPr>
          <w:p w14:paraId="11EA8E1D" w14:textId="77777777" w:rsidR="00082358" w:rsidRPr="00381F62" w:rsidRDefault="00082358" w:rsidP="00B815F5">
            <w:pPr>
              <w:rPr>
                <w:rStyle w:val="IntenseReference"/>
                <w:color w:val="auto"/>
              </w:rPr>
            </w:pPr>
            <w:r w:rsidRPr="00381F62">
              <w:rPr>
                <w:rStyle w:val="IntenseReference"/>
                <w:color w:val="auto"/>
              </w:rPr>
              <w:t>Magnetic (WQ)</w:t>
            </w:r>
          </w:p>
        </w:tc>
        <w:tc>
          <w:tcPr>
            <w:tcW w:w="813" w:type="dxa"/>
          </w:tcPr>
          <w:p w14:paraId="11EA8E1E"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E1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2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2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22"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E2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24"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2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2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E2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2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2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2A" w14:textId="172DF631" w:rsidR="00082358" w:rsidRPr="00381F62" w:rsidRDefault="006617A7" w:rsidP="00B815F5">
            <w:pPr>
              <w:rPr>
                <w:rFonts w:ascii="Arial Narrow" w:hAnsi="Arial Narrow" w:cs="Arial"/>
                <w:szCs w:val="22"/>
              </w:rPr>
            </w:pPr>
            <w:r w:rsidRPr="0029591A">
              <w:rPr>
                <w:rFonts w:ascii="Arial Narrow" w:hAnsi="Arial Narrow" w:cs="Arial"/>
                <w:b/>
                <w:color w:val="000000" w:themeColor="text1"/>
                <w:szCs w:val="22"/>
              </w:rPr>
              <w:t>+</w:t>
            </w:r>
          </w:p>
        </w:tc>
      </w:tr>
      <w:tr w:rsidR="00381F62" w:rsidRPr="00381F62" w14:paraId="11EA8E3B" w14:textId="77777777" w:rsidTr="00117212">
        <w:tc>
          <w:tcPr>
            <w:tcW w:w="1878" w:type="dxa"/>
            <w:gridSpan w:val="2"/>
            <w:vMerge w:val="restart"/>
            <w:vAlign w:val="center"/>
          </w:tcPr>
          <w:p w14:paraId="11EA8E2C" w14:textId="77777777" w:rsidR="00082358" w:rsidRPr="00381F62" w:rsidRDefault="00082358" w:rsidP="00613E31">
            <w:pPr>
              <w:jc w:val="center"/>
              <w:rPr>
                <w:rStyle w:val="IntenseReference"/>
                <w:color w:val="auto"/>
              </w:rPr>
            </w:pPr>
            <w:r w:rsidRPr="00381F62">
              <w:rPr>
                <w:rStyle w:val="IntenseReference"/>
                <w:color w:val="auto"/>
              </w:rPr>
              <w:t>Mackay Whitsunday</w:t>
            </w:r>
          </w:p>
        </w:tc>
        <w:tc>
          <w:tcPr>
            <w:tcW w:w="2261" w:type="dxa"/>
            <w:vAlign w:val="bottom"/>
          </w:tcPr>
          <w:p w14:paraId="11EA8E2D" w14:textId="77777777" w:rsidR="00082358" w:rsidRPr="00381F62" w:rsidRDefault="00082358" w:rsidP="00B815F5">
            <w:pPr>
              <w:rPr>
                <w:rStyle w:val="IntenseReference"/>
                <w:color w:val="auto"/>
              </w:rPr>
            </w:pPr>
            <w:r w:rsidRPr="00381F62">
              <w:rPr>
                <w:rStyle w:val="IntenseReference"/>
                <w:color w:val="auto"/>
              </w:rPr>
              <w:t>Langford</w:t>
            </w:r>
          </w:p>
        </w:tc>
        <w:tc>
          <w:tcPr>
            <w:tcW w:w="813" w:type="dxa"/>
          </w:tcPr>
          <w:p w14:paraId="11EA8E2E" w14:textId="77777777" w:rsidR="00082358" w:rsidRPr="00381F62" w:rsidRDefault="00082358" w:rsidP="00B815F5">
            <w:pPr>
              <w:rPr>
                <w:rStyle w:val="IntenseReference"/>
                <w:color w:val="auto"/>
              </w:rPr>
            </w:pPr>
            <w:r w:rsidRPr="00381F62">
              <w:rPr>
                <w:rStyle w:val="IntenseReference"/>
                <w:color w:val="auto"/>
              </w:rPr>
              <w:t>LTMP</w:t>
            </w:r>
          </w:p>
        </w:tc>
        <w:tc>
          <w:tcPr>
            <w:tcW w:w="415" w:type="dxa"/>
          </w:tcPr>
          <w:p w14:paraId="11EA8E2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30" w14:textId="77777777" w:rsidR="00082358" w:rsidRPr="00381F62" w:rsidRDefault="00082358" w:rsidP="00B815F5">
            <w:pPr>
              <w:rPr>
                <w:rFonts w:ascii="Arial Narrow" w:hAnsi="Arial Narrow" w:cs="Arial"/>
                <w:szCs w:val="22"/>
              </w:rPr>
            </w:pPr>
          </w:p>
        </w:tc>
        <w:tc>
          <w:tcPr>
            <w:tcW w:w="414" w:type="dxa"/>
          </w:tcPr>
          <w:p w14:paraId="11EA8E3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32" w14:textId="77777777" w:rsidR="00082358" w:rsidRPr="00381F62" w:rsidRDefault="00082358" w:rsidP="00B815F5">
            <w:pPr>
              <w:rPr>
                <w:rFonts w:ascii="Arial Narrow" w:hAnsi="Arial Narrow" w:cs="Arial"/>
                <w:szCs w:val="22"/>
              </w:rPr>
            </w:pPr>
          </w:p>
        </w:tc>
        <w:tc>
          <w:tcPr>
            <w:tcW w:w="415" w:type="dxa"/>
          </w:tcPr>
          <w:p w14:paraId="11EA8E3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34" w14:textId="77777777" w:rsidR="00082358" w:rsidRPr="00381F62" w:rsidRDefault="00082358" w:rsidP="00B815F5">
            <w:pPr>
              <w:rPr>
                <w:rFonts w:ascii="Arial Narrow" w:hAnsi="Arial Narrow" w:cs="Arial"/>
                <w:szCs w:val="22"/>
              </w:rPr>
            </w:pPr>
          </w:p>
        </w:tc>
        <w:tc>
          <w:tcPr>
            <w:tcW w:w="414" w:type="dxa"/>
          </w:tcPr>
          <w:p w14:paraId="11EA8E3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36" w14:textId="77777777" w:rsidR="00082358" w:rsidRPr="00381F62" w:rsidRDefault="00082358" w:rsidP="00B815F5">
            <w:pPr>
              <w:rPr>
                <w:rFonts w:ascii="Arial Narrow" w:hAnsi="Arial Narrow" w:cs="Arial"/>
                <w:szCs w:val="22"/>
              </w:rPr>
            </w:pPr>
          </w:p>
        </w:tc>
        <w:tc>
          <w:tcPr>
            <w:tcW w:w="415" w:type="dxa"/>
          </w:tcPr>
          <w:p w14:paraId="11EA8E3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38" w14:textId="77777777" w:rsidR="00082358" w:rsidRPr="00381F62" w:rsidRDefault="00082358" w:rsidP="00B815F5">
            <w:pPr>
              <w:rPr>
                <w:rFonts w:ascii="Arial Narrow" w:hAnsi="Arial Narrow" w:cs="Arial"/>
                <w:szCs w:val="22"/>
              </w:rPr>
            </w:pPr>
          </w:p>
        </w:tc>
        <w:tc>
          <w:tcPr>
            <w:tcW w:w="414" w:type="dxa"/>
          </w:tcPr>
          <w:p w14:paraId="11EA8E3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3A" w14:textId="77777777" w:rsidR="00082358" w:rsidRPr="00381F62" w:rsidRDefault="00082358" w:rsidP="00B815F5">
            <w:pPr>
              <w:rPr>
                <w:rFonts w:ascii="Arial Narrow" w:hAnsi="Arial Narrow" w:cs="Arial"/>
                <w:szCs w:val="22"/>
              </w:rPr>
            </w:pPr>
          </w:p>
        </w:tc>
      </w:tr>
      <w:tr w:rsidR="00381F62" w:rsidRPr="00381F62" w14:paraId="11EA8E4B" w14:textId="77777777" w:rsidTr="00117212">
        <w:tc>
          <w:tcPr>
            <w:tcW w:w="1878" w:type="dxa"/>
            <w:gridSpan w:val="2"/>
            <w:vMerge/>
            <w:vAlign w:val="center"/>
          </w:tcPr>
          <w:p w14:paraId="11EA8E3C" w14:textId="77777777" w:rsidR="00082358" w:rsidRPr="00381F62" w:rsidRDefault="00082358" w:rsidP="005233EB">
            <w:pPr>
              <w:jc w:val="center"/>
              <w:rPr>
                <w:rStyle w:val="IntenseReference"/>
                <w:color w:val="auto"/>
              </w:rPr>
            </w:pPr>
          </w:p>
        </w:tc>
        <w:tc>
          <w:tcPr>
            <w:tcW w:w="2261" w:type="dxa"/>
            <w:vAlign w:val="bottom"/>
          </w:tcPr>
          <w:p w14:paraId="11EA8E3D" w14:textId="77777777" w:rsidR="00082358" w:rsidRPr="00381F62" w:rsidRDefault="00082358" w:rsidP="00B815F5">
            <w:pPr>
              <w:rPr>
                <w:rStyle w:val="IntenseReference"/>
                <w:color w:val="auto"/>
              </w:rPr>
            </w:pPr>
            <w:r w:rsidRPr="00381F62">
              <w:rPr>
                <w:rStyle w:val="IntenseReference"/>
                <w:color w:val="auto"/>
              </w:rPr>
              <w:t>Hayman</w:t>
            </w:r>
          </w:p>
        </w:tc>
        <w:tc>
          <w:tcPr>
            <w:tcW w:w="813" w:type="dxa"/>
          </w:tcPr>
          <w:p w14:paraId="11EA8E3E" w14:textId="77777777" w:rsidR="00082358" w:rsidRPr="00381F62" w:rsidRDefault="00082358" w:rsidP="00B815F5">
            <w:pPr>
              <w:rPr>
                <w:rStyle w:val="IntenseReference"/>
                <w:color w:val="auto"/>
              </w:rPr>
            </w:pPr>
            <w:r w:rsidRPr="00381F62">
              <w:rPr>
                <w:rStyle w:val="IntenseReference"/>
                <w:color w:val="auto"/>
              </w:rPr>
              <w:t>LTMP</w:t>
            </w:r>
          </w:p>
        </w:tc>
        <w:tc>
          <w:tcPr>
            <w:tcW w:w="415" w:type="dxa"/>
          </w:tcPr>
          <w:p w14:paraId="11EA8E3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40" w14:textId="77777777" w:rsidR="00082358" w:rsidRPr="00381F62" w:rsidRDefault="00082358" w:rsidP="00B815F5">
            <w:pPr>
              <w:rPr>
                <w:rFonts w:ascii="Arial Narrow" w:hAnsi="Arial Narrow" w:cs="Arial"/>
                <w:szCs w:val="22"/>
              </w:rPr>
            </w:pPr>
          </w:p>
        </w:tc>
        <w:tc>
          <w:tcPr>
            <w:tcW w:w="414" w:type="dxa"/>
          </w:tcPr>
          <w:p w14:paraId="11EA8E4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42" w14:textId="77777777" w:rsidR="00082358" w:rsidRPr="00381F62" w:rsidRDefault="00082358" w:rsidP="00B815F5">
            <w:pPr>
              <w:rPr>
                <w:rFonts w:ascii="Arial Narrow" w:hAnsi="Arial Narrow" w:cs="Arial"/>
                <w:szCs w:val="22"/>
              </w:rPr>
            </w:pPr>
          </w:p>
        </w:tc>
        <w:tc>
          <w:tcPr>
            <w:tcW w:w="415" w:type="dxa"/>
          </w:tcPr>
          <w:p w14:paraId="11EA8E4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44" w14:textId="77777777" w:rsidR="00082358" w:rsidRPr="00381F62" w:rsidRDefault="00082358" w:rsidP="00B815F5">
            <w:pPr>
              <w:rPr>
                <w:rFonts w:ascii="Arial Narrow" w:hAnsi="Arial Narrow" w:cs="Arial"/>
                <w:szCs w:val="22"/>
              </w:rPr>
            </w:pPr>
          </w:p>
        </w:tc>
        <w:tc>
          <w:tcPr>
            <w:tcW w:w="414" w:type="dxa"/>
          </w:tcPr>
          <w:p w14:paraId="11EA8E4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46" w14:textId="77777777" w:rsidR="00082358" w:rsidRPr="00381F62" w:rsidRDefault="00082358" w:rsidP="00B815F5">
            <w:pPr>
              <w:rPr>
                <w:rFonts w:ascii="Arial Narrow" w:hAnsi="Arial Narrow" w:cs="Arial"/>
                <w:szCs w:val="22"/>
              </w:rPr>
            </w:pPr>
          </w:p>
        </w:tc>
        <w:tc>
          <w:tcPr>
            <w:tcW w:w="415" w:type="dxa"/>
          </w:tcPr>
          <w:p w14:paraId="11EA8E4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48" w14:textId="77777777" w:rsidR="00082358" w:rsidRPr="00381F62" w:rsidRDefault="00082358" w:rsidP="00B815F5">
            <w:pPr>
              <w:rPr>
                <w:rFonts w:ascii="Arial Narrow" w:hAnsi="Arial Narrow" w:cs="Arial"/>
                <w:szCs w:val="22"/>
              </w:rPr>
            </w:pPr>
          </w:p>
        </w:tc>
        <w:tc>
          <w:tcPr>
            <w:tcW w:w="414" w:type="dxa"/>
          </w:tcPr>
          <w:p w14:paraId="11EA8E4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4A" w14:textId="77777777" w:rsidR="00082358" w:rsidRPr="00381F62" w:rsidRDefault="00082358" w:rsidP="00B815F5">
            <w:pPr>
              <w:rPr>
                <w:rFonts w:ascii="Arial Narrow" w:hAnsi="Arial Narrow" w:cs="Arial"/>
                <w:szCs w:val="22"/>
              </w:rPr>
            </w:pPr>
          </w:p>
        </w:tc>
      </w:tr>
      <w:tr w:rsidR="00381F62" w:rsidRPr="00381F62" w14:paraId="11EA8E5B" w14:textId="77777777" w:rsidTr="00117212">
        <w:tc>
          <w:tcPr>
            <w:tcW w:w="1878" w:type="dxa"/>
            <w:gridSpan w:val="2"/>
            <w:vMerge/>
            <w:vAlign w:val="center"/>
          </w:tcPr>
          <w:p w14:paraId="11EA8E4C" w14:textId="77777777" w:rsidR="00082358" w:rsidRPr="00381F62" w:rsidRDefault="00082358" w:rsidP="005233EB">
            <w:pPr>
              <w:jc w:val="center"/>
              <w:rPr>
                <w:rStyle w:val="IntenseReference"/>
                <w:color w:val="auto"/>
              </w:rPr>
            </w:pPr>
          </w:p>
        </w:tc>
        <w:tc>
          <w:tcPr>
            <w:tcW w:w="2261" w:type="dxa"/>
            <w:vAlign w:val="bottom"/>
          </w:tcPr>
          <w:p w14:paraId="11EA8E4D" w14:textId="77777777" w:rsidR="00082358" w:rsidRPr="00381F62" w:rsidRDefault="00082358" w:rsidP="00B815F5">
            <w:pPr>
              <w:rPr>
                <w:rStyle w:val="IntenseReference"/>
                <w:color w:val="auto"/>
              </w:rPr>
            </w:pPr>
            <w:r w:rsidRPr="00381F62">
              <w:rPr>
                <w:rStyle w:val="IntenseReference"/>
                <w:color w:val="auto"/>
              </w:rPr>
              <w:t>Border</w:t>
            </w:r>
          </w:p>
        </w:tc>
        <w:tc>
          <w:tcPr>
            <w:tcW w:w="813" w:type="dxa"/>
          </w:tcPr>
          <w:p w14:paraId="11EA8E4E" w14:textId="77777777" w:rsidR="00082358" w:rsidRPr="00381F62" w:rsidRDefault="00082358" w:rsidP="00B815F5">
            <w:pPr>
              <w:rPr>
                <w:rStyle w:val="IntenseReference"/>
                <w:color w:val="auto"/>
              </w:rPr>
            </w:pPr>
            <w:r w:rsidRPr="00381F62">
              <w:rPr>
                <w:rStyle w:val="IntenseReference"/>
                <w:color w:val="auto"/>
              </w:rPr>
              <w:t>LTMP</w:t>
            </w:r>
          </w:p>
        </w:tc>
        <w:tc>
          <w:tcPr>
            <w:tcW w:w="415" w:type="dxa"/>
          </w:tcPr>
          <w:p w14:paraId="11EA8E4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50" w14:textId="77777777" w:rsidR="00082358" w:rsidRPr="00381F62" w:rsidRDefault="00082358" w:rsidP="00B815F5">
            <w:pPr>
              <w:rPr>
                <w:rFonts w:ascii="Arial Narrow" w:hAnsi="Arial Narrow" w:cs="Arial"/>
                <w:szCs w:val="22"/>
              </w:rPr>
            </w:pPr>
          </w:p>
        </w:tc>
        <w:tc>
          <w:tcPr>
            <w:tcW w:w="414" w:type="dxa"/>
          </w:tcPr>
          <w:p w14:paraId="11EA8E5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52" w14:textId="77777777" w:rsidR="00082358" w:rsidRPr="00381F62" w:rsidRDefault="00082358" w:rsidP="00B815F5">
            <w:pPr>
              <w:rPr>
                <w:rFonts w:ascii="Arial Narrow" w:hAnsi="Arial Narrow" w:cs="Arial"/>
                <w:szCs w:val="22"/>
              </w:rPr>
            </w:pPr>
          </w:p>
        </w:tc>
        <w:tc>
          <w:tcPr>
            <w:tcW w:w="415" w:type="dxa"/>
          </w:tcPr>
          <w:p w14:paraId="11EA8E5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54" w14:textId="77777777" w:rsidR="00082358" w:rsidRPr="00381F62" w:rsidRDefault="00082358" w:rsidP="00B815F5">
            <w:pPr>
              <w:rPr>
                <w:rFonts w:ascii="Arial Narrow" w:hAnsi="Arial Narrow" w:cs="Arial"/>
                <w:szCs w:val="22"/>
              </w:rPr>
            </w:pPr>
          </w:p>
        </w:tc>
        <w:tc>
          <w:tcPr>
            <w:tcW w:w="414" w:type="dxa"/>
          </w:tcPr>
          <w:p w14:paraId="11EA8E5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56" w14:textId="77777777" w:rsidR="00082358" w:rsidRPr="00381F62" w:rsidRDefault="00082358" w:rsidP="00B815F5">
            <w:pPr>
              <w:rPr>
                <w:rFonts w:ascii="Arial Narrow" w:hAnsi="Arial Narrow" w:cs="Arial"/>
                <w:szCs w:val="22"/>
              </w:rPr>
            </w:pPr>
          </w:p>
        </w:tc>
        <w:tc>
          <w:tcPr>
            <w:tcW w:w="415" w:type="dxa"/>
          </w:tcPr>
          <w:p w14:paraId="11EA8E5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58" w14:textId="77777777" w:rsidR="00082358" w:rsidRPr="00381F62" w:rsidRDefault="00082358" w:rsidP="00B815F5">
            <w:pPr>
              <w:rPr>
                <w:rFonts w:ascii="Arial Narrow" w:hAnsi="Arial Narrow" w:cs="Arial"/>
                <w:szCs w:val="22"/>
              </w:rPr>
            </w:pPr>
          </w:p>
        </w:tc>
        <w:tc>
          <w:tcPr>
            <w:tcW w:w="414" w:type="dxa"/>
          </w:tcPr>
          <w:p w14:paraId="11EA8E5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5A" w14:textId="77777777" w:rsidR="00082358" w:rsidRPr="00381F62" w:rsidRDefault="00082358" w:rsidP="00B815F5">
            <w:pPr>
              <w:rPr>
                <w:rFonts w:ascii="Arial Narrow" w:hAnsi="Arial Narrow" w:cs="Arial"/>
                <w:szCs w:val="22"/>
              </w:rPr>
            </w:pPr>
          </w:p>
        </w:tc>
      </w:tr>
      <w:tr w:rsidR="00381F62" w:rsidRPr="00381F62" w14:paraId="11EA8E6B" w14:textId="77777777" w:rsidTr="00117212">
        <w:tc>
          <w:tcPr>
            <w:tcW w:w="1878" w:type="dxa"/>
            <w:gridSpan w:val="2"/>
            <w:vMerge/>
            <w:vAlign w:val="center"/>
          </w:tcPr>
          <w:p w14:paraId="11EA8E5C" w14:textId="77777777" w:rsidR="00082358" w:rsidRPr="00381F62" w:rsidRDefault="00082358" w:rsidP="005233EB">
            <w:pPr>
              <w:jc w:val="center"/>
              <w:rPr>
                <w:rStyle w:val="IntenseReference"/>
                <w:color w:val="auto"/>
              </w:rPr>
            </w:pPr>
          </w:p>
        </w:tc>
        <w:tc>
          <w:tcPr>
            <w:tcW w:w="2261" w:type="dxa"/>
            <w:vAlign w:val="bottom"/>
          </w:tcPr>
          <w:p w14:paraId="11EA8E5D" w14:textId="77777777" w:rsidR="00082358" w:rsidRPr="00381F62" w:rsidRDefault="00082358" w:rsidP="00B815F5">
            <w:pPr>
              <w:rPr>
                <w:rStyle w:val="IntenseReference"/>
                <w:color w:val="auto"/>
              </w:rPr>
            </w:pPr>
            <w:r w:rsidRPr="00381F62">
              <w:rPr>
                <w:rStyle w:val="IntenseReference"/>
                <w:color w:val="auto"/>
              </w:rPr>
              <w:t>Double Cone (WQ)</w:t>
            </w:r>
          </w:p>
        </w:tc>
        <w:tc>
          <w:tcPr>
            <w:tcW w:w="813" w:type="dxa"/>
          </w:tcPr>
          <w:p w14:paraId="11EA8E5E"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E5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6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6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62"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E6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64"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6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6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E6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6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69" w14:textId="77777777" w:rsidR="00082358" w:rsidRPr="00381F62" w:rsidRDefault="00082358" w:rsidP="00B815F5">
            <w:pPr>
              <w:rPr>
                <w:rFonts w:ascii="Arial Narrow" w:hAnsi="Arial Narrow" w:cs="Arial"/>
                <w:szCs w:val="22"/>
              </w:rPr>
            </w:pPr>
          </w:p>
        </w:tc>
        <w:tc>
          <w:tcPr>
            <w:tcW w:w="414" w:type="dxa"/>
          </w:tcPr>
          <w:p w14:paraId="11EA8E6A" w14:textId="77777777" w:rsidR="00082358" w:rsidRPr="00381F62" w:rsidRDefault="00381F62" w:rsidP="00B815F5">
            <w:pPr>
              <w:rPr>
                <w:rFonts w:ascii="Arial Narrow" w:hAnsi="Arial Narrow" w:cs="Arial"/>
                <w:szCs w:val="22"/>
              </w:rPr>
            </w:pPr>
            <w:r w:rsidRPr="00381F62">
              <w:rPr>
                <w:rFonts w:ascii="Arial Narrow" w:hAnsi="Arial Narrow" w:cs="Arial"/>
                <w:szCs w:val="22"/>
              </w:rPr>
              <w:t>●</w:t>
            </w:r>
          </w:p>
        </w:tc>
      </w:tr>
      <w:tr w:rsidR="00381F62" w:rsidRPr="00381F62" w14:paraId="11EA8E7B" w14:textId="77777777" w:rsidTr="00117212">
        <w:tc>
          <w:tcPr>
            <w:tcW w:w="1878" w:type="dxa"/>
            <w:gridSpan w:val="2"/>
            <w:vMerge/>
            <w:vAlign w:val="center"/>
          </w:tcPr>
          <w:p w14:paraId="11EA8E6C" w14:textId="77777777" w:rsidR="00082358" w:rsidRPr="00381F62" w:rsidRDefault="00082358" w:rsidP="005233EB">
            <w:pPr>
              <w:jc w:val="center"/>
              <w:rPr>
                <w:rStyle w:val="IntenseReference"/>
                <w:color w:val="auto"/>
              </w:rPr>
            </w:pPr>
          </w:p>
        </w:tc>
        <w:tc>
          <w:tcPr>
            <w:tcW w:w="2261" w:type="dxa"/>
            <w:vAlign w:val="bottom"/>
          </w:tcPr>
          <w:p w14:paraId="11EA8E6D" w14:textId="77777777" w:rsidR="00082358" w:rsidRPr="00381F62" w:rsidRDefault="00082358" w:rsidP="00B815F5">
            <w:pPr>
              <w:rPr>
                <w:rStyle w:val="IntenseReference"/>
                <w:color w:val="auto"/>
              </w:rPr>
            </w:pPr>
            <w:r w:rsidRPr="00381F62">
              <w:rPr>
                <w:rStyle w:val="IntenseReference"/>
                <w:color w:val="auto"/>
              </w:rPr>
              <w:t>Hook</w:t>
            </w:r>
          </w:p>
        </w:tc>
        <w:tc>
          <w:tcPr>
            <w:tcW w:w="813" w:type="dxa"/>
          </w:tcPr>
          <w:p w14:paraId="11EA8E6E"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E6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7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71" w14:textId="77777777" w:rsidR="00082358" w:rsidRPr="00381F62" w:rsidRDefault="00082358" w:rsidP="00B815F5">
            <w:pPr>
              <w:rPr>
                <w:rFonts w:ascii="Arial Narrow" w:hAnsi="Arial Narrow" w:cs="Arial"/>
                <w:szCs w:val="22"/>
              </w:rPr>
            </w:pPr>
          </w:p>
        </w:tc>
        <w:tc>
          <w:tcPr>
            <w:tcW w:w="414" w:type="dxa"/>
          </w:tcPr>
          <w:p w14:paraId="11EA8E72"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E73" w14:textId="77777777" w:rsidR="00082358" w:rsidRPr="00381F62" w:rsidRDefault="00082358" w:rsidP="00B815F5">
            <w:pPr>
              <w:rPr>
                <w:rFonts w:ascii="Arial Narrow" w:hAnsi="Arial Narrow" w:cs="Arial"/>
                <w:szCs w:val="22"/>
              </w:rPr>
            </w:pPr>
          </w:p>
        </w:tc>
        <w:tc>
          <w:tcPr>
            <w:tcW w:w="414" w:type="dxa"/>
          </w:tcPr>
          <w:p w14:paraId="11EA8E74"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75" w14:textId="77777777" w:rsidR="00082358" w:rsidRPr="00381F62" w:rsidRDefault="00082358" w:rsidP="00B815F5">
            <w:pPr>
              <w:rPr>
                <w:rFonts w:ascii="Arial Narrow" w:hAnsi="Arial Narrow" w:cs="Arial"/>
                <w:szCs w:val="22"/>
              </w:rPr>
            </w:pPr>
          </w:p>
        </w:tc>
        <w:tc>
          <w:tcPr>
            <w:tcW w:w="414" w:type="dxa"/>
          </w:tcPr>
          <w:p w14:paraId="11EA8E7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E77" w14:textId="77777777" w:rsidR="00082358" w:rsidRPr="00381F62" w:rsidRDefault="00082358" w:rsidP="00B815F5">
            <w:pPr>
              <w:rPr>
                <w:rFonts w:ascii="Arial Narrow" w:hAnsi="Arial Narrow" w:cs="Arial"/>
                <w:szCs w:val="22"/>
              </w:rPr>
            </w:pPr>
          </w:p>
        </w:tc>
        <w:tc>
          <w:tcPr>
            <w:tcW w:w="414" w:type="dxa"/>
          </w:tcPr>
          <w:p w14:paraId="11EA8E7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79" w14:textId="77777777" w:rsidR="00082358" w:rsidRPr="00381F62" w:rsidRDefault="00082358" w:rsidP="00B815F5">
            <w:pPr>
              <w:rPr>
                <w:rFonts w:ascii="Arial Narrow" w:hAnsi="Arial Narrow" w:cs="Arial"/>
                <w:szCs w:val="22"/>
              </w:rPr>
            </w:pPr>
          </w:p>
        </w:tc>
        <w:tc>
          <w:tcPr>
            <w:tcW w:w="414" w:type="dxa"/>
          </w:tcPr>
          <w:p w14:paraId="11EA8E7A" w14:textId="77777777" w:rsidR="00082358" w:rsidRPr="00381F62" w:rsidRDefault="00381F62" w:rsidP="00B815F5">
            <w:pPr>
              <w:rPr>
                <w:rFonts w:ascii="Arial Narrow" w:hAnsi="Arial Narrow" w:cs="Arial"/>
                <w:szCs w:val="22"/>
              </w:rPr>
            </w:pPr>
            <w:r w:rsidRPr="00381F62">
              <w:rPr>
                <w:rFonts w:ascii="Arial Narrow" w:hAnsi="Arial Narrow" w:cs="Arial"/>
                <w:szCs w:val="22"/>
              </w:rPr>
              <w:t>●</w:t>
            </w:r>
          </w:p>
        </w:tc>
      </w:tr>
      <w:tr w:rsidR="00381F62" w:rsidRPr="00381F62" w14:paraId="11EA8E8B" w14:textId="77777777" w:rsidTr="00117212">
        <w:tc>
          <w:tcPr>
            <w:tcW w:w="1878" w:type="dxa"/>
            <w:gridSpan w:val="2"/>
            <w:vMerge/>
            <w:vAlign w:val="center"/>
          </w:tcPr>
          <w:p w14:paraId="11EA8E7C" w14:textId="77777777" w:rsidR="00082358" w:rsidRPr="00381F62" w:rsidRDefault="00082358" w:rsidP="005233EB">
            <w:pPr>
              <w:jc w:val="center"/>
              <w:rPr>
                <w:rStyle w:val="IntenseReference"/>
                <w:color w:val="auto"/>
              </w:rPr>
            </w:pPr>
          </w:p>
        </w:tc>
        <w:tc>
          <w:tcPr>
            <w:tcW w:w="2261" w:type="dxa"/>
            <w:vAlign w:val="bottom"/>
          </w:tcPr>
          <w:p w14:paraId="11EA8E7D" w14:textId="77777777" w:rsidR="00082358" w:rsidRPr="00381F62" w:rsidRDefault="00082358" w:rsidP="00B815F5">
            <w:pPr>
              <w:rPr>
                <w:rStyle w:val="IntenseReference"/>
                <w:color w:val="auto"/>
              </w:rPr>
            </w:pPr>
            <w:r w:rsidRPr="00381F62">
              <w:rPr>
                <w:rStyle w:val="IntenseReference"/>
                <w:color w:val="auto"/>
              </w:rPr>
              <w:t>Daydream (WQ*)</w:t>
            </w:r>
          </w:p>
        </w:tc>
        <w:tc>
          <w:tcPr>
            <w:tcW w:w="813" w:type="dxa"/>
          </w:tcPr>
          <w:p w14:paraId="11EA8E7E"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E7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8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8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82"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E8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84"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8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8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E8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8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89" w14:textId="77777777" w:rsidR="00082358" w:rsidRPr="00381F62" w:rsidRDefault="00082358" w:rsidP="00B815F5">
            <w:pPr>
              <w:rPr>
                <w:rFonts w:ascii="Arial Narrow" w:hAnsi="Arial Narrow" w:cs="Arial"/>
                <w:szCs w:val="22"/>
              </w:rPr>
            </w:pPr>
          </w:p>
        </w:tc>
        <w:tc>
          <w:tcPr>
            <w:tcW w:w="414" w:type="dxa"/>
          </w:tcPr>
          <w:p w14:paraId="11EA8E8A" w14:textId="77777777" w:rsidR="00082358" w:rsidRPr="00381F62" w:rsidRDefault="00381F62" w:rsidP="00B815F5">
            <w:pPr>
              <w:rPr>
                <w:rFonts w:ascii="Arial Narrow" w:hAnsi="Arial Narrow" w:cs="Arial"/>
                <w:szCs w:val="22"/>
              </w:rPr>
            </w:pPr>
            <w:r w:rsidRPr="00381F62">
              <w:rPr>
                <w:rFonts w:ascii="Arial Narrow" w:hAnsi="Arial Narrow" w:cs="Arial"/>
                <w:szCs w:val="22"/>
              </w:rPr>
              <w:t>●</w:t>
            </w:r>
          </w:p>
        </w:tc>
      </w:tr>
      <w:tr w:rsidR="00381F62" w:rsidRPr="00381F62" w14:paraId="11EA8E9B" w14:textId="77777777" w:rsidTr="00117212">
        <w:tc>
          <w:tcPr>
            <w:tcW w:w="1878" w:type="dxa"/>
            <w:gridSpan w:val="2"/>
            <w:vMerge/>
            <w:vAlign w:val="center"/>
          </w:tcPr>
          <w:p w14:paraId="11EA8E8C" w14:textId="77777777" w:rsidR="00082358" w:rsidRPr="00381F62" w:rsidRDefault="00082358" w:rsidP="005233EB">
            <w:pPr>
              <w:jc w:val="center"/>
              <w:rPr>
                <w:rStyle w:val="IntenseReference"/>
                <w:color w:val="auto"/>
              </w:rPr>
            </w:pPr>
          </w:p>
        </w:tc>
        <w:tc>
          <w:tcPr>
            <w:tcW w:w="2261" w:type="dxa"/>
            <w:vAlign w:val="bottom"/>
          </w:tcPr>
          <w:p w14:paraId="11EA8E8D" w14:textId="77777777" w:rsidR="00082358" w:rsidRPr="00381F62" w:rsidRDefault="00082358" w:rsidP="00B815F5">
            <w:pPr>
              <w:rPr>
                <w:rStyle w:val="IntenseReference"/>
                <w:color w:val="auto"/>
              </w:rPr>
            </w:pPr>
            <w:r w:rsidRPr="00381F62">
              <w:rPr>
                <w:rStyle w:val="IntenseReference"/>
                <w:color w:val="auto"/>
              </w:rPr>
              <w:t>Shute Harbour</w:t>
            </w:r>
          </w:p>
        </w:tc>
        <w:tc>
          <w:tcPr>
            <w:tcW w:w="813" w:type="dxa"/>
          </w:tcPr>
          <w:p w14:paraId="11EA8E8E"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E8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9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91" w14:textId="77777777" w:rsidR="00082358" w:rsidRPr="00381F62" w:rsidRDefault="00082358" w:rsidP="00B815F5">
            <w:pPr>
              <w:rPr>
                <w:rFonts w:ascii="Arial Narrow" w:hAnsi="Arial Narrow" w:cs="Arial"/>
                <w:szCs w:val="22"/>
              </w:rPr>
            </w:pPr>
          </w:p>
        </w:tc>
        <w:tc>
          <w:tcPr>
            <w:tcW w:w="414" w:type="dxa"/>
          </w:tcPr>
          <w:p w14:paraId="11EA8E92"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E93" w14:textId="77777777" w:rsidR="00082358" w:rsidRPr="00381F62" w:rsidRDefault="00082358" w:rsidP="00B815F5">
            <w:pPr>
              <w:rPr>
                <w:rFonts w:ascii="Arial Narrow" w:hAnsi="Arial Narrow" w:cs="Arial"/>
                <w:szCs w:val="22"/>
              </w:rPr>
            </w:pPr>
          </w:p>
        </w:tc>
        <w:tc>
          <w:tcPr>
            <w:tcW w:w="414" w:type="dxa"/>
          </w:tcPr>
          <w:p w14:paraId="11EA8E94"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95" w14:textId="77777777" w:rsidR="00082358" w:rsidRPr="00381F62" w:rsidRDefault="00082358" w:rsidP="00B815F5">
            <w:pPr>
              <w:rPr>
                <w:rFonts w:ascii="Arial Narrow" w:hAnsi="Arial Narrow" w:cs="Arial"/>
                <w:szCs w:val="22"/>
              </w:rPr>
            </w:pPr>
          </w:p>
        </w:tc>
        <w:tc>
          <w:tcPr>
            <w:tcW w:w="414" w:type="dxa"/>
          </w:tcPr>
          <w:p w14:paraId="11EA8E9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E97" w14:textId="77777777" w:rsidR="00082358" w:rsidRPr="00381F62" w:rsidRDefault="00082358" w:rsidP="00B815F5">
            <w:pPr>
              <w:rPr>
                <w:rFonts w:ascii="Arial Narrow" w:hAnsi="Arial Narrow" w:cs="Arial"/>
                <w:szCs w:val="22"/>
              </w:rPr>
            </w:pPr>
          </w:p>
        </w:tc>
        <w:tc>
          <w:tcPr>
            <w:tcW w:w="414" w:type="dxa"/>
          </w:tcPr>
          <w:p w14:paraId="11EA8E9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99" w14:textId="77777777" w:rsidR="00082358" w:rsidRPr="00381F62" w:rsidRDefault="00082358" w:rsidP="00B815F5">
            <w:pPr>
              <w:rPr>
                <w:rFonts w:ascii="Arial Narrow" w:hAnsi="Arial Narrow" w:cs="Arial"/>
                <w:szCs w:val="22"/>
              </w:rPr>
            </w:pPr>
          </w:p>
        </w:tc>
        <w:tc>
          <w:tcPr>
            <w:tcW w:w="414" w:type="dxa"/>
          </w:tcPr>
          <w:p w14:paraId="11EA8E9A" w14:textId="77777777" w:rsidR="00082358" w:rsidRPr="00381F62" w:rsidRDefault="00381F62" w:rsidP="00B815F5">
            <w:pPr>
              <w:rPr>
                <w:rFonts w:ascii="Arial Narrow" w:hAnsi="Arial Narrow" w:cs="Arial"/>
                <w:szCs w:val="22"/>
              </w:rPr>
            </w:pPr>
            <w:r w:rsidRPr="00381F62">
              <w:rPr>
                <w:rFonts w:ascii="Arial Narrow" w:hAnsi="Arial Narrow" w:cs="Arial"/>
                <w:szCs w:val="22"/>
              </w:rPr>
              <w:t>●</w:t>
            </w:r>
          </w:p>
        </w:tc>
      </w:tr>
      <w:tr w:rsidR="00381F62" w:rsidRPr="00381F62" w14:paraId="11EA8EAB" w14:textId="77777777" w:rsidTr="00117212">
        <w:tc>
          <w:tcPr>
            <w:tcW w:w="1878" w:type="dxa"/>
            <w:gridSpan w:val="2"/>
            <w:vMerge/>
            <w:vAlign w:val="center"/>
          </w:tcPr>
          <w:p w14:paraId="11EA8E9C" w14:textId="77777777" w:rsidR="00082358" w:rsidRPr="00381F62" w:rsidRDefault="00082358" w:rsidP="005233EB">
            <w:pPr>
              <w:jc w:val="center"/>
              <w:rPr>
                <w:rStyle w:val="IntenseReference"/>
                <w:color w:val="auto"/>
              </w:rPr>
            </w:pPr>
          </w:p>
        </w:tc>
        <w:tc>
          <w:tcPr>
            <w:tcW w:w="2261" w:type="dxa"/>
            <w:vAlign w:val="bottom"/>
          </w:tcPr>
          <w:p w14:paraId="11EA8E9D" w14:textId="77777777" w:rsidR="00082358" w:rsidRPr="00381F62" w:rsidRDefault="00082358" w:rsidP="00B815F5">
            <w:pPr>
              <w:rPr>
                <w:rStyle w:val="IntenseReference"/>
                <w:color w:val="auto"/>
              </w:rPr>
            </w:pPr>
            <w:r w:rsidRPr="00381F62">
              <w:rPr>
                <w:rStyle w:val="IntenseReference"/>
                <w:color w:val="auto"/>
              </w:rPr>
              <w:t>Dent</w:t>
            </w:r>
          </w:p>
        </w:tc>
        <w:tc>
          <w:tcPr>
            <w:tcW w:w="813" w:type="dxa"/>
          </w:tcPr>
          <w:p w14:paraId="11EA8E9E"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E9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A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A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A2" w14:textId="77777777" w:rsidR="00082358" w:rsidRPr="00381F62" w:rsidRDefault="00082358" w:rsidP="00B815F5">
            <w:pPr>
              <w:rPr>
                <w:rFonts w:ascii="Arial Narrow" w:hAnsi="Arial Narrow" w:cs="Arial"/>
                <w:szCs w:val="22"/>
              </w:rPr>
            </w:pPr>
          </w:p>
        </w:tc>
        <w:tc>
          <w:tcPr>
            <w:tcW w:w="415" w:type="dxa"/>
          </w:tcPr>
          <w:p w14:paraId="11EA8EA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A4" w14:textId="77777777" w:rsidR="00082358" w:rsidRPr="00381F62" w:rsidRDefault="00082358" w:rsidP="00B815F5">
            <w:pPr>
              <w:rPr>
                <w:rFonts w:ascii="Arial Narrow" w:hAnsi="Arial Narrow" w:cs="Arial"/>
                <w:szCs w:val="22"/>
              </w:rPr>
            </w:pPr>
          </w:p>
        </w:tc>
        <w:tc>
          <w:tcPr>
            <w:tcW w:w="414" w:type="dxa"/>
          </w:tcPr>
          <w:p w14:paraId="11EA8EA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A6" w14:textId="77777777" w:rsidR="00082358" w:rsidRPr="00381F62" w:rsidRDefault="00082358" w:rsidP="00B815F5">
            <w:pPr>
              <w:rPr>
                <w:rFonts w:ascii="Arial Narrow" w:hAnsi="Arial Narrow" w:cs="Arial"/>
                <w:szCs w:val="22"/>
              </w:rPr>
            </w:pPr>
          </w:p>
        </w:tc>
        <w:tc>
          <w:tcPr>
            <w:tcW w:w="415" w:type="dxa"/>
          </w:tcPr>
          <w:p w14:paraId="11EA8EA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A8" w14:textId="77777777" w:rsidR="00082358" w:rsidRPr="00381F62" w:rsidRDefault="00082358" w:rsidP="00B815F5">
            <w:pPr>
              <w:rPr>
                <w:rFonts w:ascii="Arial Narrow" w:hAnsi="Arial Narrow" w:cs="Arial"/>
                <w:szCs w:val="22"/>
              </w:rPr>
            </w:pPr>
          </w:p>
        </w:tc>
        <w:tc>
          <w:tcPr>
            <w:tcW w:w="414" w:type="dxa"/>
          </w:tcPr>
          <w:p w14:paraId="11EA8EA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AA" w14:textId="77777777" w:rsidR="00082358" w:rsidRPr="00381F62" w:rsidRDefault="00082358" w:rsidP="00B815F5">
            <w:pPr>
              <w:rPr>
                <w:rFonts w:ascii="Arial Narrow" w:hAnsi="Arial Narrow" w:cs="Arial"/>
                <w:szCs w:val="22"/>
              </w:rPr>
            </w:pPr>
          </w:p>
        </w:tc>
      </w:tr>
      <w:tr w:rsidR="00381F62" w:rsidRPr="00381F62" w14:paraId="11EA8EBB" w14:textId="77777777" w:rsidTr="00117212">
        <w:tc>
          <w:tcPr>
            <w:tcW w:w="1878" w:type="dxa"/>
            <w:gridSpan w:val="2"/>
            <w:vMerge/>
            <w:vAlign w:val="center"/>
          </w:tcPr>
          <w:p w14:paraId="11EA8EAC" w14:textId="77777777" w:rsidR="00082358" w:rsidRPr="00381F62" w:rsidRDefault="00082358" w:rsidP="005233EB">
            <w:pPr>
              <w:jc w:val="center"/>
              <w:rPr>
                <w:rStyle w:val="IntenseReference"/>
                <w:color w:val="auto"/>
              </w:rPr>
            </w:pPr>
          </w:p>
        </w:tc>
        <w:tc>
          <w:tcPr>
            <w:tcW w:w="2261" w:type="dxa"/>
            <w:vAlign w:val="bottom"/>
          </w:tcPr>
          <w:p w14:paraId="11EA8EAD" w14:textId="77777777" w:rsidR="00082358" w:rsidRPr="00381F62" w:rsidRDefault="00082358" w:rsidP="00B815F5">
            <w:pPr>
              <w:rPr>
                <w:rStyle w:val="IntenseReference"/>
                <w:color w:val="auto"/>
              </w:rPr>
            </w:pPr>
            <w:r w:rsidRPr="00381F62">
              <w:rPr>
                <w:rStyle w:val="IntenseReference"/>
                <w:color w:val="auto"/>
              </w:rPr>
              <w:t>Pine (WQ)</w:t>
            </w:r>
          </w:p>
        </w:tc>
        <w:tc>
          <w:tcPr>
            <w:tcW w:w="813" w:type="dxa"/>
          </w:tcPr>
          <w:p w14:paraId="11EA8EAE"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EA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B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B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B2"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EB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B4"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B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B6"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5" w:type="dxa"/>
          </w:tcPr>
          <w:p w14:paraId="11EA8EB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B8"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B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BA" w14:textId="77777777" w:rsidR="00082358" w:rsidRPr="00381F62" w:rsidRDefault="00082358" w:rsidP="00B815F5">
            <w:pPr>
              <w:rPr>
                <w:rFonts w:ascii="Arial Narrow" w:hAnsi="Arial Narrow" w:cs="Arial"/>
                <w:szCs w:val="22"/>
              </w:rPr>
            </w:pPr>
          </w:p>
        </w:tc>
      </w:tr>
      <w:tr w:rsidR="00381F62" w:rsidRPr="00381F62" w14:paraId="11EA8ECB" w14:textId="77777777" w:rsidTr="00117212">
        <w:tc>
          <w:tcPr>
            <w:tcW w:w="1878" w:type="dxa"/>
            <w:gridSpan w:val="2"/>
            <w:vMerge/>
            <w:vAlign w:val="center"/>
          </w:tcPr>
          <w:p w14:paraId="11EA8EBC" w14:textId="77777777" w:rsidR="00082358" w:rsidRPr="00381F62" w:rsidRDefault="00082358" w:rsidP="005233EB">
            <w:pPr>
              <w:jc w:val="center"/>
              <w:rPr>
                <w:rStyle w:val="IntenseReference"/>
                <w:color w:val="auto"/>
              </w:rPr>
            </w:pPr>
          </w:p>
        </w:tc>
        <w:tc>
          <w:tcPr>
            <w:tcW w:w="2261" w:type="dxa"/>
            <w:vAlign w:val="bottom"/>
          </w:tcPr>
          <w:p w14:paraId="11EA8EBD" w14:textId="77777777" w:rsidR="00082358" w:rsidRPr="00381F62" w:rsidRDefault="00082358" w:rsidP="00B815F5">
            <w:pPr>
              <w:rPr>
                <w:rStyle w:val="IntenseReference"/>
                <w:color w:val="auto"/>
              </w:rPr>
            </w:pPr>
            <w:r w:rsidRPr="00381F62">
              <w:rPr>
                <w:rStyle w:val="IntenseReference"/>
                <w:color w:val="auto"/>
              </w:rPr>
              <w:t>Seaforth (WQ**)</w:t>
            </w:r>
          </w:p>
        </w:tc>
        <w:tc>
          <w:tcPr>
            <w:tcW w:w="813" w:type="dxa"/>
          </w:tcPr>
          <w:p w14:paraId="11EA8EBE" w14:textId="77777777" w:rsidR="00082358" w:rsidRPr="00381F62" w:rsidRDefault="00082358" w:rsidP="00B815F5">
            <w:pPr>
              <w:rPr>
                <w:rStyle w:val="IntenseReference"/>
                <w:color w:val="auto"/>
              </w:rPr>
            </w:pPr>
            <w:r w:rsidRPr="00381F62">
              <w:rPr>
                <w:rStyle w:val="IntenseReference"/>
                <w:color w:val="auto"/>
              </w:rPr>
              <w:t>MMP</w:t>
            </w:r>
          </w:p>
        </w:tc>
        <w:tc>
          <w:tcPr>
            <w:tcW w:w="415" w:type="dxa"/>
          </w:tcPr>
          <w:p w14:paraId="11EA8EBF"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C0"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C1"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C2" w14:textId="77777777" w:rsidR="00082358" w:rsidRPr="00381F62" w:rsidRDefault="00082358" w:rsidP="00B815F5">
            <w:pPr>
              <w:rPr>
                <w:rFonts w:ascii="Arial Narrow" w:hAnsi="Arial Narrow" w:cs="Arial"/>
                <w:szCs w:val="22"/>
              </w:rPr>
            </w:pPr>
          </w:p>
        </w:tc>
        <w:tc>
          <w:tcPr>
            <w:tcW w:w="415" w:type="dxa"/>
          </w:tcPr>
          <w:p w14:paraId="11EA8EC3"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C4" w14:textId="77777777" w:rsidR="00082358" w:rsidRPr="00381F62" w:rsidRDefault="00082358" w:rsidP="00B815F5">
            <w:pPr>
              <w:rPr>
                <w:rFonts w:ascii="Arial Narrow" w:hAnsi="Arial Narrow" w:cs="Arial"/>
                <w:szCs w:val="22"/>
              </w:rPr>
            </w:pPr>
          </w:p>
        </w:tc>
        <w:tc>
          <w:tcPr>
            <w:tcW w:w="414" w:type="dxa"/>
          </w:tcPr>
          <w:p w14:paraId="11EA8EC5"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C6" w14:textId="77777777" w:rsidR="00082358" w:rsidRPr="00381F62" w:rsidRDefault="00082358" w:rsidP="00B815F5">
            <w:pPr>
              <w:rPr>
                <w:rFonts w:ascii="Arial Narrow" w:hAnsi="Arial Narrow" w:cs="Arial"/>
                <w:szCs w:val="22"/>
              </w:rPr>
            </w:pPr>
          </w:p>
        </w:tc>
        <w:tc>
          <w:tcPr>
            <w:tcW w:w="415" w:type="dxa"/>
          </w:tcPr>
          <w:p w14:paraId="11EA8EC7"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C8" w14:textId="77777777" w:rsidR="00082358" w:rsidRPr="00381F62" w:rsidRDefault="00082358" w:rsidP="00B815F5">
            <w:pPr>
              <w:rPr>
                <w:rFonts w:ascii="Arial Narrow" w:hAnsi="Arial Narrow" w:cs="Arial"/>
                <w:szCs w:val="22"/>
              </w:rPr>
            </w:pPr>
          </w:p>
        </w:tc>
        <w:tc>
          <w:tcPr>
            <w:tcW w:w="414" w:type="dxa"/>
          </w:tcPr>
          <w:p w14:paraId="11EA8EC9" w14:textId="77777777" w:rsidR="00082358" w:rsidRPr="00381F62" w:rsidRDefault="00082358" w:rsidP="00B815F5">
            <w:pPr>
              <w:rPr>
                <w:rFonts w:ascii="Arial Narrow" w:hAnsi="Arial Narrow" w:cs="Arial"/>
                <w:szCs w:val="22"/>
              </w:rPr>
            </w:pPr>
            <w:r w:rsidRPr="00381F62">
              <w:rPr>
                <w:rFonts w:ascii="Arial Narrow" w:hAnsi="Arial Narrow" w:cs="Arial"/>
                <w:szCs w:val="22"/>
              </w:rPr>
              <w:t>●</w:t>
            </w:r>
          </w:p>
        </w:tc>
        <w:tc>
          <w:tcPr>
            <w:tcW w:w="414" w:type="dxa"/>
          </w:tcPr>
          <w:p w14:paraId="11EA8ECA" w14:textId="77777777" w:rsidR="00082358" w:rsidRPr="00381F62" w:rsidRDefault="00082358" w:rsidP="00B815F5">
            <w:pPr>
              <w:rPr>
                <w:rFonts w:ascii="Arial Narrow" w:hAnsi="Arial Narrow" w:cs="Arial"/>
                <w:szCs w:val="22"/>
              </w:rPr>
            </w:pPr>
          </w:p>
        </w:tc>
      </w:tr>
      <w:tr w:rsidR="006617A7" w:rsidRPr="00381F62" w14:paraId="11EA8EDB" w14:textId="77777777" w:rsidTr="00117212">
        <w:tc>
          <w:tcPr>
            <w:tcW w:w="1878" w:type="dxa"/>
            <w:gridSpan w:val="2"/>
            <w:vMerge w:val="restart"/>
            <w:vAlign w:val="center"/>
          </w:tcPr>
          <w:p w14:paraId="11EA8ECC" w14:textId="2E894D26" w:rsidR="006617A7" w:rsidRDefault="006617A7" w:rsidP="00613E31">
            <w:pPr>
              <w:jc w:val="center"/>
              <w:rPr>
                <w:rStyle w:val="IntenseReference"/>
                <w:color w:val="auto"/>
              </w:rPr>
            </w:pPr>
            <w:r w:rsidRPr="00381F62">
              <w:rPr>
                <w:rStyle w:val="IntenseReference"/>
                <w:color w:val="auto"/>
              </w:rPr>
              <w:t>Fitzroy</w:t>
            </w:r>
          </w:p>
          <w:p w14:paraId="64616D30" w14:textId="08A6C819" w:rsidR="006617A7" w:rsidRDefault="006617A7" w:rsidP="00666FE6">
            <w:pPr>
              <w:rPr>
                <w:rFonts w:ascii="Arial Narrow" w:hAnsi="Arial Narrow"/>
              </w:rPr>
            </w:pPr>
          </w:p>
          <w:p w14:paraId="01570BA7" w14:textId="77777777" w:rsidR="006617A7" w:rsidRPr="006617A7" w:rsidRDefault="006617A7" w:rsidP="006617A7">
            <w:pPr>
              <w:rPr>
                <w:rFonts w:ascii="Arial Narrow" w:hAnsi="Arial Narrow"/>
              </w:rPr>
            </w:pPr>
          </w:p>
        </w:tc>
        <w:tc>
          <w:tcPr>
            <w:tcW w:w="2261" w:type="dxa"/>
            <w:vAlign w:val="bottom"/>
          </w:tcPr>
          <w:p w14:paraId="11EA8ECD" w14:textId="77777777" w:rsidR="006617A7" w:rsidRPr="00381F62" w:rsidRDefault="006617A7" w:rsidP="00B815F5">
            <w:pPr>
              <w:rPr>
                <w:rStyle w:val="IntenseReference"/>
                <w:color w:val="auto"/>
              </w:rPr>
            </w:pPr>
            <w:r w:rsidRPr="00381F62">
              <w:rPr>
                <w:rStyle w:val="IntenseReference"/>
                <w:color w:val="auto"/>
              </w:rPr>
              <w:t>North Keppel</w:t>
            </w:r>
          </w:p>
        </w:tc>
        <w:tc>
          <w:tcPr>
            <w:tcW w:w="813" w:type="dxa"/>
          </w:tcPr>
          <w:p w14:paraId="11EA8ECE" w14:textId="77777777" w:rsidR="006617A7" w:rsidRPr="00381F62" w:rsidRDefault="006617A7" w:rsidP="00B815F5">
            <w:pPr>
              <w:rPr>
                <w:rStyle w:val="IntenseReference"/>
                <w:color w:val="auto"/>
              </w:rPr>
            </w:pPr>
            <w:r w:rsidRPr="00381F62">
              <w:rPr>
                <w:rStyle w:val="IntenseReference"/>
                <w:color w:val="auto"/>
              </w:rPr>
              <w:t>MMP</w:t>
            </w:r>
          </w:p>
        </w:tc>
        <w:tc>
          <w:tcPr>
            <w:tcW w:w="415" w:type="dxa"/>
          </w:tcPr>
          <w:p w14:paraId="11EA8ECF"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D0"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D1"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D2" w14:textId="77777777" w:rsidR="006617A7" w:rsidRPr="00381F62" w:rsidRDefault="006617A7" w:rsidP="00B815F5">
            <w:pPr>
              <w:rPr>
                <w:rFonts w:ascii="Arial Narrow" w:hAnsi="Arial Narrow" w:cs="Arial"/>
                <w:szCs w:val="22"/>
              </w:rPr>
            </w:pPr>
          </w:p>
        </w:tc>
        <w:tc>
          <w:tcPr>
            <w:tcW w:w="415" w:type="dxa"/>
          </w:tcPr>
          <w:p w14:paraId="11EA8ED3"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D4" w14:textId="77777777" w:rsidR="006617A7" w:rsidRPr="00381F62" w:rsidRDefault="006617A7" w:rsidP="00B815F5">
            <w:pPr>
              <w:rPr>
                <w:rFonts w:ascii="Arial Narrow" w:hAnsi="Arial Narrow" w:cs="Arial"/>
                <w:szCs w:val="22"/>
              </w:rPr>
            </w:pPr>
          </w:p>
        </w:tc>
        <w:tc>
          <w:tcPr>
            <w:tcW w:w="414" w:type="dxa"/>
          </w:tcPr>
          <w:p w14:paraId="11EA8ED5"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D6" w14:textId="77777777" w:rsidR="006617A7" w:rsidRPr="00381F62" w:rsidRDefault="006617A7" w:rsidP="00B815F5">
            <w:pPr>
              <w:rPr>
                <w:rFonts w:ascii="Arial Narrow" w:hAnsi="Arial Narrow" w:cs="Arial"/>
                <w:szCs w:val="22"/>
              </w:rPr>
            </w:pPr>
          </w:p>
        </w:tc>
        <w:tc>
          <w:tcPr>
            <w:tcW w:w="415" w:type="dxa"/>
          </w:tcPr>
          <w:p w14:paraId="11EA8ED7"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D8" w14:textId="7F2D7C8A" w:rsidR="006617A7" w:rsidRPr="00381F62" w:rsidRDefault="006617A7" w:rsidP="00B815F5">
            <w:pPr>
              <w:rPr>
                <w:rFonts w:ascii="Arial Narrow" w:hAnsi="Arial Narrow" w:cs="Arial"/>
                <w:szCs w:val="22"/>
              </w:rPr>
            </w:pPr>
            <w:r w:rsidRPr="0029591A">
              <w:rPr>
                <w:rFonts w:ascii="Arial Narrow" w:hAnsi="Arial Narrow" w:cs="Arial"/>
                <w:b/>
                <w:color w:val="000000" w:themeColor="text1"/>
                <w:szCs w:val="22"/>
              </w:rPr>
              <w:t>+</w:t>
            </w:r>
          </w:p>
        </w:tc>
        <w:tc>
          <w:tcPr>
            <w:tcW w:w="414" w:type="dxa"/>
          </w:tcPr>
          <w:p w14:paraId="11EA8ED9"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DA" w14:textId="77777777" w:rsidR="006617A7" w:rsidRPr="00381F62" w:rsidRDefault="006617A7" w:rsidP="00B815F5">
            <w:pPr>
              <w:rPr>
                <w:rFonts w:ascii="Arial Narrow" w:hAnsi="Arial Narrow" w:cs="Arial"/>
                <w:szCs w:val="22"/>
              </w:rPr>
            </w:pPr>
          </w:p>
        </w:tc>
      </w:tr>
      <w:tr w:rsidR="006617A7" w:rsidRPr="00381F62" w14:paraId="11EA8EEB" w14:textId="77777777" w:rsidTr="00117212">
        <w:tc>
          <w:tcPr>
            <w:tcW w:w="1878" w:type="dxa"/>
            <w:gridSpan w:val="2"/>
            <w:vMerge/>
          </w:tcPr>
          <w:p w14:paraId="11EA8EDC" w14:textId="77777777" w:rsidR="006617A7" w:rsidRPr="00381F62" w:rsidRDefault="006617A7" w:rsidP="00B815F5">
            <w:pPr>
              <w:rPr>
                <w:rStyle w:val="IntenseReference"/>
                <w:color w:val="auto"/>
              </w:rPr>
            </w:pPr>
          </w:p>
        </w:tc>
        <w:tc>
          <w:tcPr>
            <w:tcW w:w="2261" w:type="dxa"/>
            <w:vAlign w:val="bottom"/>
          </w:tcPr>
          <w:p w14:paraId="11EA8EDD" w14:textId="77777777" w:rsidR="006617A7" w:rsidRPr="00381F62" w:rsidRDefault="006617A7" w:rsidP="00B815F5">
            <w:pPr>
              <w:rPr>
                <w:rStyle w:val="IntenseReference"/>
                <w:color w:val="auto"/>
              </w:rPr>
            </w:pPr>
            <w:r w:rsidRPr="00381F62">
              <w:rPr>
                <w:rStyle w:val="IntenseReference"/>
                <w:color w:val="auto"/>
              </w:rPr>
              <w:t>Middle</w:t>
            </w:r>
          </w:p>
        </w:tc>
        <w:tc>
          <w:tcPr>
            <w:tcW w:w="813" w:type="dxa"/>
          </w:tcPr>
          <w:p w14:paraId="11EA8EDE" w14:textId="77777777" w:rsidR="006617A7" w:rsidRPr="00381F62" w:rsidRDefault="006617A7" w:rsidP="00B815F5">
            <w:pPr>
              <w:rPr>
                <w:rStyle w:val="IntenseReference"/>
                <w:color w:val="auto"/>
              </w:rPr>
            </w:pPr>
            <w:r w:rsidRPr="00381F62">
              <w:rPr>
                <w:rStyle w:val="IntenseReference"/>
                <w:color w:val="auto"/>
              </w:rPr>
              <w:t>MMP</w:t>
            </w:r>
          </w:p>
        </w:tc>
        <w:tc>
          <w:tcPr>
            <w:tcW w:w="415" w:type="dxa"/>
          </w:tcPr>
          <w:p w14:paraId="11EA8EDF"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E0"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E1" w14:textId="77777777" w:rsidR="006617A7" w:rsidRPr="00381F62" w:rsidRDefault="006617A7" w:rsidP="00B815F5">
            <w:pPr>
              <w:rPr>
                <w:rFonts w:ascii="Arial Narrow" w:hAnsi="Arial Narrow" w:cs="Arial"/>
                <w:szCs w:val="22"/>
              </w:rPr>
            </w:pPr>
          </w:p>
        </w:tc>
        <w:tc>
          <w:tcPr>
            <w:tcW w:w="414" w:type="dxa"/>
          </w:tcPr>
          <w:p w14:paraId="11EA8EE2"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5" w:type="dxa"/>
          </w:tcPr>
          <w:p w14:paraId="11EA8EE3" w14:textId="77777777" w:rsidR="006617A7" w:rsidRPr="00381F62" w:rsidRDefault="006617A7" w:rsidP="00B815F5">
            <w:pPr>
              <w:rPr>
                <w:rFonts w:ascii="Arial Narrow" w:hAnsi="Arial Narrow" w:cs="Arial"/>
                <w:szCs w:val="22"/>
              </w:rPr>
            </w:pPr>
          </w:p>
        </w:tc>
        <w:tc>
          <w:tcPr>
            <w:tcW w:w="414" w:type="dxa"/>
          </w:tcPr>
          <w:p w14:paraId="11EA8EE4"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E5" w14:textId="77777777" w:rsidR="006617A7" w:rsidRPr="00381F62" w:rsidRDefault="006617A7" w:rsidP="00B815F5">
            <w:pPr>
              <w:rPr>
                <w:rFonts w:ascii="Arial Narrow" w:hAnsi="Arial Narrow" w:cs="Arial"/>
                <w:szCs w:val="22"/>
              </w:rPr>
            </w:pPr>
          </w:p>
        </w:tc>
        <w:tc>
          <w:tcPr>
            <w:tcW w:w="414" w:type="dxa"/>
          </w:tcPr>
          <w:p w14:paraId="11EA8EE6"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5" w:type="dxa"/>
          </w:tcPr>
          <w:p w14:paraId="11EA8EE7" w14:textId="77777777" w:rsidR="006617A7" w:rsidRPr="00381F62" w:rsidRDefault="006617A7" w:rsidP="00B815F5">
            <w:pPr>
              <w:rPr>
                <w:rFonts w:ascii="Arial Narrow" w:hAnsi="Arial Narrow" w:cs="Arial"/>
                <w:szCs w:val="22"/>
              </w:rPr>
            </w:pPr>
          </w:p>
        </w:tc>
        <w:tc>
          <w:tcPr>
            <w:tcW w:w="414" w:type="dxa"/>
          </w:tcPr>
          <w:p w14:paraId="11EA8EE8"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E9" w14:textId="216B66D5" w:rsidR="006617A7" w:rsidRPr="00381F62" w:rsidRDefault="006617A7" w:rsidP="00B815F5">
            <w:pPr>
              <w:rPr>
                <w:rFonts w:ascii="Arial Narrow" w:hAnsi="Arial Narrow" w:cs="Arial"/>
                <w:szCs w:val="22"/>
              </w:rPr>
            </w:pPr>
            <w:r w:rsidRPr="0029591A">
              <w:rPr>
                <w:rFonts w:ascii="Arial Narrow" w:hAnsi="Arial Narrow" w:cs="Arial"/>
                <w:b/>
                <w:color w:val="000000" w:themeColor="text1"/>
                <w:szCs w:val="22"/>
              </w:rPr>
              <w:t>+</w:t>
            </w:r>
          </w:p>
        </w:tc>
        <w:tc>
          <w:tcPr>
            <w:tcW w:w="414" w:type="dxa"/>
          </w:tcPr>
          <w:p w14:paraId="11EA8EEA"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r>
      <w:tr w:rsidR="006617A7" w:rsidRPr="00381F62" w14:paraId="11EA8EFB" w14:textId="77777777" w:rsidTr="00117212">
        <w:tc>
          <w:tcPr>
            <w:tcW w:w="1878" w:type="dxa"/>
            <w:gridSpan w:val="2"/>
            <w:vMerge/>
          </w:tcPr>
          <w:p w14:paraId="11EA8EEC" w14:textId="77777777" w:rsidR="006617A7" w:rsidRPr="00381F62" w:rsidRDefault="006617A7" w:rsidP="00B815F5">
            <w:pPr>
              <w:rPr>
                <w:rStyle w:val="IntenseReference"/>
                <w:color w:val="auto"/>
              </w:rPr>
            </w:pPr>
          </w:p>
        </w:tc>
        <w:tc>
          <w:tcPr>
            <w:tcW w:w="2261" w:type="dxa"/>
            <w:vAlign w:val="bottom"/>
          </w:tcPr>
          <w:p w14:paraId="11EA8EED" w14:textId="77777777" w:rsidR="006617A7" w:rsidRPr="00381F62" w:rsidRDefault="006617A7" w:rsidP="00B815F5">
            <w:pPr>
              <w:rPr>
                <w:rStyle w:val="IntenseReference"/>
                <w:color w:val="auto"/>
              </w:rPr>
            </w:pPr>
            <w:r w:rsidRPr="00381F62">
              <w:rPr>
                <w:rStyle w:val="IntenseReference"/>
                <w:color w:val="auto"/>
              </w:rPr>
              <w:t>Barren (WQ)</w:t>
            </w:r>
          </w:p>
        </w:tc>
        <w:tc>
          <w:tcPr>
            <w:tcW w:w="813" w:type="dxa"/>
          </w:tcPr>
          <w:p w14:paraId="11EA8EEE" w14:textId="77777777" w:rsidR="006617A7" w:rsidRPr="00381F62" w:rsidRDefault="006617A7" w:rsidP="00B815F5">
            <w:pPr>
              <w:rPr>
                <w:rStyle w:val="IntenseReference"/>
                <w:color w:val="auto"/>
              </w:rPr>
            </w:pPr>
            <w:r w:rsidRPr="00381F62">
              <w:rPr>
                <w:rStyle w:val="IntenseReference"/>
                <w:color w:val="auto"/>
              </w:rPr>
              <w:t>MMP</w:t>
            </w:r>
          </w:p>
        </w:tc>
        <w:tc>
          <w:tcPr>
            <w:tcW w:w="415" w:type="dxa"/>
          </w:tcPr>
          <w:p w14:paraId="11EA8EEF"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F0"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F1"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F2"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5" w:type="dxa"/>
          </w:tcPr>
          <w:p w14:paraId="11EA8EF3"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F4"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F5"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F6"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5" w:type="dxa"/>
          </w:tcPr>
          <w:p w14:paraId="11EA8EF7"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F8"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F9"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EFA" w14:textId="77777777" w:rsidR="006617A7" w:rsidRPr="00381F62" w:rsidRDefault="006617A7" w:rsidP="00B815F5">
            <w:pPr>
              <w:rPr>
                <w:rFonts w:ascii="Arial Narrow" w:hAnsi="Arial Narrow" w:cs="Arial"/>
                <w:szCs w:val="22"/>
              </w:rPr>
            </w:pPr>
          </w:p>
        </w:tc>
      </w:tr>
      <w:tr w:rsidR="006617A7" w:rsidRPr="00381F62" w14:paraId="11EA8F0B" w14:textId="77777777" w:rsidTr="00117212">
        <w:tc>
          <w:tcPr>
            <w:tcW w:w="1878" w:type="dxa"/>
            <w:gridSpan w:val="2"/>
            <w:vMerge/>
          </w:tcPr>
          <w:p w14:paraId="11EA8EFC" w14:textId="77777777" w:rsidR="006617A7" w:rsidRPr="00381F62" w:rsidRDefault="006617A7" w:rsidP="00B815F5">
            <w:pPr>
              <w:rPr>
                <w:rStyle w:val="IntenseReference"/>
                <w:color w:val="auto"/>
              </w:rPr>
            </w:pPr>
          </w:p>
        </w:tc>
        <w:tc>
          <w:tcPr>
            <w:tcW w:w="2261" w:type="dxa"/>
            <w:vAlign w:val="bottom"/>
          </w:tcPr>
          <w:p w14:paraId="11EA8EFD" w14:textId="77777777" w:rsidR="006617A7" w:rsidRPr="00381F62" w:rsidRDefault="006617A7" w:rsidP="00B815F5">
            <w:pPr>
              <w:rPr>
                <w:rStyle w:val="IntenseReference"/>
                <w:color w:val="auto"/>
              </w:rPr>
            </w:pPr>
            <w:r w:rsidRPr="00381F62">
              <w:rPr>
                <w:rStyle w:val="IntenseReference"/>
                <w:color w:val="auto"/>
              </w:rPr>
              <w:t>Keppels South (WQ)</w:t>
            </w:r>
          </w:p>
        </w:tc>
        <w:tc>
          <w:tcPr>
            <w:tcW w:w="813" w:type="dxa"/>
          </w:tcPr>
          <w:p w14:paraId="11EA8EFE" w14:textId="77777777" w:rsidR="006617A7" w:rsidRPr="00381F62" w:rsidRDefault="006617A7" w:rsidP="00B815F5">
            <w:pPr>
              <w:rPr>
                <w:rStyle w:val="IntenseReference"/>
                <w:color w:val="auto"/>
              </w:rPr>
            </w:pPr>
            <w:r w:rsidRPr="00381F62">
              <w:rPr>
                <w:rStyle w:val="IntenseReference"/>
                <w:color w:val="auto"/>
              </w:rPr>
              <w:t>MMP</w:t>
            </w:r>
          </w:p>
        </w:tc>
        <w:tc>
          <w:tcPr>
            <w:tcW w:w="415" w:type="dxa"/>
          </w:tcPr>
          <w:p w14:paraId="11EA8EFF"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00"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01"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02"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5" w:type="dxa"/>
          </w:tcPr>
          <w:p w14:paraId="11EA8F03"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04"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05"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06"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5" w:type="dxa"/>
          </w:tcPr>
          <w:p w14:paraId="11EA8F07"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08"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09"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0A"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r>
      <w:tr w:rsidR="006617A7" w:rsidRPr="00381F62" w14:paraId="11EA8F1B" w14:textId="77777777" w:rsidTr="00117212">
        <w:tc>
          <w:tcPr>
            <w:tcW w:w="1878" w:type="dxa"/>
            <w:gridSpan w:val="2"/>
            <w:vMerge/>
          </w:tcPr>
          <w:p w14:paraId="11EA8F0C" w14:textId="77777777" w:rsidR="006617A7" w:rsidRPr="00381F62" w:rsidRDefault="006617A7" w:rsidP="00B815F5">
            <w:pPr>
              <w:rPr>
                <w:rStyle w:val="IntenseReference"/>
                <w:color w:val="auto"/>
              </w:rPr>
            </w:pPr>
          </w:p>
        </w:tc>
        <w:tc>
          <w:tcPr>
            <w:tcW w:w="2261" w:type="dxa"/>
            <w:vAlign w:val="bottom"/>
          </w:tcPr>
          <w:p w14:paraId="11EA8F0D" w14:textId="77777777" w:rsidR="006617A7" w:rsidRPr="00381F62" w:rsidRDefault="006617A7" w:rsidP="00B815F5">
            <w:pPr>
              <w:rPr>
                <w:rStyle w:val="IntenseReference"/>
                <w:color w:val="auto"/>
              </w:rPr>
            </w:pPr>
            <w:r w:rsidRPr="00381F62">
              <w:rPr>
                <w:rStyle w:val="IntenseReference"/>
                <w:color w:val="auto"/>
              </w:rPr>
              <w:t>Pelican (WQ)</w:t>
            </w:r>
          </w:p>
        </w:tc>
        <w:tc>
          <w:tcPr>
            <w:tcW w:w="813" w:type="dxa"/>
          </w:tcPr>
          <w:p w14:paraId="11EA8F0E" w14:textId="77777777" w:rsidR="006617A7" w:rsidRPr="00381F62" w:rsidRDefault="006617A7" w:rsidP="00B815F5">
            <w:pPr>
              <w:rPr>
                <w:rStyle w:val="IntenseReference"/>
                <w:color w:val="auto"/>
              </w:rPr>
            </w:pPr>
            <w:r w:rsidRPr="00381F62">
              <w:rPr>
                <w:rStyle w:val="IntenseReference"/>
                <w:color w:val="auto"/>
              </w:rPr>
              <w:t>MMP</w:t>
            </w:r>
          </w:p>
        </w:tc>
        <w:tc>
          <w:tcPr>
            <w:tcW w:w="415" w:type="dxa"/>
          </w:tcPr>
          <w:p w14:paraId="11EA8F0F"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10"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11"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12"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5" w:type="dxa"/>
          </w:tcPr>
          <w:p w14:paraId="11EA8F13"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14"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15"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16"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5" w:type="dxa"/>
          </w:tcPr>
          <w:p w14:paraId="11EA8F17"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18"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19"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1EA8F1A" w14:textId="77777777" w:rsidR="006617A7" w:rsidRPr="00381F62" w:rsidRDefault="006617A7" w:rsidP="00B815F5">
            <w:pPr>
              <w:rPr>
                <w:rFonts w:ascii="Arial Narrow" w:hAnsi="Arial Narrow" w:cs="Arial"/>
                <w:szCs w:val="22"/>
              </w:rPr>
            </w:pPr>
            <w:r w:rsidRPr="00381F62">
              <w:rPr>
                <w:rFonts w:ascii="Arial Narrow" w:hAnsi="Arial Narrow" w:cs="Arial"/>
                <w:szCs w:val="22"/>
              </w:rPr>
              <w:t>●</w:t>
            </w:r>
          </w:p>
        </w:tc>
      </w:tr>
      <w:tr w:rsidR="006617A7" w:rsidRPr="00381F62" w14:paraId="05A88F2C" w14:textId="77777777" w:rsidTr="00117212">
        <w:tc>
          <w:tcPr>
            <w:tcW w:w="1878" w:type="dxa"/>
            <w:gridSpan w:val="2"/>
            <w:vMerge/>
          </w:tcPr>
          <w:p w14:paraId="22D2B9E7" w14:textId="77777777" w:rsidR="006617A7" w:rsidRPr="00381F62" w:rsidRDefault="006617A7" w:rsidP="00B815F5">
            <w:pPr>
              <w:rPr>
                <w:rStyle w:val="IntenseReference"/>
                <w:color w:val="auto"/>
              </w:rPr>
            </w:pPr>
          </w:p>
        </w:tc>
        <w:tc>
          <w:tcPr>
            <w:tcW w:w="2261" w:type="dxa"/>
            <w:vAlign w:val="bottom"/>
          </w:tcPr>
          <w:p w14:paraId="093289FE" w14:textId="3F88D2B2" w:rsidR="006617A7" w:rsidRPr="00381F62" w:rsidRDefault="006617A7" w:rsidP="00B815F5">
            <w:pPr>
              <w:rPr>
                <w:rStyle w:val="IntenseReference"/>
                <w:color w:val="auto"/>
              </w:rPr>
            </w:pPr>
            <w:r>
              <w:rPr>
                <w:rStyle w:val="IntenseReference"/>
                <w:color w:val="auto"/>
              </w:rPr>
              <w:t>Peak</w:t>
            </w:r>
          </w:p>
        </w:tc>
        <w:tc>
          <w:tcPr>
            <w:tcW w:w="813" w:type="dxa"/>
          </w:tcPr>
          <w:p w14:paraId="72E49C27" w14:textId="7F07C20A" w:rsidR="006617A7" w:rsidRPr="00381F62" w:rsidRDefault="006617A7" w:rsidP="00B815F5">
            <w:pPr>
              <w:rPr>
                <w:rStyle w:val="IntenseReference"/>
                <w:color w:val="auto"/>
              </w:rPr>
            </w:pPr>
            <w:r>
              <w:rPr>
                <w:rStyle w:val="IntenseReference"/>
                <w:color w:val="auto"/>
              </w:rPr>
              <w:t>MMP</w:t>
            </w:r>
          </w:p>
        </w:tc>
        <w:tc>
          <w:tcPr>
            <w:tcW w:w="415" w:type="dxa"/>
          </w:tcPr>
          <w:p w14:paraId="47477DED" w14:textId="28B0DF21"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1CB6CD62" w14:textId="246CCB88"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2BF1EBBD" w14:textId="77777777" w:rsidR="006617A7" w:rsidRPr="00381F62" w:rsidRDefault="006617A7" w:rsidP="00B815F5">
            <w:pPr>
              <w:rPr>
                <w:rFonts w:ascii="Arial Narrow" w:hAnsi="Arial Narrow" w:cs="Arial"/>
                <w:szCs w:val="22"/>
              </w:rPr>
            </w:pPr>
          </w:p>
        </w:tc>
        <w:tc>
          <w:tcPr>
            <w:tcW w:w="414" w:type="dxa"/>
          </w:tcPr>
          <w:p w14:paraId="7AED81E8" w14:textId="7CC8F260"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5" w:type="dxa"/>
          </w:tcPr>
          <w:p w14:paraId="049D8FBB" w14:textId="77777777" w:rsidR="006617A7" w:rsidRPr="00381F62" w:rsidRDefault="006617A7" w:rsidP="00B815F5">
            <w:pPr>
              <w:rPr>
                <w:rFonts w:ascii="Arial Narrow" w:hAnsi="Arial Narrow" w:cs="Arial"/>
                <w:szCs w:val="22"/>
              </w:rPr>
            </w:pPr>
          </w:p>
        </w:tc>
        <w:tc>
          <w:tcPr>
            <w:tcW w:w="414" w:type="dxa"/>
          </w:tcPr>
          <w:p w14:paraId="2B9FA285" w14:textId="44074223"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262A9AE4" w14:textId="37CC050E" w:rsidR="006617A7" w:rsidRPr="00381F62" w:rsidRDefault="00657B6F" w:rsidP="00B815F5">
            <w:pPr>
              <w:rPr>
                <w:rFonts w:ascii="Arial Narrow" w:hAnsi="Arial Narrow" w:cs="Arial"/>
                <w:szCs w:val="22"/>
              </w:rPr>
            </w:pPr>
            <w:r w:rsidRPr="0029591A">
              <w:rPr>
                <w:rFonts w:ascii="Arial Narrow" w:hAnsi="Arial Narrow" w:cs="Arial"/>
                <w:b/>
                <w:color w:val="000000" w:themeColor="text1"/>
                <w:szCs w:val="22"/>
              </w:rPr>
              <w:t>+</w:t>
            </w:r>
          </w:p>
        </w:tc>
        <w:tc>
          <w:tcPr>
            <w:tcW w:w="414" w:type="dxa"/>
          </w:tcPr>
          <w:p w14:paraId="4B84D6BF" w14:textId="65811CE4"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5" w:type="dxa"/>
          </w:tcPr>
          <w:p w14:paraId="422F46E3" w14:textId="77777777" w:rsidR="006617A7" w:rsidRPr="00381F62" w:rsidRDefault="006617A7" w:rsidP="00B815F5">
            <w:pPr>
              <w:rPr>
                <w:rFonts w:ascii="Arial Narrow" w:hAnsi="Arial Narrow" w:cs="Arial"/>
                <w:szCs w:val="22"/>
              </w:rPr>
            </w:pPr>
          </w:p>
        </w:tc>
        <w:tc>
          <w:tcPr>
            <w:tcW w:w="414" w:type="dxa"/>
          </w:tcPr>
          <w:p w14:paraId="2ABF42B7" w14:textId="253E516A" w:rsidR="006617A7" w:rsidRPr="00381F62" w:rsidRDefault="006617A7" w:rsidP="00B815F5">
            <w:pPr>
              <w:rPr>
                <w:rFonts w:ascii="Arial Narrow" w:hAnsi="Arial Narrow" w:cs="Arial"/>
                <w:szCs w:val="22"/>
              </w:rPr>
            </w:pPr>
            <w:r w:rsidRPr="00381F62">
              <w:rPr>
                <w:rFonts w:ascii="Arial Narrow" w:hAnsi="Arial Narrow" w:cs="Arial"/>
                <w:szCs w:val="22"/>
              </w:rPr>
              <w:t>●</w:t>
            </w:r>
          </w:p>
        </w:tc>
        <w:tc>
          <w:tcPr>
            <w:tcW w:w="414" w:type="dxa"/>
          </w:tcPr>
          <w:p w14:paraId="066F2E91" w14:textId="62C60947" w:rsidR="006617A7" w:rsidRPr="00381F62" w:rsidRDefault="006617A7" w:rsidP="00B815F5">
            <w:pPr>
              <w:rPr>
                <w:rFonts w:ascii="Arial Narrow" w:hAnsi="Arial Narrow" w:cs="Arial"/>
                <w:szCs w:val="22"/>
              </w:rPr>
            </w:pPr>
            <w:r w:rsidRPr="0029591A">
              <w:rPr>
                <w:rFonts w:ascii="Arial Narrow" w:hAnsi="Arial Narrow" w:cs="Arial"/>
                <w:b/>
                <w:color w:val="000000" w:themeColor="text1"/>
                <w:szCs w:val="22"/>
              </w:rPr>
              <w:t>+</w:t>
            </w:r>
          </w:p>
        </w:tc>
        <w:tc>
          <w:tcPr>
            <w:tcW w:w="414" w:type="dxa"/>
          </w:tcPr>
          <w:p w14:paraId="725A1A1C" w14:textId="77777777" w:rsidR="006617A7" w:rsidRPr="00381F62" w:rsidRDefault="006617A7" w:rsidP="00B815F5">
            <w:pPr>
              <w:rPr>
                <w:rFonts w:ascii="Arial Narrow" w:hAnsi="Arial Narrow" w:cs="Arial"/>
                <w:szCs w:val="22"/>
              </w:rPr>
            </w:pPr>
          </w:p>
        </w:tc>
      </w:tr>
    </w:tbl>
    <w:p w14:paraId="11EA8F1C" w14:textId="77777777" w:rsidR="00117212" w:rsidRDefault="00117212" w:rsidP="00117212"/>
    <w:p w14:paraId="7E700B29" w14:textId="1C8E4BC8" w:rsidR="00F14F1F" w:rsidRDefault="00F14F1F" w:rsidP="00F14F1F">
      <w:pPr>
        <w:pStyle w:val="Heading2"/>
      </w:pPr>
      <w:bookmarkStart w:id="65" w:name="_Toc491847359"/>
      <w:bookmarkStart w:id="66" w:name="_Toc493153298"/>
      <w:r>
        <w:t xml:space="preserve">4.3 </w:t>
      </w:r>
      <w:r w:rsidRPr="00381F62">
        <w:t xml:space="preserve">Environmental </w:t>
      </w:r>
      <w:r>
        <w:t>pressures</w:t>
      </w:r>
      <w:bookmarkEnd w:id="65"/>
      <w:bookmarkEnd w:id="66"/>
    </w:p>
    <w:p w14:paraId="0449EF6C" w14:textId="4FA1D752" w:rsidR="005F4E9B" w:rsidRDefault="009D0D44" w:rsidP="005B52B1">
      <w:r>
        <w:rPr>
          <w:lang w:val="en-AU"/>
        </w:rPr>
        <w:t xml:space="preserve">A range of environmental variables are incorporated into this report as a basis for </w:t>
      </w:r>
      <w:r w:rsidR="00270738">
        <w:rPr>
          <w:lang w:val="en-AU"/>
        </w:rPr>
        <w:t>interpreting</w:t>
      </w:r>
      <w:r>
        <w:rPr>
          <w:lang w:val="en-AU"/>
        </w:rPr>
        <w:t xml:space="preserve"> spatial and temporal trends in coral communities.</w:t>
      </w:r>
      <w:r w:rsidR="00E75F5C">
        <w:rPr>
          <w:lang w:val="en-AU"/>
        </w:rPr>
        <w:t xml:space="preserve"> </w:t>
      </w:r>
      <w:r w:rsidR="00D1176E">
        <w:rPr>
          <w:lang w:val="en-AU"/>
        </w:rPr>
        <w:t>Methods are detailed for data collected by this component of the MMP</w:t>
      </w:r>
      <w:r w:rsidR="00F23F74">
        <w:rPr>
          <w:lang w:val="en-AU"/>
        </w:rPr>
        <w:t>,</w:t>
      </w:r>
      <w:r w:rsidR="00D1176E">
        <w:rPr>
          <w:lang w:val="en-AU"/>
        </w:rPr>
        <w:t xml:space="preserve"> or when aggregation to the level used required substantial manipulation of the data</w:t>
      </w:r>
      <w:r w:rsidR="003E5B8F">
        <w:rPr>
          <w:lang w:val="en-AU"/>
        </w:rPr>
        <w:t>,</w:t>
      </w:r>
      <w:r w:rsidR="00D1176E">
        <w:rPr>
          <w:lang w:val="en-AU"/>
        </w:rPr>
        <w:t xml:space="preserve"> sourced as list</w:t>
      </w:r>
      <w:r w:rsidR="008623AE">
        <w:rPr>
          <w:lang w:val="en-AU"/>
        </w:rPr>
        <w:t>ed</w:t>
      </w:r>
      <w:r w:rsidR="00D1176E">
        <w:rPr>
          <w:lang w:val="en-AU"/>
        </w:rPr>
        <w:t xml:space="preserve"> in</w:t>
      </w:r>
      <w:r w:rsidR="00F23F74">
        <w:rPr>
          <w:lang w:val="en-AU"/>
        </w:rPr>
        <w:t xml:space="preserve"> </w:t>
      </w:r>
      <w:r w:rsidR="00F23F74">
        <w:rPr>
          <w:lang w:val="en-AU"/>
        </w:rPr>
        <w:fldChar w:fldCharType="begin"/>
      </w:r>
      <w:r w:rsidR="00F23F74">
        <w:rPr>
          <w:lang w:val="en-AU"/>
        </w:rPr>
        <w:instrText xml:space="preserve"> REF _Ref491091475 \h </w:instrText>
      </w:r>
      <w:r w:rsidR="00F23F74">
        <w:rPr>
          <w:lang w:val="en-AU"/>
        </w:rPr>
      </w:r>
      <w:r w:rsidR="00F23F74">
        <w:rPr>
          <w:lang w:val="en-AU"/>
        </w:rPr>
        <w:fldChar w:fldCharType="separate"/>
      </w:r>
      <w:r w:rsidR="00D806F2">
        <w:t xml:space="preserve">Table </w:t>
      </w:r>
      <w:r w:rsidR="00D806F2">
        <w:rPr>
          <w:noProof/>
        </w:rPr>
        <w:t>2</w:t>
      </w:r>
      <w:r w:rsidR="00F23F74">
        <w:rPr>
          <w:lang w:val="en-AU"/>
        </w:rPr>
        <w:fldChar w:fldCharType="end"/>
      </w:r>
      <w:r w:rsidR="00D1176E">
        <w:rPr>
          <w:lang w:val="en-AU"/>
        </w:rPr>
        <w:t xml:space="preserve">. </w:t>
      </w:r>
    </w:p>
    <w:p w14:paraId="2B69169D" w14:textId="7C3646CB" w:rsidR="00F14F1F" w:rsidRPr="00381F62" w:rsidRDefault="00F14F1F" w:rsidP="00B9528B">
      <w:pPr>
        <w:pStyle w:val="Heading3"/>
      </w:pPr>
      <w:bookmarkStart w:id="67" w:name="_Toc493153299"/>
      <w:r w:rsidRPr="00381F62">
        <w:t>4.3.1</w:t>
      </w:r>
      <w:r w:rsidRPr="00381F62">
        <w:tab/>
        <w:t>Water quality</w:t>
      </w:r>
      <w:bookmarkEnd w:id="67"/>
      <w:r w:rsidRPr="00381F62">
        <w:t xml:space="preserve"> </w:t>
      </w:r>
    </w:p>
    <w:p w14:paraId="55C5C445" w14:textId="0EDA516E" w:rsidR="00ED4734" w:rsidRPr="00F23F74" w:rsidRDefault="008623AE" w:rsidP="00F14F1F">
      <w:pPr>
        <w:rPr>
          <w:color w:val="000000" w:themeColor="text1"/>
        </w:rPr>
      </w:pPr>
      <w:r>
        <w:t xml:space="preserve">Estimates of Chl </w:t>
      </w:r>
      <w:r w:rsidRPr="00F23F74">
        <w:rPr>
          <w:i/>
        </w:rPr>
        <w:t>a</w:t>
      </w:r>
      <w:r>
        <w:t xml:space="preserve"> and non-algal particulate (NAP) concentration derived from </w:t>
      </w:r>
      <w:r w:rsidRPr="0024684D">
        <w:rPr>
          <w:color w:val="000000" w:themeColor="text1"/>
        </w:rPr>
        <w:t xml:space="preserve">the MODIS aqua satellite mounted sensor </w:t>
      </w:r>
      <w:r w:rsidR="00F175C6">
        <w:rPr>
          <w:color w:val="000000" w:themeColor="text1"/>
        </w:rPr>
        <w:t xml:space="preserve">were </w:t>
      </w:r>
      <w:r w:rsidRPr="0024684D">
        <w:rPr>
          <w:color w:val="000000" w:themeColor="text1"/>
        </w:rPr>
        <w:t>downloaded from the Australian Bureau of Meteorology</w:t>
      </w:r>
      <w:r w:rsidRPr="0024684D">
        <w:rPr>
          <w:rStyle w:val="FootnoteReference"/>
          <w:color w:val="000000" w:themeColor="text1"/>
        </w:rPr>
        <w:footnoteReference w:id="3"/>
      </w:r>
      <w:r w:rsidRPr="0024684D">
        <w:rPr>
          <w:color w:val="000000" w:themeColor="text1"/>
        </w:rPr>
        <w:t xml:space="preserve">. </w:t>
      </w:r>
      <w:r w:rsidR="00BF21C9">
        <w:t>Spatial gradients in water</w:t>
      </w:r>
      <w:r w:rsidR="00ED4734">
        <w:t xml:space="preserve"> quality w</w:t>
      </w:r>
      <w:r w:rsidR="00BF21C9">
        <w:t>ere estimated as</w:t>
      </w:r>
      <w:r w:rsidR="00ED4734">
        <w:t xml:space="preserve"> </w:t>
      </w:r>
      <w:r w:rsidR="00BF21C9" w:rsidRPr="0024684D">
        <w:rPr>
          <w:color w:val="000000" w:themeColor="text1"/>
        </w:rPr>
        <w:t xml:space="preserve">the mean of </w:t>
      </w:r>
      <w:r w:rsidR="00BF21C9">
        <w:rPr>
          <w:color w:val="000000" w:themeColor="text1"/>
        </w:rPr>
        <w:t xml:space="preserve">monthly </w:t>
      </w:r>
      <w:r w:rsidR="00BF21C9" w:rsidRPr="0024684D">
        <w:rPr>
          <w:color w:val="000000" w:themeColor="text1"/>
        </w:rPr>
        <w:t xml:space="preserve">median values for </w:t>
      </w:r>
      <w:r w:rsidR="00BF21C9">
        <w:rPr>
          <w:color w:val="000000" w:themeColor="text1"/>
        </w:rPr>
        <w:t xml:space="preserve">individual pixel locations across the inshore GBR. </w:t>
      </w:r>
      <w:r>
        <w:rPr>
          <w:color w:val="000000" w:themeColor="text1"/>
        </w:rPr>
        <w:t xml:space="preserve">As a background to regional maps of sampling locations Chl </w:t>
      </w:r>
      <w:r w:rsidRPr="00F23F74">
        <w:rPr>
          <w:i/>
          <w:color w:val="000000" w:themeColor="text1"/>
        </w:rPr>
        <w:t>a</w:t>
      </w:r>
      <w:r>
        <w:rPr>
          <w:color w:val="000000" w:themeColor="text1"/>
        </w:rPr>
        <w:t xml:space="preserve"> </w:t>
      </w:r>
      <w:r w:rsidR="00F23F74">
        <w:rPr>
          <w:color w:val="000000" w:themeColor="text1"/>
        </w:rPr>
        <w:t>a</w:t>
      </w:r>
      <w:r>
        <w:rPr>
          <w:color w:val="000000" w:themeColor="text1"/>
        </w:rPr>
        <w:t xml:space="preserve">nd NAP concentrations were scaled to visually demonstrate concentrations relative to </w:t>
      </w:r>
      <w:r w:rsidR="001D5EAA">
        <w:rPr>
          <w:color w:val="000000" w:themeColor="text1"/>
        </w:rPr>
        <w:t>guideline value</w:t>
      </w:r>
      <w:r>
        <w:rPr>
          <w:color w:val="000000" w:themeColor="text1"/>
        </w:rPr>
        <w:t>s (GBRMPA 2010)</w:t>
      </w:r>
      <w:r w:rsidR="00F46049">
        <w:rPr>
          <w:color w:val="000000" w:themeColor="text1"/>
        </w:rPr>
        <w:t xml:space="preserve">. </w:t>
      </w:r>
      <w:r w:rsidR="00662511">
        <w:rPr>
          <w:color w:val="000000" w:themeColor="text1"/>
        </w:rPr>
        <w:t xml:space="preserve">As a covariate for analysis of </w:t>
      </w:r>
      <w:r w:rsidR="00E70413">
        <w:rPr>
          <w:color w:val="000000" w:themeColor="text1"/>
        </w:rPr>
        <w:t xml:space="preserve">spatial pattern in </w:t>
      </w:r>
      <w:r w:rsidR="00662511">
        <w:rPr>
          <w:color w:val="000000" w:themeColor="text1"/>
        </w:rPr>
        <w:t>index scores</w:t>
      </w:r>
      <w:r w:rsidR="003E5B8F">
        <w:rPr>
          <w:color w:val="000000" w:themeColor="text1"/>
        </w:rPr>
        <w:t>,</w:t>
      </w:r>
      <w:r w:rsidR="00662511">
        <w:rPr>
          <w:color w:val="000000" w:themeColor="text1"/>
        </w:rPr>
        <w:t xml:space="preserve"> and the distribution of</w:t>
      </w:r>
      <w:r w:rsidR="00F46049">
        <w:rPr>
          <w:color w:val="000000" w:themeColor="text1"/>
        </w:rPr>
        <w:t xml:space="preserve"> brown macroalgae </w:t>
      </w:r>
      <w:r w:rsidR="00662511">
        <w:rPr>
          <w:color w:val="000000" w:themeColor="text1"/>
        </w:rPr>
        <w:t>(case study)</w:t>
      </w:r>
      <w:r w:rsidR="003E5B8F">
        <w:rPr>
          <w:color w:val="000000" w:themeColor="text1"/>
        </w:rPr>
        <w:t>,</w:t>
      </w:r>
      <w:r w:rsidR="00662511">
        <w:rPr>
          <w:color w:val="000000" w:themeColor="text1"/>
        </w:rPr>
        <w:t xml:space="preserve"> reef level means were estimated.</w:t>
      </w:r>
      <w:r w:rsidR="00E75F5C">
        <w:rPr>
          <w:color w:val="000000" w:themeColor="text1"/>
        </w:rPr>
        <w:t xml:space="preserve"> </w:t>
      </w:r>
      <w:r w:rsidR="00F46049">
        <w:rPr>
          <w:color w:val="000000" w:themeColor="text1"/>
        </w:rPr>
        <w:t>For each monitoring location a square of nine 1 km</w:t>
      </w:r>
      <w:r w:rsidR="00F46049" w:rsidRPr="005B52B1">
        <w:rPr>
          <w:color w:val="000000" w:themeColor="text1"/>
          <w:vertAlign w:val="superscript"/>
        </w:rPr>
        <w:t>2</w:t>
      </w:r>
      <w:r w:rsidR="00F46049">
        <w:rPr>
          <w:color w:val="000000" w:themeColor="text1"/>
        </w:rPr>
        <w:t xml:space="preserve"> pixels were identified in closely adjacent waters from which daily medians were used to estimate the mean of monthly means as a single description of reef level Chl </w:t>
      </w:r>
      <w:r w:rsidR="00F46049" w:rsidRPr="00F23F74">
        <w:rPr>
          <w:i/>
          <w:color w:val="000000" w:themeColor="text1"/>
        </w:rPr>
        <w:t>a</w:t>
      </w:r>
      <w:r w:rsidR="00F46049">
        <w:rPr>
          <w:color w:val="000000" w:themeColor="text1"/>
        </w:rPr>
        <w:t xml:space="preserve"> and NAP. </w:t>
      </w:r>
      <w:r w:rsidR="00A27BD4">
        <w:rPr>
          <w:color w:val="000000" w:themeColor="text1"/>
        </w:rPr>
        <w:t xml:space="preserve">In previous years the same process was used to provide reef level estimates of Chl </w:t>
      </w:r>
      <w:r w:rsidR="00A27BD4" w:rsidRPr="00F23F74">
        <w:rPr>
          <w:i/>
          <w:color w:val="000000" w:themeColor="text1"/>
        </w:rPr>
        <w:t>a</w:t>
      </w:r>
      <w:r w:rsidR="00A27BD4">
        <w:rPr>
          <w:color w:val="000000" w:themeColor="text1"/>
        </w:rPr>
        <w:t xml:space="preserve"> and NAP that were used to define </w:t>
      </w:r>
      <w:r w:rsidR="00086ADB" w:rsidRPr="00662511">
        <w:rPr>
          <w:color w:val="000000" w:themeColor="text1"/>
        </w:rPr>
        <w:t xml:space="preserve">reef specific thresholds for the macroalgae and coral community composition indicators. </w:t>
      </w:r>
    </w:p>
    <w:p w14:paraId="79953C1B" w14:textId="6872A773" w:rsidR="00F14F1F" w:rsidRDefault="00A27BD4" w:rsidP="00F14F1F">
      <w:pPr>
        <w:rPr>
          <w:color w:val="000000" w:themeColor="text1"/>
        </w:rPr>
      </w:pPr>
      <w:r>
        <w:t xml:space="preserve">Temporal trends in Chl </w:t>
      </w:r>
      <w:r w:rsidRPr="00F23F74">
        <w:rPr>
          <w:i/>
        </w:rPr>
        <w:t>a</w:t>
      </w:r>
      <w:r>
        <w:t xml:space="preserve"> and Turbidity </w:t>
      </w:r>
      <w:r w:rsidR="005A4144">
        <w:t xml:space="preserve">were plotted for each </w:t>
      </w:r>
      <w:r w:rsidR="00F14F1F" w:rsidRPr="00381F62">
        <w:t xml:space="preserve">NRM </w:t>
      </w:r>
      <w:r w:rsidR="005A4144">
        <w:t>(sub-)</w:t>
      </w:r>
      <w:r w:rsidR="00F14F1F" w:rsidRPr="00381F62">
        <w:t>region</w:t>
      </w:r>
      <w:r w:rsidR="005A4144">
        <w:t xml:space="preserve">. These plots represent </w:t>
      </w:r>
      <w:r w:rsidR="00131A86">
        <w:t xml:space="preserve">Chl </w:t>
      </w:r>
      <w:r w:rsidR="00131A86" w:rsidRPr="00F23F74">
        <w:rPr>
          <w:i/>
        </w:rPr>
        <w:t>a</w:t>
      </w:r>
      <w:r w:rsidR="00131A86">
        <w:t xml:space="preserve"> and turbidity estimates derived from </w:t>
      </w:r>
      <w:r w:rsidR="00F14F1F" w:rsidRPr="00381F62">
        <w:t xml:space="preserve">WET Labs ECO FLNTUSB Combination Fluorometer and Turbidity Sensors </w:t>
      </w:r>
      <w:r w:rsidR="00131A86">
        <w:t>co</w:t>
      </w:r>
      <w:r w:rsidR="003E5B8F">
        <w:t>-</w:t>
      </w:r>
      <w:r w:rsidR="00131A86">
        <w:t xml:space="preserve">located with </w:t>
      </w:r>
      <w:r w:rsidR="00F14F1F" w:rsidRPr="00381F62">
        <w:t>5</w:t>
      </w:r>
      <w:r w:rsidR="003E5B8F">
        <w:t xml:space="preserve"> </w:t>
      </w:r>
      <w:r w:rsidR="00F14F1F">
        <w:t xml:space="preserve">m </w:t>
      </w:r>
      <w:r w:rsidR="00F14F1F" w:rsidRPr="00381F62">
        <w:t xml:space="preserve">coral survey transects </w:t>
      </w:r>
      <w:r w:rsidR="00131A86">
        <w:t xml:space="preserve">at a subset of reefs, and for Chl </w:t>
      </w:r>
      <w:r w:rsidR="00131A86" w:rsidRPr="003E5B8F">
        <w:rPr>
          <w:i/>
        </w:rPr>
        <w:t>a</w:t>
      </w:r>
      <w:r w:rsidR="00131A86">
        <w:t xml:space="preserve">, analysis of water sampled using niskin bottles at the logger sites. These plots are reproduced from </w:t>
      </w:r>
      <w:r w:rsidR="00131A86" w:rsidRPr="00084E4E">
        <w:rPr>
          <w:color w:val="000000" w:themeColor="text1"/>
        </w:rPr>
        <w:t>the companion 201</w:t>
      </w:r>
      <w:r w:rsidR="00131A86">
        <w:rPr>
          <w:color w:val="000000" w:themeColor="text1"/>
        </w:rPr>
        <w:t>6</w:t>
      </w:r>
      <w:r w:rsidR="00131A86" w:rsidRPr="00084E4E">
        <w:rPr>
          <w:color w:val="000000" w:themeColor="text1"/>
        </w:rPr>
        <w:t xml:space="preserve"> annual MMP Water Quality Monitoring report (</w:t>
      </w:r>
      <w:r w:rsidR="00131A86">
        <w:rPr>
          <w:rFonts w:cs="Arial"/>
          <w:color w:val="000000" w:themeColor="text1"/>
          <w:lang w:val="en-US"/>
        </w:rPr>
        <w:t xml:space="preserve">Waterhouse </w:t>
      </w:r>
      <w:r w:rsidR="00131A86" w:rsidRPr="00B03615">
        <w:rPr>
          <w:rFonts w:cs="Arial"/>
          <w:i/>
          <w:color w:val="000000" w:themeColor="text1"/>
          <w:lang w:val="en-US"/>
        </w:rPr>
        <w:t>et al.</w:t>
      </w:r>
      <w:r w:rsidR="00131A86">
        <w:rPr>
          <w:rFonts w:cs="Arial"/>
          <w:color w:val="000000" w:themeColor="text1"/>
          <w:lang w:val="en-US"/>
        </w:rPr>
        <w:t xml:space="preserve"> 2017</w:t>
      </w:r>
      <w:r w:rsidR="00131A86" w:rsidRPr="00084E4E">
        <w:rPr>
          <w:color w:val="000000" w:themeColor="text1"/>
        </w:rPr>
        <w:t>)</w:t>
      </w:r>
      <w:r w:rsidR="00131A86">
        <w:rPr>
          <w:color w:val="000000" w:themeColor="text1"/>
        </w:rPr>
        <w:t xml:space="preserve"> in which detailed descriptions of water quality sampling methods can also be found.</w:t>
      </w:r>
    </w:p>
    <w:p w14:paraId="436B5E19" w14:textId="759E4198" w:rsidR="005A4144" w:rsidRPr="00084E4E" w:rsidRDefault="005E08C5" w:rsidP="00F14F1F">
      <w:pPr>
        <w:rPr>
          <w:color w:val="000000" w:themeColor="text1"/>
        </w:rPr>
      </w:pPr>
      <w:r w:rsidRPr="00B92D3B">
        <w:rPr>
          <w:color w:val="000000" w:themeColor="text1"/>
          <w:lang w:val="en-US"/>
        </w:rPr>
        <w:t xml:space="preserve">The data </w:t>
      </w:r>
      <w:r>
        <w:rPr>
          <w:color w:val="000000" w:themeColor="text1"/>
          <w:lang w:val="en-US"/>
        </w:rPr>
        <w:t>we</w:t>
      </w:r>
      <w:r w:rsidRPr="00B92D3B">
        <w:rPr>
          <w:color w:val="000000" w:themeColor="text1"/>
          <w:lang w:val="en-US"/>
        </w:rPr>
        <w:t xml:space="preserve">re </w:t>
      </w:r>
      <w:r w:rsidRPr="00B92D3B">
        <w:rPr>
          <w:color w:val="000000" w:themeColor="text1"/>
          <w:lang w:val="en-AU"/>
        </w:rPr>
        <w:t>analysed</w:t>
      </w:r>
      <w:r w:rsidRPr="00B92D3B">
        <w:rPr>
          <w:color w:val="000000" w:themeColor="text1"/>
          <w:lang w:val="en-US"/>
        </w:rPr>
        <w:t xml:space="preserve"> to generate trend </w:t>
      </w:r>
      <w:r w:rsidRPr="00B92D3B">
        <w:rPr>
          <w:color w:val="000000" w:themeColor="text1"/>
        </w:rPr>
        <w:t>predictions from thin-plate splines fitted via Generalised Additive Mixed Models (GAMM's). These models also incorporated seasonal cyclical cubic splines with sample location set as the random effect.</w:t>
      </w:r>
    </w:p>
    <w:p w14:paraId="6D2FC50D" w14:textId="1CF5C1C5" w:rsidR="00F14F1F" w:rsidRPr="00381F62" w:rsidRDefault="00F14F1F" w:rsidP="00B9528B">
      <w:pPr>
        <w:pStyle w:val="Heading3"/>
      </w:pPr>
      <w:bookmarkStart w:id="68" w:name="_Toc493153300"/>
      <w:r w:rsidRPr="00381F62">
        <w:t>4.3.2 Sea temperature</w:t>
      </w:r>
      <w:bookmarkEnd w:id="68"/>
    </w:p>
    <w:p w14:paraId="663150BA" w14:textId="118ED35A" w:rsidR="007774EF" w:rsidRPr="0024684D" w:rsidRDefault="00F14F1F" w:rsidP="007774EF">
      <w:pPr>
        <w:spacing w:after="100" w:afterAutospacing="1"/>
        <w:rPr>
          <w:color w:val="000000" w:themeColor="text1"/>
        </w:rPr>
      </w:pPr>
      <w:r w:rsidRPr="00381F62">
        <w:t>Temperature loggers were deployed at each coral monitoring reef at both 2</w:t>
      </w:r>
      <w:r w:rsidR="003E5B8F">
        <w:t xml:space="preserve"> </w:t>
      </w:r>
      <w:r>
        <w:t xml:space="preserve">m </w:t>
      </w:r>
      <w:r w:rsidRPr="00381F62">
        <w:t>and 5</w:t>
      </w:r>
      <w:r w:rsidR="003E5B8F">
        <w:t xml:space="preserve"> </w:t>
      </w:r>
      <w:r>
        <w:t xml:space="preserve">m </w:t>
      </w:r>
      <w:r w:rsidRPr="00381F62">
        <w:t xml:space="preserve">depths and routinely exchanged at the time of the coral surveys (i.e. every 12 or 24 months). Exceptions were Snapper South, Fitzroy East, High East, Franklands East, Dunk South, and Palms East where loggers were not deployed due to the proximity of those </w:t>
      </w:r>
      <w:r w:rsidR="00C37DA8">
        <w:t>sites to the sites o</w:t>
      </w:r>
      <w:r w:rsidRPr="00381F62">
        <w:t>n the western or northern aspects of these same islands</w:t>
      </w:r>
      <w:r w:rsidR="00C37DA8">
        <w:t>, where loggers were deployed</w:t>
      </w:r>
      <w:r w:rsidRPr="00381F62">
        <w:t xml:space="preserve">. </w:t>
      </w:r>
      <w:r w:rsidRPr="00381F62">
        <w:rPr>
          <w:szCs w:val="22"/>
        </w:rPr>
        <w:t xml:space="preserve">Initially </w:t>
      </w:r>
      <w:r w:rsidRPr="00381F62">
        <w:t>Odyssey temperature loggers (</w:t>
      </w:r>
      <w:hyperlink r:id="rId35" w:tooltip="Odyssey temperature loggers " w:history="1">
        <w:r w:rsidRPr="00381F62">
          <w:rPr>
            <w:rStyle w:val="Hyperlink"/>
            <w:color w:val="auto"/>
            <w:szCs w:val="22"/>
          </w:rPr>
          <w:t>http://www.odysseydatarecording.com/</w:t>
        </w:r>
      </w:hyperlink>
      <w:r w:rsidRPr="00381F62">
        <w:rPr>
          <w:szCs w:val="22"/>
        </w:rPr>
        <w:t xml:space="preserve">) were used prior to gradual change over to </w:t>
      </w:r>
      <w:r w:rsidRPr="00381F62">
        <w:t>Sensus Ultra temperature loggers (</w:t>
      </w:r>
      <w:hyperlink r:id="rId36" w:tooltip="Sensus Ultra temperature loggers" w:history="1">
        <w:r w:rsidRPr="00381F62">
          <w:rPr>
            <w:rStyle w:val="Hyperlink"/>
            <w:color w:val="auto"/>
            <w:szCs w:val="22"/>
          </w:rPr>
          <w:t>http://reefnet.ca/products/sensus/</w:t>
        </w:r>
      </w:hyperlink>
      <w:r w:rsidRPr="00381F62">
        <w:t>). The Odyssey loggers were set to take readings every 30 minutes. The Sensus loggers were set to take readings every 10 minutes. Loggers were calibrated against a certified reference thermometer after each deployment and were generally accurate to ± 0.2°C.</w:t>
      </w:r>
      <w:r w:rsidR="00086ADB">
        <w:t xml:space="preserve"> </w:t>
      </w:r>
      <w:r w:rsidR="007774EF" w:rsidRPr="000F6A99">
        <w:t xml:space="preserve">Time series analyses were </w:t>
      </w:r>
      <w:r w:rsidR="00C7309A">
        <w:t xml:space="preserve">applied to </w:t>
      </w:r>
      <w:r w:rsidR="00065C74">
        <w:t>temperature data</w:t>
      </w:r>
      <w:r w:rsidR="00C7309A" w:rsidRPr="000F6A99">
        <w:t xml:space="preserve"> over the period 2005-2015 </w:t>
      </w:r>
      <w:r w:rsidR="00C7309A">
        <w:t xml:space="preserve">to describe </w:t>
      </w:r>
      <w:r w:rsidR="007774EF" w:rsidRPr="000F6A99">
        <w:t>season</w:t>
      </w:r>
      <w:r w:rsidR="007774EF">
        <w:t>al</w:t>
      </w:r>
      <w:r w:rsidR="007774EF" w:rsidRPr="000F6A99">
        <w:t xml:space="preserve"> temperature </w:t>
      </w:r>
      <w:r w:rsidR="007774EF">
        <w:t>climatology for each (sub-)region</w:t>
      </w:r>
      <w:r w:rsidR="007774EF" w:rsidRPr="000F6A99">
        <w:t xml:space="preserve">. </w:t>
      </w:r>
      <w:r w:rsidR="007774EF">
        <w:t xml:space="preserve">Temperature </w:t>
      </w:r>
      <w:r w:rsidR="00C7309A">
        <w:t xml:space="preserve">data for each (sub-)region </w:t>
      </w:r>
      <w:r w:rsidR="00C37DA8">
        <w:t xml:space="preserve">are </w:t>
      </w:r>
      <w:r w:rsidR="00C7309A">
        <w:t xml:space="preserve">plotted as </w:t>
      </w:r>
      <w:r w:rsidR="007774EF">
        <w:t>anomalies</w:t>
      </w:r>
      <w:r w:rsidR="00C37DA8">
        <w:t>,</w:t>
      </w:r>
      <w:r w:rsidR="007774EF">
        <w:t xml:space="preserve"> estimated as the </w:t>
      </w:r>
      <w:r w:rsidR="00C7309A">
        <w:t xml:space="preserve">mean </w:t>
      </w:r>
      <w:r w:rsidR="007774EF">
        <w:t xml:space="preserve">difference between daily observations </w:t>
      </w:r>
      <w:r w:rsidR="00C7309A">
        <w:t xml:space="preserve">within a (sub-)region and </w:t>
      </w:r>
      <w:r w:rsidR="007774EF">
        <w:t>the seasonal climatology</w:t>
      </w:r>
      <w:r w:rsidR="00C7309A">
        <w:t xml:space="preserve">. </w:t>
      </w:r>
      <w:r w:rsidR="00F175C6">
        <w:t>As a seasonal summary of temperature anomalies</w:t>
      </w:r>
      <w:r w:rsidR="00C37DA8">
        <w:t>,</w:t>
      </w:r>
      <w:r w:rsidR="00F175C6">
        <w:t xml:space="preserve"> the mean of </w:t>
      </w:r>
      <w:r w:rsidR="00C7309A">
        <w:t xml:space="preserve">summer season </w:t>
      </w:r>
      <w:r w:rsidR="00C7309A" w:rsidRPr="000F6A99">
        <w:rPr>
          <w:rFonts w:eastAsia="SimSun" w:cs="Arial"/>
          <w:bCs/>
          <w:szCs w:val="22"/>
        </w:rPr>
        <w:t>(December 1</w:t>
      </w:r>
      <w:r w:rsidR="00C7309A" w:rsidRPr="000F6A99">
        <w:rPr>
          <w:rFonts w:eastAsia="SimSun" w:cs="Arial"/>
          <w:bCs/>
          <w:szCs w:val="22"/>
          <w:vertAlign w:val="superscript"/>
        </w:rPr>
        <w:t>st</w:t>
      </w:r>
      <w:r w:rsidR="00C7309A" w:rsidRPr="000F6A99">
        <w:rPr>
          <w:rFonts w:eastAsia="SimSun" w:cs="Arial"/>
          <w:bCs/>
          <w:szCs w:val="22"/>
        </w:rPr>
        <w:t xml:space="preserve"> to March 31</w:t>
      </w:r>
      <w:r w:rsidR="00C7309A" w:rsidRPr="000F6A99">
        <w:rPr>
          <w:rFonts w:eastAsia="SimSun" w:cs="Arial"/>
          <w:bCs/>
          <w:szCs w:val="22"/>
          <w:vertAlign w:val="superscript"/>
        </w:rPr>
        <w:t>st</w:t>
      </w:r>
      <w:r w:rsidR="00C7309A">
        <w:rPr>
          <w:rFonts w:eastAsia="SimSun" w:cs="Arial"/>
          <w:bCs/>
          <w:szCs w:val="22"/>
        </w:rPr>
        <w:t>)</w:t>
      </w:r>
      <w:r w:rsidR="00C7309A">
        <w:t xml:space="preserve"> </w:t>
      </w:r>
      <w:r w:rsidR="00C7309A">
        <w:rPr>
          <w:rFonts w:eastAsia="SimSun" w:cs="Arial"/>
          <w:bCs/>
          <w:szCs w:val="22"/>
        </w:rPr>
        <w:t>degree heating day</w:t>
      </w:r>
      <w:r w:rsidR="007774EF" w:rsidRPr="000F6A99">
        <w:rPr>
          <w:rFonts w:eastAsia="SimSun" w:cs="Arial"/>
          <w:bCs/>
          <w:szCs w:val="22"/>
        </w:rPr>
        <w:t xml:space="preserve"> (DHD) </w:t>
      </w:r>
      <w:r w:rsidR="00C7309A">
        <w:rPr>
          <w:rFonts w:eastAsia="SimSun" w:cs="Arial"/>
          <w:bCs/>
          <w:szCs w:val="22"/>
        </w:rPr>
        <w:t>estimates</w:t>
      </w:r>
      <w:r w:rsidR="00F175C6">
        <w:rPr>
          <w:rFonts w:eastAsia="SimSun" w:cs="Arial"/>
          <w:bCs/>
          <w:szCs w:val="22"/>
        </w:rPr>
        <w:t xml:space="preserve"> are included on temperature plots. DHD means were derived from pixels adjacent to each coral monitoring location </w:t>
      </w:r>
      <w:r w:rsidR="00C7309A">
        <w:rPr>
          <w:rFonts w:eastAsia="SimSun" w:cs="Arial"/>
          <w:bCs/>
          <w:szCs w:val="22"/>
        </w:rPr>
        <w:t xml:space="preserve">downloaded </w:t>
      </w:r>
      <w:r w:rsidR="00C7309A" w:rsidRPr="000F6A99">
        <w:rPr>
          <w:rFonts w:eastAsia="SimSun" w:cs="Arial"/>
          <w:bCs/>
          <w:szCs w:val="22"/>
        </w:rPr>
        <w:t xml:space="preserve">from the Bureau of Meteorology satellite-based interactive website </w:t>
      </w:r>
      <w:r w:rsidR="00C7309A" w:rsidRPr="000F6A99">
        <w:t>ReefTemp Next Generation</w:t>
      </w:r>
      <w:r w:rsidR="00F175C6">
        <w:rPr>
          <w:rStyle w:val="FootnoteReference"/>
        </w:rPr>
        <w:footnoteReference w:id="4"/>
      </w:r>
      <w:r w:rsidR="00C7309A">
        <w:t xml:space="preserve">. </w:t>
      </w:r>
      <w:r w:rsidR="00C7309A">
        <w:rPr>
          <w:rFonts w:eastAsia="SimSun" w:cs="Arial"/>
          <w:bCs/>
          <w:szCs w:val="22"/>
        </w:rPr>
        <w:t xml:space="preserve">DHD values </w:t>
      </w:r>
      <w:r w:rsidR="007774EF" w:rsidRPr="000F6A99">
        <w:rPr>
          <w:rFonts w:eastAsia="SimSun" w:cs="Arial"/>
          <w:bCs/>
          <w:szCs w:val="22"/>
        </w:rPr>
        <w:t xml:space="preserve">were calculated as the sum of daily positive deviations of mean temperature from the long-term seasonal average – a one degree exceedance for one day equates to one degree heating day. DHD values </w:t>
      </w:r>
      <w:r w:rsidR="00F175C6">
        <w:rPr>
          <w:rFonts w:eastAsia="SimSun" w:cs="Arial"/>
          <w:bCs/>
          <w:szCs w:val="22"/>
        </w:rPr>
        <w:t>were</w:t>
      </w:r>
      <w:r w:rsidR="007774EF" w:rsidRPr="000F6A99">
        <w:t xml:space="preserve"> based on 14 day IMOS climatology</w:t>
      </w:r>
      <w:r w:rsidR="00F175C6">
        <w:rPr>
          <w:rFonts w:eastAsia="SimSun" w:cs="Arial"/>
          <w:bCs/>
          <w:szCs w:val="22"/>
        </w:rPr>
        <w:t>.</w:t>
      </w:r>
    </w:p>
    <w:p w14:paraId="1FDFE9A7" w14:textId="17D56C95" w:rsidR="0055016E" w:rsidRPr="00381F62" w:rsidRDefault="0055016E" w:rsidP="00B9528B">
      <w:pPr>
        <w:pStyle w:val="Heading3"/>
      </w:pPr>
      <w:bookmarkStart w:id="69" w:name="_Toc493153301"/>
      <w:r w:rsidRPr="00381F62">
        <w:t xml:space="preserve">4.3.3 </w:t>
      </w:r>
      <w:r>
        <w:t>River discharge</w:t>
      </w:r>
      <w:r w:rsidR="00E70413">
        <w:t>, DIN and TSS loads</w:t>
      </w:r>
      <w:bookmarkEnd w:id="69"/>
    </w:p>
    <w:p w14:paraId="0558DABD" w14:textId="2F4EDEBD" w:rsidR="00845084" w:rsidRPr="00381F62" w:rsidRDefault="0055016E" w:rsidP="0055016E">
      <w:pPr>
        <w:spacing w:after="100" w:afterAutospacing="1"/>
      </w:pPr>
      <w:r w:rsidRPr="0024684D">
        <w:rPr>
          <w:color w:val="000000" w:themeColor="text1"/>
        </w:rPr>
        <w:t xml:space="preserve">Daily and records of river discharge were obtained from Queensland Government Department of Natural Resources and Mines river gauge stations for the major rivers draining to the Reef. </w:t>
      </w:r>
      <w:r w:rsidR="00845084">
        <w:rPr>
          <w:color w:val="000000" w:themeColor="text1"/>
        </w:rPr>
        <w:t>Within each (sub-)region a</w:t>
      </w:r>
      <w:r w:rsidR="00C37DA8">
        <w:rPr>
          <w:color w:val="000000" w:themeColor="text1"/>
        </w:rPr>
        <w:t xml:space="preserve"> time-</w:t>
      </w:r>
      <w:r w:rsidRPr="0024684D">
        <w:rPr>
          <w:color w:val="000000" w:themeColor="text1"/>
        </w:rPr>
        <w:t>series of the</w:t>
      </w:r>
      <w:r w:rsidR="00845084">
        <w:rPr>
          <w:color w:val="000000" w:themeColor="text1"/>
        </w:rPr>
        <w:t xml:space="preserve"> combined discharge </w:t>
      </w:r>
      <w:r w:rsidR="00720FD8">
        <w:rPr>
          <w:color w:val="000000" w:themeColor="text1"/>
        </w:rPr>
        <w:t xml:space="preserve">from the major gauged rivers </w:t>
      </w:r>
      <w:r w:rsidR="00845084">
        <w:rPr>
          <w:color w:val="000000" w:themeColor="text1"/>
        </w:rPr>
        <w:t xml:space="preserve">are plotted. </w:t>
      </w:r>
      <w:r w:rsidRPr="0024684D">
        <w:rPr>
          <w:color w:val="000000" w:themeColor="text1"/>
        </w:rPr>
        <w:t>Total annual discharge for each water year, 1</w:t>
      </w:r>
      <w:r w:rsidRPr="0024684D">
        <w:rPr>
          <w:color w:val="000000" w:themeColor="text1"/>
          <w:vertAlign w:val="superscript"/>
        </w:rPr>
        <w:t>st</w:t>
      </w:r>
      <w:r w:rsidRPr="0024684D">
        <w:rPr>
          <w:color w:val="000000" w:themeColor="text1"/>
        </w:rPr>
        <w:t xml:space="preserve"> October to 30</w:t>
      </w:r>
      <w:r w:rsidRPr="0024684D">
        <w:rPr>
          <w:color w:val="000000" w:themeColor="text1"/>
          <w:vertAlign w:val="superscript"/>
        </w:rPr>
        <w:t>th</w:t>
      </w:r>
      <w:r w:rsidRPr="0024684D">
        <w:rPr>
          <w:color w:val="000000" w:themeColor="text1"/>
        </w:rPr>
        <w:t xml:space="preserve"> September, are also included</w:t>
      </w:r>
      <w:r w:rsidR="00845084">
        <w:rPr>
          <w:color w:val="000000" w:themeColor="text1"/>
        </w:rPr>
        <w:t xml:space="preserve"> along with a long-term median reference estimated over the period 1970-2000</w:t>
      </w:r>
      <w:r w:rsidRPr="0024684D">
        <w:rPr>
          <w:color w:val="000000" w:themeColor="text1"/>
        </w:rPr>
        <w:t>. These annual estimates include a correction factor applied to gaug</w:t>
      </w:r>
      <w:r w:rsidR="00056F6C">
        <w:rPr>
          <w:color w:val="000000" w:themeColor="text1"/>
        </w:rPr>
        <w:t>ed discharges to account for un</w:t>
      </w:r>
      <w:r w:rsidRPr="0024684D">
        <w:rPr>
          <w:color w:val="000000" w:themeColor="text1"/>
        </w:rPr>
        <w:t xml:space="preserve">gauged areas of the catchment following (Waterhouse </w:t>
      </w:r>
      <w:r w:rsidRPr="0024684D">
        <w:rPr>
          <w:i/>
          <w:color w:val="000000" w:themeColor="text1"/>
        </w:rPr>
        <w:t>et al.</w:t>
      </w:r>
      <w:r w:rsidRPr="0024684D">
        <w:rPr>
          <w:color w:val="000000" w:themeColor="text1"/>
        </w:rPr>
        <w:t xml:space="preserve"> 2017</w:t>
      </w:r>
      <w:r w:rsidR="00845084">
        <w:rPr>
          <w:color w:val="000000" w:themeColor="text1"/>
        </w:rPr>
        <w:t xml:space="preserve">). Annual discharge and medians for individual rivers are tabulated in the appendix of this report. </w:t>
      </w:r>
      <w:r w:rsidR="00A27F93">
        <w:rPr>
          <w:color w:val="000000" w:themeColor="text1"/>
        </w:rPr>
        <w:t>Total annual river discharge for each region was used as a covariate in analysis of change in coral index scores. For this analysis biennial changes in index scores were considered due to the underlying sampling design of the program.</w:t>
      </w:r>
      <w:r w:rsidR="00E75F5C">
        <w:rPr>
          <w:color w:val="000000" w:themeColor="text1"/>
        </w:rPr>
        <w:t xml:space="preserve"> </w:t>
      </w:r>
      <w:r w:rsidR="00720FD8">
        <w:rPr>
          <w:color w:val="000000" w:themeColor="text1"/>
        </w:rPr>
        <w:t>To match this sampling frequency</w:t>
      </w:r>
      <w:r w:rsidR="00C37DA8">
        <w:rPr>
          <w:color w:val="000000" w:themeColor="text1"/>
        </w:rPr>
        <w:t>,</w:t>
      </w:r>
      <w:r w:rsidR="00720FD8">
        <w:rPr>
          <w:color w:val="000000" w:themeColor="text1"/>
        </w:rPr>
        <w:t xml:space="preserve"> </w:t>
      </w:r>
      <w:r w:rsidR="00A27F93">
        <w:rPr>
          <w:color w:val="000000" w:themeColor="text1"/>
        </w:rPr>
        <w:t>the mean of the total annual discharge from all rivers discharging into a given region for each two year period between 2006 and 2016</w:t>
      </w:r>
      <w:r w:rsidR="00C37DA8">
        <w:rPr>
          <w:color w:val="000000" w:themeColor="text1"/>
        </w:rPr>
        <w:t xml:space="preserve"> was calculated</w:t>
      </w:r>
      <w:r w:rsidR="00A27F93">
        <w:rPr>
          <w:color w:val="000000" w:themeColor="text1"/>
        </w:rPr>
        <w:t>.</w:t>
      </w:r>
      <w:r w:rsidR="00720FD8">
        <w:rPr>
          <w:color w:val="000000" w:themeColor="text1"/>
        </w:rPr>
        <w:t xml:space="preserve"> A similar aggregation of biennial means of annual dissolved inorganic nitrogen (DIN) and total suspended solids (TSS) delivered by rivers in each region was constructed based on estimated loads extracted from Waterhouse et al. (2017).</w:t>
      </w:r>
    </w:p>
    <w:p w14:paraId="208B77B6" w14:textId="1073BD46" w:rsidR="00F14F1F" w:rsidRPr="00381F62" w:rsidRDefault="00056F6C" w:rsidP="00B9528B">
      <w:pPr>
        <w:pStyle w:val="Heading3"/>
      </w:pPr>
      <w:bookmarkStart w:id="70" w:name="_Toc493153302"/>
      <w:r>
        <w:t>4.3.4</w:t>
      </w:r>
      <w:r w:rsidR="00F14F1F" w:rsidRPr="00381F62">
        <w:t xml:space="preserve"> Sediment sampling</w:t>
      </w:r>
      <w:bookmarkEnd w:id="70"/>
    </w:p>
    <w:p w14:paraId="2DD10365" w14:textId="45101423" w:rsidR="00F14F1F" w:rsidRDefault="001047B3" w:rsidP="00F14F1F">
      <w:r>
        <w:t xml:space="preserve">The proportion of sediments with grainsize &lt; </w:t>
      </w:r>
      <w:r w:rsidRPr="00381F62">
        <w:t>63</w:t>
      </w:r>
      <w:r w:rsidRPr="00381F62">
        <w:rPr>
          <w:rFonts w:cs="Arial"/>
        </w:rPr>
        <w:t>µ</w:t>
      </w:r>
      <w:r w:rsidRPr="00381F62">
        <w:t xml:space="preserve">m (clay and silt) </w:t>
      </w:r>
      <w:r>
        <w:t>in sediments from the reefs sites was used as a proxy for exposure to wave and tide mediated resuspension</w:t>
      </w:r>
      <w:r w:rsidR="002C4122">
        <w:t xml:space="preserve">. These data were </w:t>
      </w:r>
      <w:r>
        <w:t>included as a covariate in analysis of brown algae distribution. The proportion of clay and silt sized particles was also included in analyses that determined reef level thresholds for macroalgae in previous reports.</w:t>
      </w:r>
      <w:r w:rsidR="00E75F5C">
        <w:t xml:space="preserve"> </w:t>
      </w:r>
      <w:r w:rsidR="002C4122">
        <w:t>Grainsize distribution of sediments was estimated from samples collected from 5</w:t>
      </w:r>
      <w:r w:rsidR="00C37DA8">
        <w:t xml:space="preserve"> </w:t>
      </w:r>
      <w:r w:rsidR="002C4122">
        <w:t>m depth MMP sites at the ti</w:t>
      </w:r>
      <w:r w:rsidR="00056F6C">
        <w:t xml:space="preserve">me of coral sampling </w:t>
      </w:r>
      <w:r w:rsidR="00C37DA8">
        <w:t xml:space="preserve">until </w:t>
      </w:r>
      <w:r w:rsidR="00F14F1F" w:rsidRPr="00381F62">
        <w:t>2014</w:t>
      </w:r>
      <w:r w:rsidR="002C4122">
        <w:t>.</w:t>
      </w:r>
      <w:r w:rsidR="00F14F1F" w:rsidRPr="00381F62">
        <w:t xml:space="preserve"> At each site five 60</w:t>
      </w:r>
      <w:r w:rsidR="00C37DA8">
        <w:t xml:space="preserve"> </w:t>
      </w:r>
      <w:r w:rsidR="00F14F1F" w:rsidRPr="00381F62">
        <w:t>ml syringe tubes were used to collect cores of surface sediment from available deposits</w:t>
      </w:r>
      <w:r w:rsidR="00F14F1F" w:rsidRPr="00381F62" w:rsidDel="00B75830">
        <w:t xml:space="preserve"> </w:t>
      </w:r>
      <w:r w:rsidR="00F14F1F" w:rsidRPr="00381F62">
        <w:t>along the 120</w:t>
      </w:r>
      <w:r w:rsidR="00C37DA8">
        <w:t xml:space="preserve"> </w:t>
      </w:r>
      <w:r w:rsidR="00F14F1F" w:rsidRPr="00381F62">
        <w:t xml:space="preserve">m length of the site. The end of the syringe tube was cut away to produce a uniform cylinder. Sediment was collected by pushing the tube into the sediment being careful not to suck sediment and pore-water into the tube with the plunger. A rubber stopper was then inserted to trap the sediment plug. </w:t>
      </w:r>
      <w:r w:rsidR="002C4122">
        <w:t>T</w:t>
      </w:r>
      <w:r w:rsidR="00F14F1F" w:rsidRPr="00381F62">
        <w:t xml:space="preserve">he </w:t>
      </w:r>
      <w:r w:rsidR="002C4122">
        <w:t xml:space="preserve">surface </w:t>
      </w:r>
      <w:r w:rsidR="00F14F1F" w:rsidRPr="00381F62">
        <w:t>centimetre of sediment</w:t>
      </w:r>
      <w:r w:rsidR="002C4122">
        <w:t xml:space="preserve"> was retained and grainsize distribution determined by </w:t>
      </w:r>
      <w:r w:rsidR="00A77BB4">
        <w:t xml:space="preserve">a combination of sieving and laser analysis </w:t>
      </w:r>
      <w:r w:rsidR="00F14F1F" w:rsidRPr="00381F62">
        <w:t xml:space="preserve">carried out by the School of Earth Sciences, James Cook University </w:t>
      </w:r>
      <w:r w:rsidR="00A77BB4">
        <w:t>(</w:t>
      </w:r>
      <w:r w:rsidR="00F14F1F" w:rsidRPr="00381F62">
        <w:t>2005-2009</w:t>
      </w:r>
      <w:r w:rsidR="00A77BB4">
        <w:t>)</w:t>
      </w:r>
      <w:r w:rsidR="00F14F1F" w:rsidRPr="00381F62">
        <w:t xml:space="preserve"> and subsequently by Geoscience Australia. For LTMP sites the clay and silt content of sediments was estimated by interpolating between MMP reefs with similar exposure to the </w:t>
      </w:r>
      <w:r w:rsidR="00F14F1F">
        <w:t xml:space="preserve">south east </w:t>
      </w:r>
      <w:r w:rsidR="00F14F1F" w:rsidRPr="00381F62">
        <w:t xml:space="preserve">as the predominant direction of wave energy in the </w:t>
      </w:r>
      <w:r w:rsidR="00F14F1F">
        <w:t>Reef</w:t>
      </w:r>
      <w:r w:rsidR="00F14F1F" w:rsidRPr="00381F62">
        <w:t>. Estimated sediment composition was verified by visually checking images including sediment from photo transects against images from MMP reefs with similar exposure.</w:t>
      </w:r>
      <w:r w:rsidR="00F14F1F">
        <w:t xml:space="preserve"> For the new site at Bedarra sediment samples collected in 2015 were passed through a 63</w:t>
      </w:r>
      <w:r w:rsidR="00F14F1F" w:rsidRPr="003E15B2">
        <w:rPr>
          <w:rFonts w:cs="Arial"/>
        </w:rPr>
        <w:t xml:space="preserve"> </w:t>
      </w:r>
      <w:r w:rsidR="00F14F1F" w:rsidRPr="00381F62">
        <w:rPr>
          <w:rFonts w:cs="Arial"/>
        </w:rPr>
        <w:t>µ</w:t>
      </w:r>
      <w:r w:rsidR="00F14F1F" w:rsidRPr="00381F62">
        <w:t>m</w:t>
      </w:r>
      <w:r w:rsidR="00F14F1F">
        <w:t xml:space="preserve"> sieve to estimate the clay and silt grain-sized proportion of the sample.</w:t>
      </w:r>
    </w:p>
    <w:p w14:paraId="4A900183" w14:textId="30343B83" w:rsidR="00056F6C" w:rsidRPr="0018708E" w:rsidRDefault="00056F6C" w:rsidP="00B9528B">
      <w:pPr>
        <w:pStyle w:val="Heading3"/>
      </w:pPr>
      <w:bookmarkStart w:id="71" w:name="_Toc493153303"/>
      <w:r>
        <w:t>4.</w:t>
      </w:r>
      <w:r w:rsidRPr="0018708E">
        <w:t>3</w:t>
      </w:r>
      <w:r>
        <w:t>.5</w:t>
      </w:r>
      <w:r w:rsidRPr="0018708E">
        <w:t xml:space="preserve"> SCUBA search transects</w:t>
      </w:r>
      <w:bookmarkEnd w:id="71"/>
    </w:p>
    <w:p w14:paraId="1196E120" w14:textId="333E72CA" w:rsidR="00056F6C" w:rsidRPr="00381F62" w:rsidRDefault="00056F6C" w:rsidP="00056F6C">
      <w:r w:rsidRPr="00381F62">
        <w:t xml:space="preserve">SCUBA search transects document the incidence of disease and other agents of coral mortality and damage. Tracking of these agents of mortality is important, because declines in coral condition due to these agents are potentially associated with increased exposure to nutrients or turbidity (Morrow </w:t>
      </w:r>
      <w:r w:rsidRPr="00381F62">
        <w:rPr>
          <w:i/>
        </w:rPr>
        <w:t>et al</w:t>
      </w:r>
      <w:r w:rsidRPr="00381F62">
        <w:t xml:space="preserve">. 2012, Vega Thurber </w:t>
      </w:r>
      <w:r w:rsidRPr="00381F62">
        <w:rPr>
          <w:i/>
        </w:rPr>
        <w:t>et al.</w:t>
      </w:r>
      <w:r w:rsidR="00D310C2">
        <w:t xml:space="preserve"> 2013</w:t>
      </w:r>
      <w:r w:rsidRPr="00381F62">
        <w:t xml:space="preserve">). The resulting data are used primarily for interpretive purposes and help to identify both acute events such as a high proportion of damaged corals following storms or high densities of coral predators, or periods of chronic stress as inferred from high levels of coral disease. This method follows closely the Standard Operation Procedure Number 9 of the </w:t>
      </w:r>
      <w:r>
        <w:t>LTMP</w:t>
      </w:r>
      <w:r w:rsidRPr="00381F62">
        <w:t xml:space="preserve"> (Miller </w:t>
      </w:r>
      <w:r w:rsidRPr="00381F62">
        <w:rPr>
          <w:i/>
        </w:rPr>
        <w:t>et al.</w:t>
      </w:r>
      <w:r w:rsidRPr="00381F62">
        <w:t xml:space="preserve"> 2009). For each 2</w:t>
      </w:r>
      <w:r w:rsidR="00AA72A3">
        <w:t>0 m</w:t>
      </w:r>
      <w:r>
        <w:t xml:space="preserve"> </w:t>
      </w:r>
      <w:r w:rsidRPr="00381F62">
        <w:t xml:space="preserve">transect a search was conducted within a </w:t>
      </w:r>
      <w:r w:rsidR="00AA72A3">
        <w:t>2 m</w:t>
      </w:r>
      <w:r>
        <w:t xml:space="preserve"> </w:t>
      </w:r>
      <w:r w:rsidRPr="00381F62">
        <w:t>wide belt centred on the marked transect line</w:t>
      </w:r>
      <w:r>
        <w:t xml:space="preserve">. Within this this belt any colony exhibiting a scar (bare white skeleton) was identified to genus and the cause of the scar categories as either; brown band disease, black band disease, white syndrome (a catch all for unspecified disease), </w:t>
      </w:r>
      <w:r w:rsidRPr="00DF10C1">
        <w:rPr>
          <w:i/>
        </w:rPr>
        <w:t xml:space="preserve">Drupella </w:t>
      </w:r>
      <w:r>
        <w:t xml:space="preserve">– in which case the number of </w:t>
      </w:r>
      <w:r w:rsidRPr="00DF10C1">
        <w:rPr>
          <w:i/>
        </w:rPr>
        <w:t>Drupella</w:t>
      </w:r>
      <w:r>
        <w:t xml:space="preserve"> snails were recorded, crown-of-thorns scar, and unknown when a cause could not be confidently assumed. In addition the number of crown-of-thorns and their size-class were counted and colonies being overgrown by sponges also recorded. Finally an 11</w:t>
      </w:r>
      <w:r w:rsidRPr="00381F62">
        <w:t xml:space="preserve"> point scale </w:t>
      </w:r>
      <w:r>
        <w:t xml:space="preserve">was used to record the </w:t>
      </w:r>
      <w:r w:rsidRPr="00381F62">
        <w:t>proportion</w:t>
      </w:r>
      <w:r>
        <w:t>s</w:t>
      </w:r>
      <w:r w:rsidRPr="00381F62">
        <w:t xml:space="preserve"> of the coral community that </w:t>
      </w:r>
      <w:r>
        <w:t xml:space="preserve">were bleached or had been </w:t>
      </w:r>
      <w:r w:rsidRPr="00381F62">
        <w:t>physically damaged</w:t>
      </w:r>
      <w:r>
        <w:t xml:space="preserve"> -</w:t>
      </w:r>
      <w:r w:rsidRPr="00381F62">
        <w:t xml:space="preserve"> as indicated by toppled or broken colonies.</w:t>
      </w:r>
      <w:r>
        <w:t xml:space="preserve"> The scale ranges from 0+ when individual colonies were bleached or damaged though the categories 1 to 5 when 1-10%, 11-30%, 31-50%, 50-75% and 75-100% of colonies affected. The categories 1 to 5 are further refined by inclusion of a –ve or +ve symbol when affected proportions are estimated as being in the lower or upper portion of the numeric category.</w:t>
      </w:r>
      <w:r w:rsidRPr="00381F62">
        <w:t xml:space="preserve"> </w:t>
      </w:r>
      <w:r>
        <w:t xml:space="preserve">The physical damage category </w:t>
      </w:r>
      <w:r w:rsidRPr="00381F62">
        <w:t>may include anchor as well as storm damage. The LTMP include th</w:t>
      </w:r>
      <w:r>
        <w:t>ese</w:t>
      </w:r>
      <w:r w:rsidRPr="00381F62">
        <w:t xml:space="preserve"> survey</w:t>
      </w:r>
      <w:r>
        <w:t>s</w:t>
      </w:r>
      <w:r w:rsidRPr="00381F62">
        <w:t xml:space="preserve"> over the full 5</w:t>
      </w:r>
      <w:r w:rsidR="00AA72A3">
        <w:t>0 m</w:t>
      </w:r>
      <w:r>
        <w:t xml:space="preserve"> </w:t>
      </w:r>
      <w:r w:rsidRPr="00381F62">
        <w:t>length of transects used in that program.</w:t>
      </w:r>
    </w:p>
    <w:p w14:paraId="644736A1" w14:textId="77777777" w:rsidR="00056F6C" w:rsidRPr="00F439FB" w:rsidRDefault="00056F6C" w:rsidP="00056F6C">
      <w:pPr>
        <w:rPr>
          <w:rFonts w:eastAsiaTheme="majorEastAsia" w:cstheme="majorBidi"/>
          <w:b/>
          <w:bCs/>
          <w:color w:val="4F81BD" w:themeColor="accent1"/>
          <w:sz w:val="26"/>
          <w:szCs w:val="26"/>
        </w:rPr>
      </w:pPr>
    </w:p>
    <w:p w14:paraId="6D575620" w14:textId="77777777" w:rsidR="00056F6C" w:rsidRDefault="00056F6C">
      <w:pPr>
        <w:jc w:val="left"/>
        <w:sectPr w:rsidR="00056F6C" w:rsidSect="00E868B5">
          <w:footerReference w:type="default" r:id="rId37"/>
          <w:pgSz w:w="11907" w:h="16840" w:code="9"/>
          <w:pgMar w:top="1440" w:right="1134" w:bottom="1134" w:left="1134" w:header="709" w:footer="709" w:gutter="0"/>
          <w:pgNumType w:start="1"/>
          <w:cols w:space="708"/>
          <w:docGrid w:linePitch="360"/>
        </w:sectPr>
      </w:pPr>
    </w:p>
    <w:p w14:paraId="6F80D30E" w14:textId="42278575" w:rsidR="00F84112" w:rsidRPr="00F23F74" w:rsidRDefault="00F23F74" w:rsidP="00F23F74">
      <w:pPr>
        <w:pStyle w:val="Caption"/>
        <w:rPr>
          <w:rStyle w:val="IntenseReference"/>
          <w:rFonts w:eastAsia="SimSun"/>
        </w:rPr>
      </w:pPr>
      <w:bookmarkStart w:id="72" w:name="_Ref491091475"/>
      <w:bookmarkStart w:id="73" w:name="_Toc491847021"/>
      <w:r>
        <w:t xml:space="preserve">Table </w:t>
      </w:r>
      <w:r>
        <w:fldChar w:fldCharType="begin"/>
      </w:r>
      <w:r>
        <w:instrText xml:space="preserve"> SEQ Table \* ARABIC </w:instrText>
      </w:r>
      <w:r>
        <w:fldChar w:fldCharType="separate"/>
      </w:r>
      <w:r w:rsidR="00D806F2">
        <w:rPr>
          <w:noProof/>
        </w:rPr>
        <w:t>2</w:t>
      </w:r>
      <w:r>
        <w:fldChar w:fldCharType="end"/>
      </w:r>
      <w:bookmarkEnd w:id="72"/>
      <w:r>
        <w:t xml:space="preserve"> </w:t>
      </w:r>
      <w:r w:rsidRPr="00C01A64">
        <w:t>Summary of climate and environment data included in this report</w:t>
      </w:r>
      <w:bookmarkEnd w:id="73"/>
      <w:r w:rsidR="00F84112" w:rsidRPr="00F23F74">
        <w:rPr>
          <w:rStyle w:val="IntenseReference"/>
          <w:rFonts w:eastAsia="SimSun"/>
        </w:rPr>
        <w:t xml:space="preserve"> </w:t>
      </w:r>
    </w:p>
    <w:tbl>
      <w:tblPr>
        <w:tblW w:w="12743" w:type="dxa"/>
        <w:jc w:val="center"/>
        <w:tblBorders>
          <w:bottom w:val="single" w:sz="4" w:space="0" w:color="auto"/>
        </w:tblBorders>
        <w:tblLook w:val="04A0" w:firstRow="1" w:lastRow="0" w:firstColumn="1" w:lastColumn="0" w:noHBand="0" w:noVBand="1"/>
      </w:tblPr>
      <w:tblGrid>
        <w:gridCol w:w="2358"/>
        <w:gridCol w:w="1559"/>
        <w:gridCol w:w="3766"/>
        <w:gridCol w:w="2152"/>
        <w:gridCol w:w="2908"/>
      </w:tblGrid>
      <w:tr w:rsidR="008D0DFE" w:rsidRPr="00101AFE" w14:paraId="02AE97DF" w14:textId="77777777" w:rsidTr="000E09B7">
        <w:trPr>
          <w:trHeight w:val="397"/>
          <w:jc w:val="center"/>
        </w:trPr>
        <w:tc>
          <w:tcPr>
            <w:tcW w:w="2358" w:type="dxa"/>
            <w:tcBorders>
              <w:top w:val="single" w:sz="4" w:space="0" w:color="auto"/>
              <w:bottom w:val="single" w:sz="4" w:space="0" w:color="auto"/>
            </w:tcBorders>
            <w:shd w:val="clear" w:color="auto" w:fill="BBE0E3"/>
            <w:vAlign w:val="center"/>
          </w:tcPr>
          <w:p w14:paraId="3C2DA1CB" w14:textId="77777777" w:rsidR="008D0DFE" w:rsidRPr="00101AFE" w:rsidRDefault="008D0DFE" w:rsidP="00052B5C">
            <w:pPr>
              <w:spacing w:after="0" w:line="200" w:lineRule="exact"/>
              <w:ind w:right="-108"/>
              <w:jc w:val="center"/>
              <w:rPr>
                <w:b/>
                <w:sz w:val="18"/>
                <w:szCs w:val="18"/>
              </w:rPr>
            </w:pPr>
          </w:p>
        </w:tc>
        <w:tc>
          <w:tcPr>
            <w:tcW w:w="1559" w:type="dxa"/>
            <w:tcBorders>
              <w:top w:val="single" w:sz="4" w:space="0" w:color="auto"/>
              <w:bottom w:val="single" w:sz="4" w:space="0" w:color="auto"/>
            </w:tcBorders>
            <w:shd w:val="clear" w:color="auto" w:fill="BBE0E3"/>
            <w:vAlign w:val="center"/>
          </w:tcPr>
          <w:p w14:paraId="3DA4BD31" w14:textId="77777777" w:rsidR="008D0DFE" w:rsidRPr="00101AFE" w:rsidRDefault="008D0DFE" w:rsidP="00052B5C">
            <w:pPr>
              <w:spacing w:after="0" w:line="200" w:lineRule="exact"/>
              <w:jc w:val="center"/>
              <w:rPr>
                <w:b/>
                <w:sz w:val="18"/>
                <w:szCs w:val="18"/>
              </w:rPr>
            </w:pPr>
            <w:r w:rsidRPr="00101AFE">
              <w:rPr>
                <w:b/>
                <w:sz w:val="18"/>
                <w:szCs w:val="18"/>
              </w:rPr>
              <w:t>Data range</w:t>
            </w:r>
          </w:p>
        </w:tc>
        <w:tc>
          <w:tcPr>
            <w:tcW w:w="3766" w:type="dxa"/>
            <w:tcBorders>
              <w:top w:val="single" w:sz="4" w:space="0" w:color="auto"/>
              <w:bottom w:val="single" w:sz="4" w:space="0" w:color="auto"/>
            </w:tcBorders>
            <w:shd w:val="clear" w:color="auto" w:fill="BBE0E3"/>
            <w:vAlign w:val="center"/>
          </w:tcPr>
          <w:p w14:paraId="73FACF79" w14:textId="77777777" w:rsidR="008D0DFE" w:rsidRPr="00101AFE" w:rsidRDefault="008D0DFE" w:rsidP="00052B5C">
            <w:pPr>
              <w:spacing w:after="0" w:line="200" w:lineRule="exact"/>
              <w:jc w:val="center"/>
              <w:rPr>
                <w:b/>
                <w:sz w:val="18"/>
                <w:szCs w:val="18"/>
              </w:rPr>
            </w:pPr>
            <w:r w:rsidRPr="00101AFE">
              <w:rPr>
                <w:b/>
                <w:sz w:val="18"/>
                <w:szCs w:val="18"/>
              </w:rPr>
              <w:t>Method</w:t>
            </w:r>
          </w:p>
        </w:tc>
        <w:tc>
          <w:tcPr>
            <w:tcW w:w="2152" w:type="dxa"/>
            <w:tcBorders>
              <w:top w:val="single" w:sz="4" w:space="0" w:color="auto"/>
              <w:bottom w:val="single" w:sz="4" w:space="0" w:color="auto"/>
            </w:tcBorders>
            <w:shd w:val="clear" w:color="auto" w:fill="BBE0E3"/>
            <w:vAlign w:val="center"/>
          </w:tcPr>
          <w:p w14:paraId="3E95AA02" w14:textId="26B46CC8" w:rsidR="008D0DFE" w:rsidRPr="00101AFE" w:rsidRDefault="008D0DFE" w:rsidP="00052B5C">
            <w:pPr>
              <w:spacing w:after="0" w:line="200" w:lineRule="exact"/>
              <w:jc w:val="center"/>
              <w:rPr>
                <w:b/>
                <w:sz w:val="18"/>
                <w:szCs w:val="18"/>
              </w:rPr>
            </w:pPr>
            <w:r>
              <w:rPr>
                <w:b/>
                <w:sz w:val="18"/>
                <w:szCs w:val="18"/>
              </w:rPr>
              <w:t>Usage</w:t>
            </w:r>
          </w:p>
        </w:tc>
        <w:tc>
          <w:tcPr>
            <w:tcW w:w="2908" w:type="dxa"/>
            <w:tcBorders>
              <w:top w:val="single" w:sz="4" w:space="0" w:color="auto"/>
              <w:bottom w:val="single" w:sz="4" w:space="0" w:color="auto"/>
            </w:tcBorders>
            <w:shd w:val="clear" w:color="auto" w:fill="BBE0E3"/>
            <w:vAlign w:val="center"/>
          </w:tcPr>
          <w:p w14:paraId="5744BA5E" w14:textId="77777777" w:rsidR="008D0DFE" w:rsidRPr="00101AFE" w:rsidRDefault="008D0DFE" w:rsidP="00052B5C">
            <w:pPr>
              <w:spacing w:after="0" w:line="200" w:lineRule="exact"/>
              <w:jc w:val="center"/>
              <w:rPr>
                <w:b/>
                <w:sz w:val="18"/>
                <w:szCs w:val="18"/>
              </w:rPr>
            </w:pPr>
            <w:r w:rsidRPr="00101AFE">
              <w:rPr>
                <w:b/>
                <w:sz w:val="18"/>
                <w:szCs w:val="18"/>
              </w:rPr>
              <w:t>Data source</w:t>
            </w:r>
          </w:p>
        </w:tc>
      </w:tr>
      <w:tr w:rsidR="008D0DFE" w:rsidRPr="00806669" w14:paraId="72342814" w14:textId="77777777" w:rsidTr="000E09B7">
        <w:trPr>
          <w:trHeight w:val="397"/>
          <w:jc w:val="center"/>
        </w:trPr>
        <w:tc>
          <w:tcPr>
            <w:tcW w:w="2358" w:type="dxa"/>
            <w:tcBorders>
              <w:top w:val="single" w:sz="4" w:space="0" w:color="auto"/>
              <w:bottom w:val="single" w:sz="4" w:space="0" w:color="auto"/>
            </w:tcBorders>
            <w:shd w:val="clear" w:color="auto" w:fill="E7F3F4"/>
          </w:tcPr>
          <w:p w14:paraId="7F04F2D1" w14:textId="77777777" w:rsidR="008D0DFE" w:rsidRPr="00806669" w:rsidRDefault="008D0DFE" w:rsidP="00052B5C">
            <w:pPr>
              <w:spacing w:after="0" w:line="200" w:lineRule="exact"/>
              <w:rPr>
                <w:i/>
                <w:sz w:val="18"/>
                <w:szCs w:val="18"/>
              </w:rPr>
            </w:pPr>
            <w:r w:rsidRPr="00806669">
              <w:rPr>
                <w:i/>
                <w:sz w:val="18"/>
                <w:szCs w:val="18"/>
              </w:rPr>
              <w:t>Climate</w:t>
            </w:r>
          </w:p>
        </w:tc>
        <w:tc>
          <w:tcPr>
            <w:tcW w:w="1559" w:type="dxa"/>
            <w:tcBorders>
              <w:top w:val="single" w:sz="4" w:space="0" w:color="auto"/>
              <w:bottom w:val="single" w:sz="4" w:space="0" w:color="auto"/>
            </w:tcBorders>
            <w:shd w:val="clear" w:color="auto" w:fill="E7F3F4"/>
          </w:tcPr>
          <w:p w14:paraId="7BE42D97" w14:textId="77777777" w:rsidR="008D0DFE" w:rsidRPr="00806669" w:rsidRDefault="008D0DFE" w:rsidP="00052B5C">
            <w:pPr>
              <w:spacing w:after="0" w:line="200" w:lineRule="exact"/>
              <w:rPr>
                <w:sz w:val="18"/>
                <w:szCs w:val="18"/>
              </w:rPr>
            </w:pPr>
          </w:p>
        </w:tc>
        <w:tc>
          <w:tcPr>
            <w:tcW w:w="3766" w:type="dxa"/>
            <w:tcBorders>
              <w:top w:val="single" w:sz="4" w:space="0" w:color="auto"/>
              <w:bottom w:val="single" w:sz="4" w:space="0" w:color="auto"/>
            </w:tcBorders>
            <w:shd w:val="clear" w:color="auto" w:fill="E7F3F4"/>
          </w:tcPr>
          <w:p w14:paraId="7BB5FFC0" w14:textId="77777777" w:rsidR="008D0DFE" w:rsidRPr="00806669" w:rsidRDefault="008D0DFE" w:rsidP="00052B5C">
            <w:pPr>
              <w:spacing w:after="0" w:line="200" w:lineRule="exact"/>
              <w:rPr>
                <w:sz w:val="18"/>
                <w:szCs w:val="18"/>
              </w:rPr>
            </w:pPr>
          </w:p>
        </w:tc>
        <w:tc>
          <w:tcPr>
            <w:tcW w:w="2152" w:type="dxa"/>
            <w:tcBorders>
              <w:top w:val="single" w:sz="4" w:space="0" w:color="auto"/>
              <w:bottom w:val="single" w:sz="4" w:space="0" w:color="auto"/>
            </w:tcBorders>
            <w:shd w:val="clear" w:color="auto" w:fill="E7F3F4"/>
          </w:tcPr>
          <w:p w14:paraId="1021595F" w14:textId="77777777" w:rsidR="008D0DFE" w:rsidRPr="00806669" w:rsidRDefault="008D0DFE" w:rsidP="00052B5C">
            <w:pPr>
              <w:spacing w:after="0" w:line="200" w:lineRule="exact"/>
              <w:rPr>
                <w:sz w:val="18"/>
                <w:szCs w:val="18"/>
              </w:rPr>
            </w:pPr>
          </w:p>
        </w:tc>
        <w:tc>
          <w:tcPr>
            <w:tcW w:w="2908" w:type="dxa"/>
            <w:tcBorders>
              <w:top w:val="single" w:sz="4" w:space="0" w:color="auto"/>
              <w:bottom w:val="single" w:sz="4" w:space="0" w:color="auto"/>
            </w:tcBorders>
            <w:shd w:val="clear" w:color="auto" w:fill="E7F3F4"/>
          </w:tcPr>
          <w:p w14:paraId="2364EF11" w14:textId="77777777" w:rsidR="008D0DFE" w:rsidRPr="00806669" w:rsidRDefault="008D0DFE" w:rsidP="00052B5C">
            <w:pPr>
              <w:spacing w:after="0" w:line="200" w:lineRule="exact"/>
              <w:rPr>
                <w:sz w:val="18"/>
                <w:szCs w:val="18"/>
              </w:rPr>
            </w:pPr>
          </w:p>
        </w:tc>
      </w:tr>
      <w:tr w:rsidR="008D0DFE" w:rsidRPr="00806669" w14:paraId="37FA6E1D" w14:textId="77777777" w:rsidTr="000E09B7">
        <w:trPr>
          <w:trHeight w:val="397"/>
          <w:jc w:val="center"/>
        </w:trPr>
        <w:tc>
          <w:tcPr>
            <w:tcW w:w="2358" w:type="dxa"/>
            <w:tcBorders>
              <w:top w:val="single" w:sz="4" w:space="0" w:color="auto"/>
              <w:bottom w:val="single" w:sz="4" w:space="0" w:color="auto"/>
            </w:tcBorders>
            <w:shd w:val="clear" w:color="auto" w:fill="E7F3F4"/>
          </w:tcPr>
          <w:p w14:paraId="55F27D5A" w14:textId="77777777" w:rsidR="008D0DFE" w:rsidRPr="00806669" w:rsidRDefault="008D0DFE" w:rsidP="00052B5C">
            <w:pPr>
              <w:spacing w:after="0"/>
              <w:ind w:left="176"/>
              <w:rPr>
                <w:sz w:val="18"/>
                <w:szCs w:val="18"/>
              </w:rPr>
            </w:pPr>
            <w:r w:rsidRPr="00806669">
              <w:rPr>
                <w:sz w:val="18"/>
                <w:szCs w:val="18"/>
              </w:rPr>
              <w:t>Cyclones</w:t>
            </w:r>
          </w:p>
        </w:tc>
        <w:tc>
          <w:tcPr>
            <w:tcW w:w="1559" w:type="dxa"/>
            <w:tcBorders>
              <w:top w:val="single" w:sz="4" w:space="0" w:color="auto"/>
              <w:bottom w:val="single" w:sz="4" w:space="0" w:color="auto"/>
            </w:tcBorders>
            <w:shd w:val="clear" w:color="auto" w:fill="E7F3F4"/>
          </w:tcPr>
          <w:p w14:paraId="52BFC9B9" w14:textId="136C6880" w:rsidR="008D0DFE" w:rsidRPr="00806669" w:rsidRDefault="008D0DFE" w:rsidP="00F84112">
            <w:pPr>
              <w:spacing w:after="0"/>
              <w:rPr>
                <w:sz w:val="18"/>
                <w:szCs w:val="18"/>
              </w:rPr>
            </w:pPr>
            <w:r>
              <w:rPr>
                <w:sz w:val="18"/>
                <w:szCs w:val="18"/>
              </w:rPr>
              <w:t>1990 - 2016</w:t>
            </w:r>
          </w:p>
        </w:tc>
        <w:tc>
          <w:tcPr>
            <w:tcW w:w="3766" w:type="dxa"/>
            <w:tcBorders>
              <w:top w:val="single" w:sz="4" w:space="0" w:color="auto"/>
              <w:bottom w:val="single" w:sz="4" w:space="0" w:color="auto"/>
            </w:tcBorders>
            <w:shd w:val="clear" w:color="auto" w:fill="E7F3F4"/>
          </w:tcPr>
          <w:p w14:paraId="22AAAADB" w14:textId="612AF14B" w:rsidR="008D0DFE" w:rsidRPr="00806669" w:rsidRDefault="000F37A2" w:rsidP="00052B5C">
            <w:pPr>
              <w:spacing w:after="0"/>
              <w:rPr>
                <w:sz w:val="18"/>
                <w:szCs w:val="18"/>
              </w:rPr>
            </w:pPr>
            <w:r>
              <w:rPr>
                <w:sz w:val="18"/>
                <w:szCs w:val="18"/>
              </w:rPr>
              <w:t>c</w:t>
            </w:r>
            <w:r w:rsidR="008D0DFE">
              <w:rPr>
                <w:sz w:val="18"/>
                <w:szCs w:val="18"/>
              </w:rPr>
              <w:t>yclone track mapping</w:t>
            </w:r>
          </w:p>
        </w:tc>
        <w:tc>
          <w:tcPr>
            <w:tcW w:w="2152" w:type="dxa"/>
            <w:tcBorders>
              <w:top w:val="single" w:sz="4" w:space="0" w:color="auto"/>
              <w:bottom w:val="single" w:sz="4" w:space="0" w:color="auto"/>
            </w:tcBorders>
            <w:shd w:val="clear" w:color="auto" w:fill="E7F3F4"/>
          </w:tcPr>
          <w:p w14:paraId="08695593" w14:textId="0D4429DA" w:rsidR="008D0DFE" w:rsidRPr="00806669" w:rsidRDefault="000F37A2" w:rsidP="00052B5C">
            <w:pPr>
              <w:spacing w:after="0"/>
              <w:rPr>
                <w:sz w:val="18"/>
                <w:szCs w:val="18"/>
              </w:rPr>
            </w:pPr>
            <w:r>
              <w:rPr>
                <w:sz w:val="18"/>
                <w:szCs w:val="18"/>
              </w:rPr>
              <w:t>c</w:t>
            </w:r>
            <w:r w:rsidR="008D0DFE">
              <w:rPr>
                <w:sz w:val="18"/>
                <w:szCs w:val="18"/>
              </w:rPr>
              <w:t>yclone disturbance categorisation</w:t>
            </w:r>
          </w:p>
        </w:tc>
        <w:tc>
          <w:tcPr>
            <w:tcW w:w="2908" w:type="dxa"/>
            <w:tcBorders>
              <w:top w:val="single" w:sz="4" w:space="0" w:color="auto"/>
              <w:bottom w:val="single" w:sz="4" w:space="0" w:color="auto"/>
            </w:tcBorders>
            <w:shd w:val="clear" w:color="auto" w:fill="E7F3F4"/>
          </w:tcPr>
          <w:p w14:paraId="680236BA" w14:textId="161DAA67" w:rsidR="008D0DFE" w:rsidRPr="00806669" w:rsidRDefault="008D0DFE" w:rsidP="00052B5C">
            <w:pPr>
              <w:spacing w:after="0"/>
              <w:rPr>
                <w:sz w:val="18"/>
                <w:szCs w:val="18"/>
              </w:rPr>
            </w:pPr>
            <w:r>
              <w:rPr>
                <w:sz w:val="18"/>
                <w:szCs w:val="18"/>
              </w:rPr>
              <w:t>www.australiasevereweather.com</w:t>
            </w:r>
          </w:p>
        </w:tc>
      </w:tr>
      <w:tr w:rsidR="008D0DFE" w:rsidRPr="00806669" w14:paraId="09D01DE6" w14:textId="77777777" w:rsidTr="000E09B7">
        <w:trPr>
          <w:trHeight w:val="397"/>
          <w:jc w:val="center"/>
        </w:trPr>
        <w:tc>
          <w:tcPr>
            <w:tcW w:w="2358" w:type="dxa"/>
            <w:tcBorders>
              <w:top w:val="single" w:sz="4" w:space="0" w:color="auto"/>
              <w:bottom w:val="single" w:sz="4" w:space="0" w:color="auto"/>
            </w:tcBorders>
            <w:shd w:val="clear" w:color="auto" w:fill="E7F3F4"/>
          </w:tcPr>
          <w:p w14:paraId="49AB5EFF" w14:textId="77777777" w:rsidR="008D0DFE" w:rsidRPr="00806669" w:rsidRDefault="008D0DFE" w:rsidP="00052B5C">
            <w:pPr>
              <w:spacing w:after="0"/>
              <w:ind w:left="176"/>
              <w:rPr>
                <w:sz w:val="18"/>
                <w:szCs w:val="18"/>
              </w:rPr>
            </w:pPr>
            <w:r w:rsidRPr="00806669">
              <w:rPr>
                <w:sz w:val="18"/>
                <w:szCs w:val="18"/>
              </w:rPr>
              <w:t>Riverine discharge</w:t>
            </w:r>
          </w:p>
        </w:tc>
        <w:tc>
          <w:tcPr>
            <w:tcW w:w="1559" w:type="dxa"/>
            <w:tcBorders>
              <w:top w:val="single" w:sz="4" w:space="0" w:color="auto"/>
              <w:bottom w:val="single" w:sz="4" w:space="0" w:color="auto"/>
            </w:tcBorders>
            <w:shd w:val="clear" w:color="auto" w:fill="E7F3F4"/>
          </w:tcPr>
          <w:p w14:paraId="4E6828C3" w14:textId="445731D8" w:rsidR="008D0DFE" w:rsidRPr="00806669" w:rsidRDefault="00DD4954" w:rsidP="00DD4954">
            <w:pPr>
              <w:spacing w:after="0"/>
              <w:rPr>
                <w:sz w:val="18"/>
                <w:szCs w:val="18"/>
              </w:rPr>
            </w:pPr>
            <w:r>
              <w:rPr>
                <w:sz w:val="18"/>
                <w:szCs w:val="18"/>
              </w:rPr>
              <w:t>1980 -</w:t>
            </w:r>
            <w:r w:rsidR="008D0DFE">
              <w:rPr>
                <w:sz w:val="18"/>
                <w:szCs w:val="18"/>
              </w:rPr>
              <w:t xml:space="preserve"> </w:t>
            </w:r>
            <w:r w:rsidRPr="00806669">
              <w:rPr>
                <w:sz w:val="18"/>
                <w:szCs w:val="18"/>
              </w:rPr>
              <w:t>201</w:t>
            </w:r>
            <w:r>
              <w:rPr>
                <w:sz w:val="18"/>
                <w:szCs w:val="18"/>
              </w:rPr>
              <w:t>6</w:t>
            </w:r>
          </w:p>
        </w:tc>
        <w:tc>
          <w:tcPr>
            <w:tcW w:w="3766" w:type="dxa"/>
            <w:tcBorders>
              <w:top w:val="single" w:sz="4" w:space="0" w:color="auto"/>
              <w:bottom w:val="single" w:sz="4" w:space="0" w:color="auto"/>
            </w:tcBorders>
            <w:shd w:val="clear" w:color="auto" w:fill="E7F3F4"/>
          </w:tcPr>
          <w:p w14:paraId="0CF0AFAA" w14:textId="66513D93" w:rsidR="008D0DFE" w:rsidRPr="00806669" w:rsidRDefault="008D0DFE" w:rsidP="008D0DFE">
            <w:pPr>
              <w:spacing w:after="0"/>
              <w:rPr>
                <w:sz w:val="18"/>
                <w:szCs w:val="18"/>
              </w:rPr>
            </w:pPr>
            <w:r>
              <w:rPr>
                <w:sz w:val="18"/>
                <w:szCs w:val="18"/>
              </w:rPr>
              <w:t>water gauging stations closest to river mouth, adjusted for ungauged area of catchment</w:t>
            </w:r>
          </w:p>
        </w:tc>
        <w:tc>
          <w:tcPr>
            <w:tcW w:w="2152" w:type="dxa"/>
            <w:tcBorders>
              <w:top w:val="single" w:sz="4" w:space="0" w:color="auto"/>
              <w:bottom w:val="single" w:sz="4" w:space="0" w:color="auto"/>
            </w:tcBorders>
            <w:shd w:val="clear" w:color="auto" w:fill="E7F3F4"/>
          </w:tcPr>
          <w:p w14:paraId="088FB2AD" w14:textId="7065C6B5" w:rsidR="008D0DFE" w:rsidRPr="00806669" w:rsidRDefault="000F37A2" w:rsidP="000F37A2">
            <w:pPr>
              <w:spacing w:after="0"/>
              <w:rPr>
                <w:sz w:val="18"/>
                <w:szCs w:val="18"/>
              </w:rPr>
            </w:pPr>
            <w:r>
              <w:rPr>
                <w:sz w:val="18"/>
                <w:szCs w:val="18"/>
              </w:rPr>
              <w:t>r</w:t>
            </w:r>
            <w:r w:rsidR="008D0DFE">
              <w:rPr>
                <w:sz w:val="18"/>
                <w:szCs w:val="18"/>
              </w:rPr>
              <w:t>egional discharge plots and table</w:t>
            </w:r>
            <w:r>
              <w:rPr>
                <w:sz w:val="18"/>
                <w:szCs w:val="18"/>
              </w:rPr>
              <w:t>, a</w:t>
            </w:r>
            <w:r w:rsidR="008D0DFE">
              <w:rPr>
                <w:sz w:val="18"/>
                <w:szCs w:val="18"/>
              </w:rPr>
              <w:t>nalysis covariate</w:t>
            </w:r>
          </w:p>
        </w:tc>
        <w:tc>
          <w:tcPr>
            <w:tcW w:w="2908" w:type="dxa"/>
            <w:tcBorders>
              <w:top w:val="single" w:sz="4" w:space="0" w:color="auto"/>
              <w:bottom w:val="single" w:sz="4" w:space="0" w:color="auto"/>
            </w:tcBorders>
            <w:shd w:val="clear" w:color="auto" w:fill="E7F3F4"/>
          </w:tcPr>
          <w:p w14:paraId="3BAA2812" w14:textId="69B6142B" w:rsidR="008D0DFE" w:rsidRPr="00806669" w:rsidRDefault="008D0DFE" w:rsidP="00DD4954">
            <w:pPr>
              <w:spacing w:after="0"/>
              <w:rPr>
                <w:sz w:val="18"/>
                <w:szCs w:val="18"/>
              </w:rPr>
            </w:pPr>
            <w:r>
              <w:rPr>
                <w:sz w:val="18"/>
                <w:szCs w:val="18"/>
              </w:rPr>
              <w:t>DNR</w:t>
            </w:r>
            <w:r w:rsidRPr="00806669">
              <w:rPr>
                <w:sz w:val="18"/>
                <w:szCs w:val="18"/>
              </w:rPr>
              <w:t xml:space="preserve">, </w:t>
            </w:r>
            <w:r>
              <w:rPr>
                <w:sz w:val="18"/>
                <w:szCs w:val="18"/>
              </w:rPr>
              <w:t>adjustment</w:t>
            </w:r>
            <w:r w:rsidR="00480A09">
              <w:rPr>
                <w:sz w:val="18"/>
                <w:szCs w:val="18"/>
              </w:rPr>
              <w:t xml:space="preserve"> by </w:t>
            </w:r>
            <w:r w:rsidR="00DD4954">
              <w:rPr>
                <w:sz w:val="18"/>
                <w:szCs w:val="18"/>
              </w:rPr>
              <w:t>MMP Water Quality</w:t>
            </w:r>
            <w:r w:rsidR="00DD4954" w:rsidRPr="00806669">
              <w:rPr>
                <w:sz w:val="18"/>
                <w:szCs w:val="18"/>
              </w:rPr>
              <w:t xml:space="preserve"> </w:t>
            </w:r>
            <w:r w:rsidR="00DD4954">
              <w:rPr>
                <w:sz w:val="18"/>
                <w:szCs w:val="18"/>
              </w:rPr>
              <w:t>(</w:t>
            </w:r>
            <w:r>
              <w:rPr>
                <w:sz w:val="18"/>
                <w:szCs w:val="18"/>
              </w:rPr>
              <w:t>Waterhouse</w:t>
            </w:r>
            <w:r w:rsidRPr="00806669">
              <w:rPr>
                <w:sz w:val="18"/>
                <w:szCs w:val="18"/>
              </w:rPr>
              <w:t xml:space="preserve"> </w:t>
            </w:r>
            <w:r w:rsidRPr="008C0BCA">
              <w:rPr>
                <w:i/>
                <w:sz w:val="18"/>
                <w:szCs w:val="18"/>
              </w:rPr>
              <w:t>et al</w:t>
            </w:r>
            <w:r w:rsidR="008C0BCA">
              <w:rPr>
                <w:i/>
                <w:sz w:val="18"/>
                <w:szCs w:val="18"/>
              </w:rPr>
              <w:t>.</w:t>
            </w:r>
            <w:r w:rsidRPr="00806669">
              <w:rPr>
                <w:sz w:val="18"/>
                <w:szCs w:val="18"/>
              </w:rPr>
              <w:t xml:space="preserve"> </w:t>
            </w:r>
            <w:r>
              <w:rPr>
                <w:sz w:val="18"/>
                <w:szCs w:val="18"/>
              </w:rPr>
              <w:t>2017</w:t>
            </w:r>
            <w:r w:rsidR="00DD4954">
              <w:rPr>
                <w:sz w:val="18"/>
                <w:szCs w:val="18"/>
              </w:rPr>
              <w:t>)</w:t>
            </w:r>
          </w:p>
        </w:tc>
      </w:tr>
      <w:tr w:rsidR="008D0DFE" w:rsidRPr="00806669" w14:paraId="791618E6" w14:textId="1322B15C" w:rsidTr="000E09B7">
        <w:trPr>
          <w:trHeight w:val="397"/>
          <w:jc w:val="center"/>
        </w:trPr>
        <w:tc>
          <w:tcPr>
            <w:tcW w:w="2358" w:type="dxa"/>
            <w:tcBorders>
              <w:top w:val="single" w:sz="4" w:space="0" w:color="auto"/>
              <w:bottom w:val="single" w:sz="4" w:space="0" w:color="auto"/>
            </w:tcBorders>
            <w:shd w:val="clear" w:color="auto" w:fill="E7F3F4"/>
          </w:tcPr>
          <w:p w14:paraId="1017AE7D" w14:textId="0C48A6D2" w:rsidR="008D0DFE" w:rsidRPr="00806669" w:rsidRDefault="00720FD8" w:rsidP="00052B5C">
            <w:pPr>
              <w:spacing w:after="0"/>
              <w:ind w:left="176"/>
              <w:rPr>
                <w:sz w:val="18"/>
                <w:szCs w:val="18"/>
              </w:rPr>
            </w:pPr>
            <w:r>
              <w:rPr>
                <w:sz w:val="18"/>
                <w:szCs w:val="18"/>
              </w:rPr>
              <w:t>DIN and TSS loads</w:t>
            </w:r>
          </w:p>
        </w:tc>
        <w:tc>
          <w:tcPr>
            <w:tcW w:w="1559" w:type="dxa"/>
            <w:tcBorders>
              <w:top w:val="single" w:sz="4" w:space="0" w:color="auto"/>
              <w:bottom w:val="single" w:sz="4" w:space="0" w:color="auto"/>
            </w:tcBorders>
            <w:shd w:val="clear" w:color="auto" w:fill="E7F3F4"/>
          </w:tcPr>
          <w:p w14:paraId="11F83340" w14:textId="5A3476FE" w:rsidR="008D0DFE" w:rsidRPr="00806669" w:rsidRDefault="00720FD8" w:rsidP="00052B5C">
            <w:pPr>
              <w:spacing w:after="0"/>
              <w:rPr>
                <w:sz w:val="18"/>
                <w:szCs w:val="18"/>
              </w:rPr>
            </w:pPr>
            <w:r>
              <w:rPr>
                <w:sz w:val="18"/>
                <w:szCs w:val="18"/>
              </w:rPr>
              <w:t>2005-2016</w:t>
            </w:r>
          </w:p>
        </w:tc>
        <w:tc>
          <w:tcPr>
            <w:tcW w:w="3766" w:type="dxa"/>
            <w:tcBorders>
              <w:top w:val="single" w:sz="4" w:space="0" w:color="auto"/>
              <w:bottom w:val="single" w:sz="4" w:space="0" w:color="auto"/>
            </w:tcBorders>
            <w:shd w:val="clear" w:color="auto" w:fill="E7F3F4"/>
          </w:tcPr>
          <w:p w14:paraId="79D2D0D3" w14:textId="7D07E29F" w:rsidR="008D0DFE" w:rsidRPr="00806669" w:rsidRDefault="008D0DFE" w:rsidP="008D0DFE">
            <w:pPr>
              <w:spacing w:after="0"/>
              <w:rPr>
                <w:sz w:val="18"/>
                <w:szCs w:val="18"/>
              </w:rPr>
            </w:pPr>
          </w:p>
        </w:tc>
        <w:tc>
          <w:tcPr>
            <w:tcW w:w="2152" w:type="dxa"/>
            <w:tcBorders>
              <w:top w:val="single" w:sz="4" w:space="0" w:color="auto"/>
              <w:bottom w:val="single" w:sz="4" w:space="0" w:color="auto"/>
            </w:tcBorders>
            <w:shd w:val="clear" w:color="auto" w:fill="E7F3F4"/>
          </w:tcPr>
          <w:p w14:paraId="27A21FCC" w14:textId="46B666AC" w:rsidR="008D0DFE" w:rsidRPr="00806669" w:rsidRDefault="00720FD8" w:rsidP="000F37A2">
            <w:pPr>
              <w:spacing w:after="0"/>
              <w:rPr>
                <w:sz w:val="18"/>
                <w:szCs w:val="18"/>
              </w:rPr>
            </w:pPr>
            <w:r>
              <w:rPr>
                <w:sz w:val="18"/>
                <w:szCs w:val="18"/>
              </w:rPr>
              <w:t>analysis covariate</w:t>
            </w:r>
          </w:p>
        </w:tc>
        <w:tc>
          <w:tcPr>
            <w:tcW w:w="2908" w:type="dxa"/>
            <w:tcBorders>
              <w:top w:val="single" w:sz="4" w:space="0" w:color="auto"/>
              <w:bottom w:val="single" w:sz="4" w:space="0" w:color="auto"/>
            </w:tcBorders>
            <w:shd w:val="clear" w:color="auto" w:fill="E7F3F4"/>
          </w:tcPr>
          <w:p w14:paraId="57E4A18A" w14:textId="65B19BC9" w:rsidR="008D0DFE" w:rsidRPr="00806669" w:rsidRDefault="00720FD8" w:rsidP="00052B5C">
            <w:pPr>
              <w:spacing w:after="0"/>
              <w:rPr>
                <w:sz w:val="18"/>
                <w:szCs w:val="18"/>
              </w:rPr>
            </w:pPr>
            <w:r>
              <w:rPr>
                <w:sz w:val="18"/>
                <w:szCs w:val="18"/>
              </w:rPr>
              <w:t xml:space="preserve">MMP Water Quality (Waterhouse </w:t>
            </w:r>
            <w:r w:rsidRPr="008C0BCA">
              <w:rPr>
                <w:i/>
                <w:sz w:val="18"/>
                <w:szCs w:val="18"/>
              </w:rPr>
              <w:t>et al</w:t>
            </w:r>
            <w:r>
              <w:rPr>
                <w:sz w:val="18"/>
                <w:szCs w:val="18"/>
              </w:rPr>
              <w:t>. 2017)</w:t>
            </w:r>
          </w:p>
        </w:tc>
      </w:tr>
      <w:tr w:rsidR="008D0DFE" w:rsidRPr="00806669" w14:paraId="1F54887A" w14:textId="77777777" w:rsidTr="000E09B7">
        <w:trPr>
          <w:trHeight w:val="397"/>
          <w:jc w:val="center"/>
        </w:trPr>
        <w:tc>
          <w:tcPr>
            <w:tcW w:w="3917" w:type="dxa"/>
            <w:gridSpan w:val="2"/>
            <w:tcBorders>
              <w:top w:val="single" w:sz="4" w:space="0" w:color="auto"/>
              <w:bottom w:val="single" w:sz="4" w:space="0" w:color="auto"/>
            </w:tcBorders>
            <w:shd w:val="clear" w:color="auto" w:fill="F3F9FA"/>
          </w:tcPr>
          <w:p w14:paraId="4B308234" w14:textId="0B7C398A" w:rsidR="008D0DFE" w:rsidRPr="00806669" w:rsidRDefault="008D0DFE" w:rsidP="00DB400B">
            <w:pPr>
              <w:spacing w:after="0" w:line="200" w:lineRule="exact"/>
              <w:rPr>
                <w:sz w:val="18"/>
                <w:szCs w:val="18"/>
              </w:rPr>
            </w:pPr>
            <w:r>
              <w:rPr>
                <w:i/>
                <w:sz w:val="18"/>
                <w:szCs w:val="18"/>
              </w:rPr>
              <w:t>Environment at coral sites</w:t>
            </w:r>
          </w:p>
        </w:tc>
        <w:tc>
          <w:tcPr>
            <w:tcW w:w="3766" w:type="dxa"/>
            <w:tcBorders>
              <w:top w:val="single" w:sz="4" w:space="0" w:color="auto"/>
              <w:bottom w:val="single" w:sz="4" w:space="0" w:color="auto"/>
            </w:tcBorders>
            <w:shd w:val="clear" w:color="auto" w:fill="F3F9FA"/>
          </w:tcPr>
          <w:p w14:paraId="1EFFDF72" w14:textId="77777777" w:rsidR="008D0DFE" w:rsidRPr="00806669" w:rsidRDefault="008D0DFE" w:rsidP="00052B5C">
            <w:pPr>
              <w:spacing w:after="0" w:line="200" w:lineRule="exact"/>
              <w:rPr>
                <w:sz w:val="18"/>
                <w:szCs w:val="18"/>
              </w:rPr>
            </w:pPr>
          </w:p>
        </w:tc>
        <w:tc>
          <w:tcPr>
            <w:tcW w:w="2152" w:type="dxa"/>
            <w:tcBorders>
              <w:top w:val="single" w:sz="4" w:space="0" w:color="auto"/>
              <w:bottom w:val="single" w:sz="4" w:space="0" w:color="auto"/>
            </w:tcBorders>
            <w:shd w:val="clear" w:color="auto" w:fill="F3F9FA"/>
          </w:tcPr>
          <w:p w14:paraId="592BCC6A" w14:textId="77777777" w:rsidR="008D0DFE" w:rsidRPr="00806669" w:rsidRDefault="008D0DFE" w:rsidP="00052B5C">
            <w:pPr>
              <w:spacing w:after="0" w:line="200" w:lineRule="exact"/>
              <w:rPr>
                <w:sz w:val="18"/>
                <w:szCs w:val="18"/>
              </w:rPr>
            </w:pPr>
          </w:p>
        </w:tc>
        <w:tc>
          <w:tcPr>
            <w:tcW w:w="2908" w:type="dxa"/>
            <w:tcBorders>
              <w:top w:val="single" w:sz="4" w:space="0" w:color="auto"/>
              <w:bottom w:val="single" w:sz="4" w:space="0" w:color="auto"/>
            </w:tcBorders>
            <w:shd w:val="clear" w:color="auto" w:fill="F3F9FA"/>
          </w:tcPr>
          <w:p w14:paraId="45C7DC20" w14:textId="77777777" w:rsidR="008D0DFE" w:rsidRPr="00806669" w:rsidRDefault="008D0DFE" w:rsidP="00052B5C">
            <w:pPr>
              <w:spacing w:after="0" w:line="200" w:lineRule="exact"/>
              <w:rPr>
                <w:sz w:val="18"/>
                <w:szCs w:val="18"/>
              </w:rPr>
            </w:pPr>
          </w:p>
        </w:tc>
      </w:tr>
      <w:tr w:rsidR="00480A09" w:rsidRPr="00806669" w14:paraId="590BF9FA" w14:textId="77777777" w:rsidTr="000E09B7">
        <w:trPr>
          <w:trHeight w:val="397"/>
          <w:jc w:val="center"/>
        </w:trPr>
        <w:tc>
          <w:tcPr>
            <w:tcW w:w="2358" w:type="dxa"/>
            <w:tcBorders>
              <w:top w:val="single" w:sz="4" w:space="0" w:color="auto"/>
              <w:bottom w:val="single" w:sz="4" w:space="0" w:color="auto"/>
            </w:tcBorders>
            <w:shd w:val="clear" w:color="auto" w:fill="F3F9FA"/>
          </w:tcPr>
          <w:p w14:paraId="47EE259A" w14:textId="73654314" w:rsidR="00480A09" w:rsidRDefault="00480A09" w:rsidP="00052B5C">
            <w:pPr>
              <w:spacing w:after="0" w:line="200" w:lineRule="exact"/>
              <w:ind w:left="176"/>
              <w:rPr>
                <w:sz w:val="18"/>
                <w:szCs w:val="18"/>
              </w:rPr>
            </w:pPr>
            <w:r>
              <w:rPr>
                <w:sz w:val="18"/>
                <w:szCs w:val="18"/>
              </w:rPr>
              <w:t>Degree Heating days</w:t>
            </w:r>
          </w:p>
        </w:tc>
        <w:tc>
          <w:tcPr>
            <w:tcW w:w="1559" w:type="dxa"/>
            <w:tcBorders>
              <w:top w:val="single" w:sz="4" w:space="0" w:color="auto"/>
              <w:bottom w:val="single" w:sz="4" w:space="0" w:color="auto"/>
            </w:tcBorders>
            <w:shd w:val="clear" w:color="auto" w:fill="F3F9FA"/>
          </w:tcPr>
          <w:p w14:paraId="0ECB5B31" w14:textId="77777777" w:rsidR="00480A09" w:rsidRDefault="00480A09" w:rsidP="00052B5C">
            <w:pPr>
              <w:spacing w:after="0"/>
              <w:rPr>
                <w:sz w:val="18"/>
                <w:szCs w:val="18"/>
              </w:rPr>
            </w:pPr>
            <w:r>
              <w:rPr>
                <w:sz w:val="18"/>
                <w:szCs w:val="18"/>
              </w:rPr>
              <w:t>2006 - 2016</w:t>
            </w:r>
          </w:p>
          <w:p w14:paraId="162568FA" w14:textId="77777777" w:rsidR="00480A09" w:rsidRPr="00806669" w:rsidRDefault="00480A09" w:rsidP="00DD4954">
            <w:pPr>
              <w:spacing w:after="0" w:line="200" w:lineRule="exact"/>
              <w:rPr>
                <w:sz w:val="18"/>
                <w:szCs w:val="18"/>
              </w:rPr>
            </w:pPr>
          </w:p>
        </w:tc>
        <w:tc>
          <w:tcPr>
            <w:tcW w:w="3766" w:type="dxa"/>
            <w:tcBorders>
              <w:top w:val="single" w:sz="4" w:space="0" w:color="auto"/>
              <w:bottom w:val="single" w:sz="4" w:space="0" w:color="auto"/>
            </w:tcBorders>
            <w:shd w:val="clear" w:color="auto" w:fill="F3F9FA"/>
          </w:tcPr>
          <w:p w14:paraId="3439051B" w14:textId="2A762345" w:rsidR="00480A09" w:rsidRDefault="00480A09" w:rsidP="00DD4954">
            <w:pPr>
              <w:spacing w:after="0" w:line="200" w:lineRule="exact"/>
              <w:rPr>
                <w:sz w:val="18"/>
                <w:szCs w:val="18"/>
              </w:rPr>
            </w:pPr>
            <w:r>
              <w:rPr>
                <w:sz w:val="18"/>
                <w:szCs w:val="18"/>
              </w:rPr>
              <w:t>remote sensing adjacent to coral sites</w:t>
            </w:r>
          </w:p>
        </w:tc>
        <w:tc>
          <w:tcPr>
            <w:tcW w:w="2152" w:type="dxa"/>
            <w:tcBorders>
              <w:top w:val="single" w:sz="4" w:space="0" w:color="auto"/>
              <w:bottom w:val="single" w:sz="4" w:space="0" w:color="auto"/>
            </w:tcBorders>
            <w:shd w:val="clear" w:color="auto" w:fill="F3F9FA"/>
          </w:tcPr>
          <w:p w14:paraId="0A859ED3" w14:textId="1133D7F3" w:rsidR="00480A09" w:rsidRDefault="00480A09" w:rsidP="00052B5C">
            <w:pPr>
              <w:spacing w:after="0" w:line="200" w:lineRule="exact"/>
              <w:rPr>
                <w:sz w:val="18"/>
                <w:szCs w:val="18"/>
              </w:rPr>
            </w:pPr>
            <w:r>
              <w:rPr>
                <w:sz w:val="18"/>
                <w:szCs w:val="18"/>
              </w:rPr>
              <w:t>regional plots, bleaching disturbance categorisation</w:t>
            </w:r>
          </w:p>
        </w:tc>
        <w:tc>
          <w:tcPr>
            <w:tcW w:w="2908" w:type="dxa"/>
            <w:tcBorders>
              <w:top w:val="single" w:sz="4" w:space="0" w:color="auto"/>
              <w:bottom w:val="single" w:sz="4" w:space="0" w:color="auto"/>
            </w:tcBorders>
            <w:shd w:val="clear" w:color="auto" w:fill="F3F9FA"/>
          </w:tcPr>
          <w:p w14:paraId="432AB91A" w14:textId="0CF03C81" w:rsidR="00480A09" w:rsidRDefault="00480A09" w:rsidP="000F37A2">
            <w:pPr>
              <w:spacing w:after="0" w:line="200" w:lineRule="exact"/>
              <w:rPr>
                <w:sz w:val="18"/>
                <w:szCs w:val="18"/>
              </w:rPr>
            </w:pPr>
            <w:r>
              <w:rPr>
                <w:sz w:val="18"/>
                <w:szCs w:val="18"/>
              </w:rPr>
              <w:t>Bureau of Meteorology</w:t>
            </w:r>
          </w:p>
        </w:tc>
      </w:tr>
      <w:tr w:rsidR="00480A09" w:rsidRPr="00806669" w14:paraId="588BA1C2" w14:textId="77777777" w:rsidTr="000E09B7">
        <w:trPr>
          <w:trHeight w:val="397"/>
          <w:jc w:val="center"/>
        </w:trPr>
        <w:tc>
          <w:tcPr>
            <w:tcW w:w="2358" w:type="dxa"/>
            <w:tcBorders>
              <w:top w:val="single" w:sz="4" w:space="0" w:color="auto"/>
              <w:bottom w:val="single" w:sz="4" w:space="0" w:color="auto"/>
            </w:tcBorders>
            <w:shd w:val="clear" w:color="auto" w:fill="F3F9FA"/>
          </w:tcPr>
          <w:p w14:paraId="090471D0" w14:textId="77777777" w:rsidR="00480A09" w:rsidRPr="00806669" w:rsidRDefault="00480A09" w:rsidP="00052B5C">
            <w:pPr>
              <w:spacing w:after="0" w:line="200" w:lineRule="exact"/>
              <w:ind w:left="176"/>
              <w:rPr>
                <w:sz w:val="18"/>
                <w:szCs w:val="18"/>
              </w:rPr>
            </w:pPr>
            <w:r>
              <w:rPr>
                <w:sz w:val="18"/>
                <w:szCs w:val="18"/>
              </w:rPr>
              <w:t xml:space="preserve">Water </w:t>
            </w:r>
            <w:r w:rsidRPr="00806669">
              <w:rPr>
                <w:sz w:val="18"/>
                <w:szCs w:val="18"/>
              </w:rPr>
              <w:t>temperature</w:t>
            </w:r>
          </w:p>
        </w:tc>
        <w:tc>
          <w:tcPr>
            <w:tcW w:w="1559" w:type="dxa"/>
            <w:tcBorders>
              <w:top w:val="single" w:sz="4" w:space="0" w:color="auto"/>
              <w:bottom w:val="single" w:sz="4" w:space="0" w:color="auto"/>
            </w:tcBorders>
            <w:shd w:val="clear" w:color="auto" w:fill="F3F9FA"/>
          </w:tcPr>
          <w:p w14:paraId="0A8EE29A" w14:textId="13140ABF" w:rsidR="00480A09" w:rsidRPr="00806669" w:rsidRDefault="00480A09" w:rsidP="00DD4954">
            <w:pPr>
              <w:spacing w:after="0" w:line="200" w:lineRule="exact"/>
              <w:rPr>
                <w:sz w:val="18"/>
                <w:szCs w:val="18"/>
              </w:rPr>
            </w:pPr>
            <w:r w:rsidRPr="00806669">
              <w:rPr>
                <w:sz w:val="18"/>
                <w:szCs w:val="18"/>
              </w:rPr>
              <w:t>200</w:t>
            </w:r>
            <w:r>
              <w:rPr>
                <w:sz w:val="18"/>
                <w:szCs w:val="18"/>
              </w:rPr>
              <w:t>5</w:t>
            </w:r>
            <w:r w:rsidRPr="00806669">
              <w:rPr>
                <w:sz w:val="18"/>
                <w:szCs w:val="18"/>
              </w:rPr>
              <w:t xml:space="preserve"> </w:t>
            </w:r>
            <w:r>
              <w:rPr>
                <w:sz w:val="18"/>
                <w:szCs w:val="18"/>
              </w:rPr>
              <w:t>-</w:t>
            </w:r>
            <w:r w:rsidRPr="00806669">
              <w:rPr>
                <w:sz w:val="18"/>
                <w:szCs w:val="18"/>
              </w:rPr>
              <w:t xml:space="preserve"> 201</w:t>
            </w:r>
            <w:r>
              <w:rPr>
                <w:sz w:val="18"/>
                <w:szCs w:val="18"/>
              </w:rPr>
              <w:t>6</w:t>
            </w:r>
          </w:p>
        </w:tc>
        <w:tc>
          <w:tcPr>
            <w:tcW w:w="3766" w:type="dxa"/>
            <w:tcBorders>
              <w:top w:val="single" w:sz="4" w:space="0" w:color="auto"/>
              <w:bottom w:val="single" w:sz="4" w:space="0" w:color="auto"/>
            </w:tcBorders>
            <w:shd w:val="clear" w:color="auto" w:fill="F3F9FA"/>
          </w:tcPr>
          <w:p w14:paraId="2697DD9A" w14:textId="2799FF23" w:rsidR="00480A09" w:rsidRPr="00806669" w:rsidRDefault="00480A09" w:rsidP="00DD4954">
            <w:pPr>
              <w:spacing w:after="0" w:line="200" w:lineRule="exact"/>
              <w:rPr>
                <w:sz w:val="18"/>
                <w:szCs w:val="18"/>
              </w:rPr>
            </w:pPr>
            <w:r>
              <w:rPr>
                <w:sz w:val="18"/>
                <w:szCs w:val="18"/>
              </w:rPr>
              <w:t xml:space="preserve">in-situ sensor at coral sites </w:t>
            </w:r>
          </w:p>
        </w:tc>
        <w:tc>
          <w:tcPr>
            <w:tcW w:w="2152" w:type="dxa"/>
            <w:tcBorders>
              <w:top w:val="single" w:sz="4" w:space="0" w:color="auto"/>
              <w:bottom w:val="single" w:sz="4" w:space="0" w:color="auto"/>
            </w:tcBorders>
            <w:shd w:val="clear" w:color="auto" w:fill="F3F9FA"/>
          </w:tcPr>
          <w:p w14:paraId="2B1D2481" w14:textId="497458CC" w:rsidR="00480A09" w:rsidRPr="00806669" w:rsidRDefault="00480A09" w:rsidP="00052B5C">
            <w:pPr>
              <w:spacing w:after="0" w:line="200" w:lineRule="exact"/>
              <w:rPr>
                <w:sz w:val="18"/>
                <w:szCs w:val="18"/>
              </w:rPr>
            </w:pPr>
            <w:r>
              <w:rPr>
                <w:sz w:val="18"/>
                <w:szCs w:val="18"/>
              </w:rPr>
              <w:t>regional temperature anomaly plots, bleaching disturbance categorisation</w:t>
            </w:r>
          </w:p>
        </w:tc>
        <w:tc>
          <w:tcPr>
            <w:tcW w:w="2908" w:type="dxa"/>
            <w:tcBorders>
              <w:top w:val="single" w:sz="4" w:space="0" w:color="auto"/>
              <w:bottom w:val="single" w:sz="4" w:space="0" w:color="auto"/>
            </w:tcBorders>
            <w:shd w:val="clear" w:color="auto" w:fill="F3F9FA"/>
          </w:tcPr>
          <w:p w14:paraId="6F7AE40C" w14:textId="412801B7" w:rsidR="00480A09" w:rsidRPr="00806669" w:rsidRDefault="00480A09" w:rsidP="000F37A2">
            <w:pPr>
              <w:spacing w:after="0" w:line="200" w:lineRule="exact"/>
              <w:rPr>
                <w:sz w:val="18"/>
                <w:szCs w:val="18"/>
              </w:rPr>
            </w:pPr>
            <w:r>
              <w:rPr>
                <w:sz w:val="18"/>
                <w:szCs w:val="18"/>
              </w:rPr>
              <w:t xml:space="preserve">MMP </w:t>
            </w:r>
            <w:r w:rsidRPr="00806669">
              <w:rPr>
                <w:sz w:val="18"/>
                <w:szCs w:val="18"/>
              </w:rPr>
              <w:t xml:space="preserve">Inshore </w:t>
            </w:r>
            <w:r>
              <w:rPr>
                <w:sz w:val="18"/>
                <w:szCs w:val="18"/>
              </w:rPr>
              <w:t>Coral</w:t>
            </w:r>
            <w:r w:rsidRPr="00806669">
              <w:rPr>
                <w:sz w:val="18"/>
                <w:szCs w:val="18"/>
              </w:rPr>
              <w:t xml:space="preserve"> monitoring</w:t>
            </w:r>
          </w:p>
        </w:tc>
      </w:tr>
      <w:tr w:rsidR="00480A09" w:rsidRPr="00806669" w14:paraId="17B285BB" w14:textId="77777777" w:rsidTr="000E09B7">
        <w:trPr>
          <w:trHeight w:val="397"/>
          <w:jc w:val="center"/>
        </w:trPr>
        <w:tc>
          <w:tcPr>
            <w:tcW w:w="2358" w:type="dxa"/>
            <w:tcBorders>
              <w:top w:val="single" w:sz="4" w:space="0" w:color="auto"/>
              <w:bottom w:val="single" w:sz="4" w:space="0" w:color="auto"/>
            </w:tcBorders>
            <w:shd w:val="clear" w:color="auto" w:fill="F3F9FA"/>
          </w:tcPr>
          <w:p w14:paraId="7FC983FD" w14:textId="02C2FAC7" w:rsidR="00480A09" w:rsidRPr="00806669" w:rsidRDefault="00480A09" w:rsidP="00052B5C">
            <w:pPr>
              <w:spacing w:after="0" w:line="200" w:lineRule="exact"/>
              <w:ind w:left="176"/>
              <w:rPr>
                <w:sz w:val="18"/>
                <w:szCs w:val="18"/>
              </w:rPr>
            </w:pPr>
            <w:r>
              <w:rPr>
                <w:sz w:val="18"/>
                <w:szCs w:val="18"/>
              </w:rPr>
              <w:t xml:space="preserve">Chlorophyll a </w:t>
            </w:r>
          </w:p>
        </w:tc>
        <w:tc>
          <w:tcPr>
            <w:tcW w:w="1559" w:type="dxa"/>
            <w:tcBorders>
              <w:top w:val="single" w:sz="4" w:space="0" w:color="auto"/>
              <w:bottom w:val="single" w:sz="4" w:space="0" w:color="auto"/>
            </w:tcBorders>
            <w:shd w:val="clear" w:color="auto" w:fill="F3F9FA"/>
          </w:tcPr>
          <w:p w14:paraId="70D96C0E" w14:textId="3E82FFF3" w:rsidR="00480A09" w:rsidRPr="00806669" w:rsidRDefault="00480A09" w:rsidP="00DD4954">
            <w:pPr>
              <w:spacing w:after="0" w:line="200" w:lineRule="exact"/>
              <w:rPr>
                <w:sz w:val="18"/>
                <w:szCs w:val="18"/>
              </w:rPr>
            </w:pPr>
            <w:r w:rsidRPr="00806669">
              <w:rPr>
                <w:sz w:val="18"/>
                <w:szCs w:val="18"/>
              </w:rPr>
              <w:t>200</w:t>
            </w:r>
            <w:r>
              <w:rPr>
                <w:sz w:val="18"/>
                <w:szCs w:val="18"/>
              </w:rPr>
              <w:t>2</w:t>
            </w:r>
            <w:r w:rsidRPr="00806669">
              <w:rPr>
                <w:sz w:val="18"/>
                <w:szCs w:val="18"/>
              </w:rPr>
              <w:t xml:space="preserve"> </w:t>
            </w:r>
            <w:r>
              <w:rPr>
                <w:sz w:val="18"/>
                <w:szCs w:val="18"/>
              </w:rPr>
              <w:t>-</w:t>
            </w:r>
            <w:r w:rsidRPr="00806669">
              <w:rPr>
                <w:sz w:val="18"/>
                <w:szCs w:val="18"/>
              </w:rPr>
              <w:t xml:space="preserve"> 201</w:t>
            </w:r>
            <w:r>
              <w:rPr>
                <w:sz w:val="18"/>
                <w:szCs w:val="18"/>
              </w:rPr>
              <w:t>6</w:t>
            </w:r>
          </w:p>
        </w:tc>
        <w:tc>
          <w:tcPr>
            <w:tcW w:w="3766" w:type="dxa"/>
            <w:tcBorders>
              <w:top w:val="single" w:sz="4" w:space="0" w:color="auto"/>
              <w:bottom w:val="single" w:sz="4" w:space="0" w:color="auto"/>
            </w:tcBorders>
            <w:shd w:val="clear" w:color="auto" w:fill="F3F9FA"/>
          </w:tcPr>
          <w:p w14:paraId="60134BB2" w14:textId="232878EC" w:rsidR="00480A09" w:rsidRPr="00806669" w:rsidRDefault="00480A09" w:rsidP="00052B5C">
            <w:pPr>
              <w:spacing w:after="0" w:line="200" w:lineRule="exact"/>
              <w:rPr>
                <w:sz w:val="18"/>
                <w:szCs w:val="18"/>
              </w:rPr>
            </w:pPr>
            <w:r>
              <w:rPr>
                <w:sz w:val="18"/>
                <w:szCs w:val="18"/>
              </w:rPr>
              <w:t>remote sensing adjacent to coral sites</w:t>
            </w:r>
          </w:p>
        </w:tc>
        <w:tc>
          <w:tcPr>
            <w:tcW w:w="2152" w:type="dxa"/>
            <w:tcBorders>
              <w:top w:val="single" w:sz="4" w:space="0" w:color="auto"/>
              <w:bottom w:val="single" w:sz="4" w:space="0" w:color="auto"/>
            </w:tcBorders>
            <w:shd w:val="clear" w:color="auto" w:fill="F3F9FA"/>
          </w:tcPr>
          <w:p w14:paraId="5F4BDA2F" w14:textId="5EE6213A" w:rsidR="00480A09" w:rsidRPr="00806669" w:rsidRDefault="00480A09" w:rsidP="000F37A2">
            <w:pPr>
              <w:spacing w:after="0" w:line="200" w:lineRule="exact"/>
              <w:rPr>
                <w:sz w:val="18"/>
                <w:szCs w:val="18"/>
              </w:rPr>
            </w:pPr>
            <w:r>
              <w:rPr>
                <w:sz w:val="18"/>
                <w:szCs w:val="18"/>
              </w:rPr>
              <w:t>mapping, analysis covariate</w:t>
            </w:r>
          </w:p>
        </w:tc>
        <w:tc>
          <w:tcPr>
            <w:tcW w:w="2908" w:type="dxa"/>
            <w:tcBorders>
              <w:top w:val="single" w:sz="4" w:space="0" w:color="auto"/>
              <w:bottom w:val="single" w:sz="4" w:space="0" w:color="auto"/>
            </w:tcBorders>
            <w:shd w:val="clear" w:color="auto" w:fill="F3F9FA"/>
          </w:tcPr>
          <w:p w14:paraId="488E5728" w14:textId="364A59CC" w:rsidR="00480A09" w:rsidRPr="00806669" w:rsidRDefault="00480A09" w:rsidP="000F37A2">
            <w:pPr>
              <w:spacing w:after="0" w:line="200" w:lineRule="exact"/>
              <w:rPr>
                <w:sz w:val="18"/>
                <w:szCs w:val="18"/>
              </w:rPr>
            </w:pPr>
            <w:r>
              <w:rPr>
                <w:sz w:val="18"/>
                <w:szCs w:val="18"/>
              </w:rPr>
              <w:t>Bureau of Meteorology</w:t>
            </w:r>
          </w:p>
        </w:tc>
      </w:tr>
      <w:tr w:rsidR="00480A09" w:rsidRPr="00806669" w14:paraId="7384097A" w14:textId="77777777" w:rsidTr="000E09B7">
        <w:trPr>
          <w:trHeight w:val="397"/>
          <w:jc w:val="center"/>
        </w:trPr>
        <w:tc>
          <w:tcPr>
            <w:tcW w:w="2358" w:type="dxa"/>
            <w:tcBorders>
              <w:top w:val="single" w:sz="4" w:space="0" w:color="auto"/>
              <w:bottom w:val="single" w:sz="4" w:space="0" w:color="auto"/>
            </w:tcBorders>
            <w:shd w:val="clear" w:color="auto" w:fill="F3F9FA"/>
          </w:tcPr>
          <w:p w14:paraId="3055EB26" w14:textId="7EA39156" w:rsidR="00480A09" w:rsidRDefault="00480A09" w:rsidP="00052B5C">
            <w:pPr>
              <w:spacing w:after="0" w:line="200" w:lineRule="exact"/>
              <w:ind w:left="176"/>
              <w:rPr>
                <w:sz w:val="18"/>
                <w:szCs w:val="18"/>
              </w:rPr>
            </w:pPr>
            <w:r>
              <w:rPr>
                <w:sz w:val="18"/>
                <w:szCs w:val="18"/>
              </w:rPr>
              <w:t>Chlorophyll a</w:t>
            </w:r>
          </w:p>
        </w:tc>
        <w:tc>
          <w:tcPr>
            <w:tcW w:w="1559" w:type="dxa"/>
            <w:tcBorders>
              <w:top w:val="single" w:sz="4" w:space="0" w:color="auto"/>
              <w:bottom w:val="single" w:sz="4" w:space="0" w:color="auto"/>
            </w:tcBorders>
            <w:shd w:val="clear" w:color="auto" w:fill="F3F9FA"/>
          </w:tcPr>
          <w:p w14:paraId="6B2AE0C0" w14:textId="19C1C395" w:rsidR="00480A09" w:rsidRPr="00806669" w:rsidRDefault="00480A09" w:rsidP="00480A09">
            <w:pPr>
              <w:spacing w:after="0" w:line="200" w:lineRule="exact"/>
              <w:rPr>
                <w:sz w:val="18"/>
                <w:szCs w:val="18"/>
              </w:rPr>
            </w:pPr>
            <w:r>
              <w:rPr>
                <w:sz w:val="18"/>
                <w:szCs w:val="18"/>
              </w:rPr>
              <w:t>2006-2016</w:t>
            </w:r>
          </w:p>
        </w:tc>
        <w:tc>
          <w:tcPr>
            <w:tcW w:w="3766" w:type="dxa"/>
            <w:tcBorders>
              <w:top w:val="single" w:sz="4" w:space="0" w:color="auto"/>
              <w:bottom w:val="single" w:sz="4" w:space="0" w:color="auto"/>
            </w:tcBorders>
            <w:shd w:val="clear" w:color="auto" w:fill="F3F9FA"/>
          </w:tcPr>
          <w:p w14:paraId="66FD1EAF" w14:textId="1A11B563" w:rsidR="00480A09" w:rsidRDefault="00480A09" w:rsidP="00052B5C">
            <w:pPr>
              <w:spacing w:after="0" w:line="200" w:lineRule="exact"/>
              <w:rPr>
                <w:sz w:val="18"/>
                <w:szCs w:val="18"/>
              </w:rPr>
            </w:pPr>
            <w:r>
              <w:rPr>
                <w:sz w:val="18"/>
                <w:szCs w:val="18"/>
              </w:rPr>
              <w:t>in-situ sensor and niskin samples at subset of coral sites</w:t>
            </w:r>
          </w:p>
        </w:tc>
        <w:tc>
          <w:tcPr>
            <w:tcW w:w="2152" w:type="dxa"/>
            <w:tcBorders>
              <w:top w:val="single" w:sz="4" w:space="0" w:color="auto"/>
              <w:bottom w:val="single" w:sz="4" w:space="0" w:color="auto"/>
            </w:tcBorders>
            <w:shd w:val="clear" w:color="auto" w:fill="F3F9FA"/>
          </w:tcPr>
          <w:p w14:paraId="178F0002" w14:textId="000B28FD" w:rsidR="00480A09" w:rsidRDefault="00480A09" w:rsidP="000F37A2">
            <w:pPr>
              <w:spacing w:after="0" w:line="200" w:lineRule="exact"/>
              <w:rPr>
                <w:sz w:val="18"/>
                <w:szCs w:val="18"/>
              </w:rPr>
            </w:pPr>
            <w:r>
              <w:rPr>
                <w:sz w:val="18"/>
                <w:szCs w:val="18"/>
              </w:rPr>
              <w:t>regional trend plots</w:t>
            </w:r>
          </w:p>
        </w:tc>
        <w:tc>
          <w:tcPr>
            <w:tcW w:w="2908" w:type="dxa"/>
            <w:tcBorders>
              <w:top w:val="single" w:sz="4" w:space="0" w:color="auto"/>
              <w:bottom w:val="single" w:sz="4" w:space="0" w:color="auto"/>
            </w:tcBorders>
            <w:shd w:val="clear" w:color="auto" w:fill="F3F9FA"/>
          </w:tcPr>
          <w:p w14:paraId="64001DCC" w14:textId="5CC1DB54" w:rsidR="00480A09" w:rsidRDefault="00480A09" w:rsidP="000F37A2">
            <w:pPr>
              <w:spacing w:after="0" w:line="200" w:lineRule="exact"/>
              <w:rPr>
                <w:sz w:val="18"/>
                <w:szCs w:val="18"/>
              </w:rPr>
            </w:pPr>
            <w:r>
              <w:rPr>
                <w:sz w:val="18"/>
                <w:szCs w:val="18"/>
              </w:rPr>
              <w:t xml:space="preserve">MMP Water Quality (Waterhouse </w:t>
            </w:r>
            <w:r w:rsidRPr="008C0BCA">
              <w:rPr>
                <w:i/>
                <w:sz w:val="18"/>
                <w:szCs w:val="18"/>
              </w:rPr>
              <w:t>et al</w:t>
            </w:r>
            <w:r>
              <w:rPr>
                <w:sz w:val="18"/>
                <w:szCs w:val="18"/>
              </w:rPr>
              <w:t>. 2017)</w:t>
            </w:r>
          </w:p>
        </w:tc>
      </w:tr>
      <w:tr w:rsidR="00480A09" w:rsidRPr="00806669" w14:paraId="24612CE7" w14:textId="77777777" w:rsidTr="000E09B7">
        <w:trPr>
          <w:trHeight w:val="397"/>
          <w:jc w:val="center"/>
        </w:trPr>
        <w:tc>
          <w:tcPr>
            <w:tcW w:w="2358" w:type="dxa"/>
            <w:tcBorders>
              <w:top w:val="single" w:sz="4" w:space="0" w:color="auto"/>
              <w:bottom w:val="single" w:sz="4" w:space="0" w:color="auto"/>
            </w:tcBorders>
            <w:shd w:val="clear" w:color="auto" w:fill="F3F9FA"/>
          </w:tcPr>
          <w:p w14:paraId="6E46954C" w14:textId="26A084C2" w:rsidR="00480A09" w:rsidRDefault="00480A09" w:rsidP="00052B5C">
            <w:pPr>
              <w:spacing w:after="0" w:line="200" w:lineRule="exact"/>
              <w:ind w:left="176"/>
              <w:rPr>
                <w:sz w:val="18"/>
                <w:szCs w:val="18"/>
              </w:rPr>
            </w:pPr>
            <w:r>
              <w:rPr>
                <w:sz w:val="18"/>
                <w:szCs w:val="18"/>
              </w:rPr>
              <w:t>Non-algal particulate</w:t>
            </w:r>
          </w:p>
        </w:tc>
        <w:tc>
          <w:tcPr>
            <w:tcW w:w="1559" w:type="dxa"/>
            <w:tcBorders>
              <w:top w:val="single" w:sz="4" w:space="0" w:color="auto"/>
              <w:bottom w:val="single" w:sz="4" w:space="0" w:color="auto"/>
            </w:tcBorders>
            <w:shd w:val="clear" w:color="auto" w:fill="F3F9FA"/>
          </w:tcPr>
          <w:p w14:paraId="24DA6665" w14:textId="65214958" w:rsidR="00480A09" w:rsidRPr="00806669" w:rsidRDefault="00480A09" w:rsidP="000F37A2">
            <w:pPr>
              <w:spacing w:after="0" w:line="200" w:lineRule="exact"/>
              <w:rPr>
                <w:sz w:val="18"/>
                <w:szCs w:val="18"/>
              </w:rPr>
            </w:pPr>
            <w:r>
              <w:rPr>
                <w:sz w:val="18"/>
                <w:szCs w:val="18"/>
              </w:rPr>
              <w:t>2002 - 2016</w:t>
            </w:r>
          </w:p>
        </w:tc>
        <w:tc>
          <w:tcPr>
            <w:tcW w:w="3766" w:type="dxa"/>
            <w:tcBorders>
              <w:top w:val="single" w:sz="4" w:space="0" w:color="auto"/>
              <w:bottom w:val="single" w:sz="4" w:space="0" w:color="auto"/>
            </w:tcBorders>
            <w:shd w:val="clear" w:color="auto" w:fill="F3F9FA"/>
          </w:tcPr>
          <w:p w14:paraId="6996E5D0" w14:textId="62B3B6B2" w:rsidR="00480A09" w:rsidRDefault="00480A09" w:rsidP="00DD4954">
            <w:pPr>
              <w:spacing w:after="0" w:line="200" w:lineRule="exact"/>
              <w:rPr>
                <w:sz w:val="18"/>
                <w:szCs w:val="18"/>
              </w:rPr>
            </w:pPr>
            <w:r>
              <w:rPr>
                <w:sz w:val="18"/>
                <w:szCs w:val="18"/>
              </w:rPr>
              <w:t>remote sensing adjacent to coral sites</w:t>
            </w:r>
          </w:p>
        </w:tc>
        <w:tc>
          <w:tcPr>
            <w:tcW w:w="2152" w:type="dxa"/>
            <w:tcBorders>
              <w:top w:val="single" w:sz="4" w:space="0" w:color="auto"/>
              <w:bottom w:val="single" w:sz="4" w:space="0" w:color="auto"/>
            </w:tcBorders>
            <w:shd w:val="clear" w:color="auto" w:fill="F3F9FA"/>
          </w:tcPr>
          <w:p w14:paraId="5CFB5472" w14:textId="77880193" w:rsidR="00480A09" w:rsidRDefault="00480A09" w:rsidP="000F37A2">
            <w:pPr>
              <w:spacing w:after="0" w:line="200" w:lineRule="exact"/>
              <w:rPr>
                <w:sz w:val="18"/>
                <w:szCs w:val="18"/>
              </w:rPr>
            </w:pPr>
            <w:r>
              <w:rPr>
                <w:sz w:val="18"/>
                <w:szCs w:val="18"/>
              </w:rPr>
              <w:t>mapping, analysis covariate</w:t>
            </w:r>
          </w:p>
        </w:tc>
        <w:tc>
          <w:tcPr>
            <w:tcW w:w="2908" w:type="dxa"/>
            <w:tcBorders>
              <w:top w:val="single" w:sz="4" w:space="0" w:color="auto"/>
              <w:bottom w:val="single" w:sz="4" w:space="0" w:color="auto"/>
            </w:tcBorders>
            <w:shd w:val="clear" w:color="auto" w:fill="F3F9FA"/>
          </w:tcPr>
          <w:p w14:paraId="30E38B3B" w14:textId="37B15386" w:rsidR="00480A09" w:rsidRDefault="00480A09" w:rsidP="000F37A2">
            <w:pPr>
              <w:spacing w:after="0" w:line="200" w:lineRule="exact"/>
              <w:rPr>
                <w:sz w:val="18"/>
                <w:szCs w:val="18"/>
              </w:rPr>
            </w:pPr>
            <w:r>
              <w:rPr>
                <w:sz w:val="18"/>
                <w:szCs w:val="18"/>
              </w:rPr>
              <w:t>Bureau of Meteorology</w:t>
            </w:r>
          </w:p>
        </w:tc>
      </w:tr>
      <w:tr w:rsidR="00480A09" w:rsidRPr="00806669" w14:paraId="7E012274" w14:textId="77777777" w:rsidTr="000E09B7">
        <w:trPr>
          <w:trHeight w:val="397"/>
          <w:jc w:val="center"/>
        </w:trPr>
        <w:tc>
          <w:tcPr>
            <w:tcW w:w="2358" w:type="dxa"/>
            <w:tcBorders>
              <w:top w:val="single" w:sz="4" w:space="0" w:color="auto"/>
              <w:bottom w:val="single" w:sz="4" w:space="0" w:color="auto"/>
            </w:tcBorders>
            <w:shd w:val="clear" w:color="auto" w:fill="F3F9FA"/>
          </w:tcPr>
          <w:p w14:paraId="0294ED44" w14:textId="0C93BA53" w:rsidR="00480A09" w:rsidRDefault="00480A09" w:rsidP="00052B5C">
            <w:pPr>
              <w:spacing w:after="0" w:line="200" w:lineRule="exact"/>
              <w:ind w:left="176"/>
              <w:rPr>
                <w:sz w:val="18"/>
                <w:szCs w:val="18"/>
              </w:rPr>
            </w:pPr>
            <w:r>
              <w:rPr>
                <w:sz w:val="18"/>
                <w:szCs w:val="18"/>
              </w:rPr>
              <w:t>Turbidity</w:t>
            </w:r>
          </w:p>
        </w:tc>
        <w:tc>
          <w:tcPr>
            <w:tcW w:w="1559" w:type="dxa"/>
            <w:tcBorders>
              <w:top w:val="single" w:sz="4" w:space="0" w:color="auto"/>
              <w:bottom w:val="single" w:sz="4" w:space="0" w:color="auto"/>
            </w:tcBorders>
            <w:shd w:val="clear" w:color="auto" w:fill="F3F9FA"/>
          </w:tcPr>
          <w:p w14:paraId="265F019A" w14:textId="641B3AEB" w:rsidR="00480A09" w:rsidRDefault="00480A09" w:rsidP="000F37A2">
            <w:pPr>
              <w:spacing w:after="0" w:line="200" w:lineRule="exact"/>
              <w:rPr>
                <w:sz w:val="18"/>
                <w:szCs w:val="18"/>
              </w:rPr>
            </w:pPr>
            <w:r>
              <w:rPr>
                <w:sz w:val="18"/>
                <w:szCs w:val="18"/>
              </w:rPr>
              <w:t>2006-2016</w:t>
            </w:r>
          </w:p>
        </w:tc>
        <w:tc>
          <w:tcPr>
            <w:tcW w:w="3766" w:type="dxa"/>
            <w:tcBorders>
              <w:top w:val="single" w:sz="4" w:space="0" w:color="auto"/>
              <w:bottom w:val="single" w:sz="4" w:space="0" w:color="auto"/>
            </w:tcBorders>
            <w:shd w:val="clear" w:color="auto" w:fill="F3F9FA"/>
          </w:tcPr>
          <w:p w14:paraId="25CD37C2" w14:textId="752DECA8" w:rsidR="00480A09" w:rsidRDefault="00480A09" w:rsidP="00480A09">
            <w:pPr>
              <w:spacing w:after="0" w:line="200" w:lineRule="exact"/>
              <w:rPr>
                <w:sz w:val="18"/>
                <w:szCs w:val="18"/>
              </w:rPr>
            </w:pPr>
            <w:r>
              <w:rPr>
                <w:sz w:val="18"/>
                <w:szCs w:val="18"/>
              </w:rPr>
              <w:t>in-situ sensor at subset of coral sites</w:t>
            </w:r>
          </w:p>
        </w:tc>
        <w:tc>
          <w:tcPr>
            <w:tcW w:w="2152" w:type="dxa"/>
            <w:tcBorders>
              <w:top w:val="single" w:sz="4" w:space="0" w:color="auto"/>
              <w:bottom w:val="single" w:sz="4" w:space="0" w:color="auto"/>
            </w:tcBorders>
            <w:shd w:val="clear" w:color="auto" w:fill="F3F9FA"/>
          </w:tcPr>
          <w:p w14:paraId="4CE0CA8B" w14:textId="279F8D10" w:rsidR="00480A09" w:rsidRDefault="00480A09" w:rsidP="00480A09">
            <w:pPr>
              <w:spacing w:after="0" w:line="200" w:lineRule="exact"/>
              <w:rPr>
                <w:sz w:val="18"/>
                <w:szCs w:val="18"/>
              </w:rPr>
            </w:pPr>
            <w:r>
              <w:rPr>
                <w:sz w:val="18"/>
                <w:szCs w:val="18"/>
              </w:rPr>
              <w:t>regional trend plots</w:t>
            </w:r>
          </w:p>
        </w:tc>
        <w:tc>
          <w:tcPr>
            <w:tcW w:w="2908" w:type="dxa"/>
            <w:tcBorders>
              <w:top w:val="single" w:sz="4" w:space="0" w:color="auto"/>
              <w:bottom w:val="single" w:sz="4" w:space="0" w:color="auto"/>
            </w:tcBorders>
            <w:shd w:val="clear" w:color="auto" w:fill="F3F9FA"/>
          </w:tcPr>
          <w:p w14:paraId="66C711C2" w14:textId="750C6EC6" w:rsidR="00480A09" w:rsidRDefault="00480A09" w:rsidP="000F37A2">
            <w:pPr>
              <w:spacing w:after="0" w:line="200" w:lineRule="exact"/>
              <w:rPr>
                <w:sz w:val="18"/>
                <w:szCs w:val="18"/>
              </w:rPr>
            </w:pPr>
            <w:r>
              <w:rPr>
                <w:sz w:val="18"/>
                <w:szCs w:val="18"/>
              </w:rPr>
              <w:t xml:space="preserve">MMP Water Quality (Waterhouse </w:t>
            </w:r>
            <w:r w:rsidRPr="008C0BCA">
              <w:rPr>
                <w:i/>
                <w:sz w:val="18"/>
                <w:szCs w:val="18"/>
              </w:rPr>
              <w:t>et al</w:t>
            </w:r>
            <w:r>
              <w:rPr>
                <w:sz w:val="18"/>
                <w:szCs w:val="18"/>
              </w:rPr>
              <w:t>. 2017)</w:t>
            </w:r>
          </w:p>
        </w:tc>
      </w:tr>
      <w:tr w:rsidR="00480A09" w:rsidRPr="00806669" w14:paraId="19AE735D" w14:textId="77777777" w:rsidTr="000E09B7">
        <w:trPr>
          <w:trHeight w:val="397"/>
          <w:jc w:val="center"/>
        </w:trPr>
        <w:tc>
          <w:tcPr>
            <w:tcW w:w="2358" w:type="dxa"/>
            <w:tcBorders>
              <w:top w:val="single" w:sz="4" w:space="0" w:color="auto"/>
              <w:bottom w:val="single" w:sz="4" w:space="0" w:color="auto"/>
            </w:tcBorders>
            <w:shd w:val="clear" w:color="auto" w:fill="F3F9FA"/>
          </w:tcPr>
          <w:p w14:paraId="36C11580" w14:textId="77777777" w:rsidR="00480A09" w:rsidRPr="00806669" w:rsidRDefault="00480A09" w:rsidP="00052B5C">
            <w:pPr>
              <w:spacing w:after="0" w:line="200" w:lineRule="exact"/>
              <w:ind w:left="176"/>
              <w:rPr>
                <w:sz w:val="18"/>
                <w:szCs w:val="18"/>
              </w:rPr>
            </w:pPr>
            <w:r w:rsidRPr="00806669">
              <w:rPr>
                <w:sz w:val="18"/>
                <w:szCs w:val="18"/>
              </w:rPr>
              <w:t xml:space="preserve">Sediment </w:t>
            </w:r>
            <w:r>
              <w:rPr>
                <w:sz w:val="18"/>
                <w:szCs w:val="18"/>
              </w:rPr>
              <w:t>grain size</w:t>
            </w:r>
          </w:p>
        </w:tc>
        <w:tc>
          <w:tcPr>
            <w:tcW w:w="1559" w:type="dxa"/>
            <w:tcBorders>
              <w:top w:val="single" w:sz="4" w:space="0" w:color="auto"/>
              <w:bottom w:val="single" w:sz="4" w:space="0" w:color="auto"/>
            </w:tcBorders>
            <w:shd w:val="clear" w:color="auto" w:fill="F3F9FA"/>
          </w:tcPr>
          <w:p w14:paraId="28629CAE" w14:textId="32883EB9" w:rsidR="00480A09" w:rsidRPr="00806669" w:rsidRDefault="00480A09" w:rsidP="000F37A2">
            <w:pPr>
              <w:spacing w:after="0" w:line="200" w:lineRule="exact"/>
              <w:rPr>
                <w:sz w:val="18"/>
                <w:szCs w:val="18"/>
              </w:rPr>
            </w:pPr>
            <w:r>
              <w:rPr>
                <w:sz w:val="18"/>
                <w:szCs w:val="18"/>
              </w:rPr>
              <w:t>2006</w:t>
            </w:r>
            <w:r w:rsidRPr="00806669">
              <w:rPr>
                <w:sz w:val="18"/>
                <w:szCs w:val="18"/>
              </w:rPr>
              <w:t xml:space="preserve"> – 201</w:t>
            </w:r>
            <w:r>
              <w:rPr>
                <w:sz w:val="18"/>
                <w:szCs w:val="18"/>
              </w:rPr>
              <w:t>6</w:t>
            </w:r>
          </w:p>
        </w:tc>
        <w:tc>
          <w:tcPr>
            <w:tcW w:w="3766" w:type="dxa"/>
            <w:tcBorders>
              <w:top w:val="single" w:sz="4" w:space="0" w:color="auto"/>
              <w:bottom w:val="single" w:sz="4" w:space="0" w:color="auto"/>
            </w:tcBorders>
            <w:shd w:val="clear" w:color="auto" w:fill="F3F9FA"/>
          </w:tcPr>
          <w:p w14:paraId="6A217622" w14:textId="7DDCD945" w:rsidR="00480A09" w:rsidRPr="00806669" w:rsidRDefault="00480A09" w:rsidP="00480A09">
            <w:pPr>
              <w:spacing w:after="0" w:line="200" w:lineRule="exact"/>
              <w:rPr>
                <w:sz w:val="18"/>
                <w:szCs w:val="18"/>
              </w:rPr>
            </w:pPr>
            <w:r>
              <w:rPr>
                <w:sz w:val="18"/>
                <w:szCs w:val="18"/>
              </w:rPr>
              <w:t>optical and sieve analysis of samples from coral sites</w:t>
            </w:r>
          </w:p>
        </w:tc>
        <w:tc>
          <w:tcPr>
            <w:tcW w:w="2152" w:type="dxa"/>
            <w:tcBorders>
              <w:top w:val="single" w:sz="4" w:space="0" w:color="auto"/>
              <w:bottom w:val="single" w:sz="4" w:space="0" w:color="auto"/>
            </w:tcBorders>
            <w:shd w:val="clear" w:color="auto" w:fill="F3F9FA"/>
          </w:tcPr>
          <w:p w14:paraId="20BDD5AA" w14:textId="00D1E4D8" w:rsidR="00480A09" w:rsidRPr="00806669" w:rsidRDefault="00480A09" w:rsidP="000F37A2">
            <w:pPr>
              <w:spacing w:after="0" w:line="200" w:lineRule="exact"/>
              <w:rPr>
                <w:sz w:val="18"/>
                <w:szCs w:val="18"/>
              </w:rPr>
            </w:pPr>
            <w:r>
              <w:rPr>
                <w:sz w:val="18"/>
                <w:szCs w:val="18"/>
              </w:rPr>
              <w:t>analysis covariate</w:t>
            </w:r>
          </w:p>
        </w:tc>
        <w:tc>
          <w:tcPr>
            <w:tcW w:w="2908" w:type="dxa"/>
            <w:tcBorders>
              <w:top w:val="single" w:sz="4" w:space="0" w:color="auto"/>
              <w:bottom w:val="single" w:sz="4" w:space="0" w:color="auto"/>
            </w:tcBorders>
            <w:shd w:val="clear" w:color="auto" w:fill="F3F9FA"/>
          </w:tcPr>
          <w:p w14:paraId="6934625D" w14:textId="5539F552" w:rsidR="00480A09" w:rsidRPr="00806669" w:rsidRDefault="00480A09" w:rsidP="000F37A2">
            <w:pPr>
              <w:spacing w:after="0" w:line="200" w:lineRule="exact"/>
              <w:rPr>
                <w:sz w:val="18"/>
                <w:szCs w:val="18"/>
              </w:rPr>
            </w:pPr>
            <w:r>
              <w:rPr>
                <w:sz w:val="18"/>
                <w:szCs w:val="18"/>
              </w:rPr>
              <w:t xml:space="preserve">MMP </w:t>
            </w:r>
            <w:r w:rsidRPr="00806669">
              <w:rPr>
                <w:sz w:val="18"/>
                <w:szCs w:val="18"/>
              </w:rPr>
              <w:t xml:space="preserve">Inshore </w:t>
            </w:r>
            <w:r>
              <w:rPr>
                <w:sz w:val="18"/>
                <w:szCs w:val="18"/>
              </w:rPr>
              <w:t>Coral</w:t>
            </w:r>
            <w:r w:rsidRPr="00806669">
              <w:rPr>
                <w:sz w:val="18"/>
                <w:szCs w:val="18"/>
              </w:rPr>
              <w:t xml:space="preserve"> monitoring</w:t>
            </w:r>
          </w:p>
        </w:tc>
      </w:tr>
    </w:tbl>
    <w:p w14:paraId="78FFEC84" w14:textId="77777777" w:rsidR="00F84112" w:rsidRDefault="00F84112" w:rsidP="005D259E">
      <w:pPr>
        <w:pStyle w:val="Heading2"/>
        <w:rPr>
          <w:b w:val="0"/>
          <w:bCs w:val="0"/>
        </w:rPr>
        <w:sectPr w:rsidR="00F84112" w:rsidSect="006D1A71">
          <w:pgSz w:w="16840" w:h="11907" w:orient="landscape" w:code="9"/>
          <w:pgMar w:top="1134" w:right="1440" w:bottom="1134" w:left="1134" w:header="709" w:footer="709" w:gutter="0"/>
          <w:cols w:space="708"/>
          <w:docGrid w:linePitch="360"/>
        </w:sectPr>
      </w:pPr>
    </w:p>
    <w:p w14:paraId="429A848E" w14:textId="63106A9C" w:rsidR="005D259E" w:rsidRPr="00BD5711" w:rsidRDefault="00056F6C" w:rsidP="005D259E">
      <w:pPr>
        <w:pStyle w:val="Heading2"/>
      </w:pPr>
      <w:bookmarkStart w:id="74" w:name="_Toc491847360"/>
      <w:bookmarkStart w:id="75" w:name="_Toc493153304"/>
      <w:r>
        <w:t>4.4</w:t>
      </w:r>
      <w:r w:rsidR="005D259E" w:rsidRPr="00BD5711">
        <w:t xml:space="preserve"> Pressure presentation</w:t>
      </w:r>
      <w:bookmarkEnd w:id="74"/>
      <w:bookmarkEnd w:id="75"/>
    </w:p>
    <w:p w14:paraId="5338DC95" w14:textId="59012A05" w:rsidR="005D259E" w:rsidRPr="002D1D34" w:rsidRDefault="00C0218D" w:rsidP="005D259E">
      <w:pPr>
        <w:pStyle w:val="ListParagraph"/>
        <w:numPr>
          <w:ilvl w:val="0"/>
          <w:numId w:val="21"/>
        </w:numPr>
        <w:ind w:left="360"/>
        <w:rPr>
          <w:color w:val="4F81BD" w:themeColor="accent1"/>
        </w:rPr>
      </w:pPr>
      <w:r>
        <w:t xml:space="preserve">The most tangible immediate effect of disturbances to coral communities is the loss of coral cover. A summary of disturbance history within each (sub-)region </w:t>
      </w:r>
      <w:r w:rsidR="0045315F">
        <w:t xml:space="preserve">is presented as </w:t>
      </w:r>
      <w:r>
        <w:t>bar</w:t>
      </w:r>
      <w:r w:rsidR="00056F6C">
        <w:t xml:space="preserve"> </w:t>
      </w:r>
      <w:r>
        <w:t xml:space="preserve">plots of annual </w:t>
      </w:r>
      <w:r w:rsidR="0045315F">
        <w:t xml:space="preserve">hard </w:t>
      </w:r>
      <w:r>
        <w:t>coral cover loss</w:t>
      </w:r>
      <w:r w:rsidR="0045315F">
        <w:t>.</w:t>
      </w:r>
      <w:r w:rsidR="005D259E">
        <w:t xml:space="preserve">. The height of the bar represents the </w:t>
      </w:r>
      <w:r w:rsidR="005D259E" w:rsidRPr="000F6A99">
        <w:t>mean coral cover lost across all 2</w:t>
      </w:r>
      <w:r w:rsidR="00C37DA8">
        <w:t xml:space="preserve"> </w:t>
      </w:r>
      <w:r w:rsidR="005D259E" w:rsidRPr="000F6A99">
        <w:t>m and 5</w:t>
      </w:r>
      <w:r w:rsidR="00C37DA8">
        <w:t xml:space="preserve"> </w:t>
      </w:r>
      <w:r w:rsidR="005D259E" w:rsidRPr="000F6A99">
        <w:t>m sites within a region</w:t>
      </w:r>
      <w:r>
        <w:t>.</w:t>
      </w:r>
      <w:r w:rsidR="00056F6C">
        <w:t xml:space="preserve"> </w:t>
      </w:r>
      <w:r>
        <w:t xml:space="preserve">Bars are segmented based on the </w:t>
      </w:r>
      <w:r w:rsidR="005D259E">
        <w:t xml:space="preserve">proportion of loss </w:t>
      </w:r>
      <w:r>
        <w:t>attributed</w:t>
      </w:r>
      <w:r w:rsidR="005D259E">
        <w:t xml:space="preserve"> </w:t>
      </w:r>
      <w:r>
        <w:t xml:space="preserve">to different </w:t>
      </w:r>
      <w:r w:rsidR="005D259E">
        <w:t>disturbance type</w:t>
      </w:r>
      <w:r>
        <w:t>s</w:t>
      </w:r>
      <w:r w:rsidR="005D259E" w:rsidRPr="000F6A99">
        <w:t>. For each observation of hard coral cover at a reef and depth</w:t>
      </w:r>
      <w:r w:rsidR="00C37DA8">
        <w:t>,</w:t>
      </w:r>
      <w:r w:rsidR="005D259E" w:rsidRPr="000F6A99">
        <w:t xml:space="preserve"> the observation was categorised </w:t>
      </w:r>
      <w:r>
        <w:t>(</w:t>
      </w:r>
      <w:r w:rsidR="00296011">
        <w:fldChar w:fldCharType="begin"/>
      </w:r>
      <w:r w:rsidR="00296011">
        <w:instrText xml:space="preserve"> REF _Ref491154800 \h </w:instrText>
      </w:r>
      <w:r w:rsidR="00296011">
        <w:fldChar w:fldCharType="separate"/>
      </w:r>
      <w:r w:rsidR="00D806F2">
        <w:t xml:space="preserve">Table </w:t>
      </w:r>
      <w:r w:rsidR="00D806F2">
        <w:rPr>
          <w:noProof/>
        </w:rPr>
        <w:t>3</w:t>
      </w:r>
      <w:r w:rsidR="00296011">
        <w:fldChar w:fldCharType="end"/>
      </w:r>
      <w:r>
        <w:t xml:space="preserve">) </w:t>
      </w:r>
      <w:r w:rsidR="005D259E" w:rsidRPr="000F6A99">
        <w:t>by any disturbance that had impacted the reef since the previous observation and the coral</w:t>
      </w:r>
      <w:r w:rsidR="005D259E">
        <w:t xml:space="preserve"> cover lost calculated as: </w:t>
      </w:r>
    </w:p>
    <w:p w14:paraId="477322F6" w14:textId="17FECDE9" w:rsidR="005D259E" w:rsidRDefault="005D259E" w:rsidP="005D259E">
      <w:pPr>
        <w:pStyle w:val="ListParagraph"/>
        <w:ind w:left="360"/>
      </w:pPr>
      <w:r w:rsidRPr="000F6A99">
        <w:br/>
      </w:r>
      <m:oMathPara>
        <m:oMath>
          <m:r>
            <w:rPr>
              <w:rFonts w:ascii="Cambria Math" w:hAnsi="Cambria Math"/>
            </w:rPr>
            <m:t>Loss</m:t>
          </m:r>
          <m:r>
            <m:rPr>
              <m:sty m:val="p"/>
            </m:rPr>
            <w:rPr>
              <w:rFonts w:ascii="Cambria Math" w:hAnsi="Cambria Math"/>
            </w:rPr>
            <m:t xml:space="preserve">= </m:t>
          </m:r>
          <m:r>
            <w:rPr>
              <w:rFonts w:ascii="Cambria Math" w:hAnsi="Cambria Math"/>
            </w:rPr>
            <m:t>predicted</m:t>
          </m:r>
          <m:r>
            <m:rPr>
              <m:sty m:val="p"/>
            </m:rPr>
            <w:rPr>
              <w:rFonts w:ascii="Cambria Math" w:hAnsi="Cambria Math"/>
            </w:rPr>
            <m:t>-</m:t>
          </m:r>
          <m:r>
            <w:rPr>
              <w:rFonts w:ascii="Cambria Math" w:hAnsi="Cambria Math"/>
            </w:rPr>
            <m:t xml:space="preserve"> observed</m:t>
          </m:r>
          <m:r>
            <m:rPr>
              <m:sty m:val="p"/>
            </m:rPr>
            <w:rPr>
              <w:rFonts w:ascii="Cambria Math" w:hAnsi="Cambria Math"/>
            </w:rPr>
            <w:br/>
          </m:r>
        </m:oMath>
      </m:oMathPara>
      <w:r>
        <w:rPr>
          <w:rFonts w:ascii="Cambria Math" w:hAnsi="Cambria Math"/>
        </w:rPr>
        <w:br/>
      </w:r>
      <m:oMath>
        <m:r>
          <m:rPr>
            <m:sty m:val="p"/>
          </m:rPr>
          <w:rPr>
            <w:rFonts w:ascii="Cambria Math" w:hAnsi="Cambria Math"/>
          </w:rPr>
          <m:t>w</m:t>
        </m:r>
      </m:oMath>
      <w:r w:rsidRPr="000F6A99">
        <w:t xml:space="preserve">here; </w:t>
      </w:r>
      <w:r w:rsidRPr="00795CC0">
        <w:rPr>
          <w:i/>
        </w:rPr>
        <w:t>observed</w:t>
      </w:r>
      <w:r w:rsidRPr="000F6A99">
        <w:t xml:space="preserve"> is the hard coral cover observed, and </w:t>
      </w:r>
      <w:r w:rsidRPr="00795CC0">
        <w:rPr>
          <w:i/>
        </w:rPr>
        <w:t>predicted</w:t>
      </w:r>
      <w:r w:rsidRPr="000F6A99">
        <w:t xml:space="preserve"> was the coral cover predicted from the application of the coral growth model</w:t>
      </w:r>
      <w:r w:rsidR="00AA72A3">
        <w:t>s</w:t>
      </w:r>
      <w:r w:rsidRPr="000F6A99">
        <w:t xml:space="preserve"> described </w:t>
      </w:r>
      <w:r>
        <w:t xml:space="preserve">for </w:t>
      </w:r>
      <w:r w:rsidR="00296011">
        <w:t>the Cover Change metric</w:t>
      </w:r>
      <w:r w:rsidRPr="000F6A99">
        <w:t xml:space="preserve"> </w:t>
      </w:r>
      <w:r w:rsidR="00296011">
        <w:t>(</w:t>
      </w:r>
      <w:r w:rsidRPr="00296011">
        <w:t>Section 4.</w:t>
      </w:r>
      <w:r w:rsidR="00296011" w:rsidRPr="00296011">
        <w:t>7</w:t>
      </w:r>
      <w:r w:rsidRPr="00296011">
        <w:t>.4</w:t>
      </w:r>
      <w:r w:rsidR="00296011" w:rsidRPr="00296011">
        <w:t>)</w:t>
      </w:r>
      <w:r w:rsidRPr="00296011">
        <w:t>.</w:t>
      </w:r>
      <w:r w:rsidRPr="000F6A99">
        <w:t xml:space="preserve"> The </w:t>
      </w:r>
      <w:r>
        <w:t xml:space="preserve">proportion of </w:t>
      </w:r>
      <w:r w:rsidRPr="000F6A99">
        <w:t xml:space="preserve">mean </w:t>
      </w:r>
      <w:r>
        <w:t xml:space="preserve">coral </w:t>
      </w:r>
      <w:r w:rsidRPr="000F6A99">
        <w:t>cover lost per year per region</w:t>
      </w:r>
      <w:r>
        <w:t xml:space="preserve"> for each disturbance type</w:t>
      </w:r>
      <w:r w:rsidRPr="000F6A99">
        <w:t xml:space="preserve"> </w:t>
      </w:r>
      <w:r>
        <w:t>is</w:t>
      </w:r>
      <w:r w:rsidRPr="000F6A99">
        <w:t xml:space="preserve"> </w:t>
      </w:r>
      <w:r>
        <w:t>subsequently calculated as:</w:t>
      </w:r>
    </w:p>
    <w:p w14:paraId="27110140" w14:textId="77777777" w:rsidR="005D259E" w:rsidRDefault="005D259E" w:rsidP="005D259E">
      <w:pPr>
        <w:pStyle w:val="ListParagraph"/>
        <w:ind w:left="360"/>
      </w:pPr>
    </w:p>
    <w:p w14:paraId="5269AB79" w14:textId="77777777" w:rsidR="005D259E" w:rsidRPr="00332B32" w:rsidRDefault="005D259E" w:rsidP="005D259E">
      <w:pPr>
        <w:pStyle w:val="ListParagraph"/>
        <w:ind w:left="360"/>
      </w:pPr>
      <m:oMathPara>
        <m:oMath>
          <m:r>
            <w:rPr>
              <w:rFonts w:ascii="Cambria Math" w:hAnsi="Cambria Math"/>
            </w:rPr>
            <m:t>proportional Loss=(</m:t>
          </m:r>
          <m:f>
            <m:fPr>
              <m:ctrlPr>
                <w:rPr>
                  <w:rFonts w:ascii="Cambria Math" w:hAnsi="Cambria Math"/>
                  <w:i/>
                </w:rPr>
              </m:ctrlPr>
            </m:fPr>
            <m:num>
              <m:r>
                <w:rPr>
                  <w:rFonts w:ascii="Cambria Math" w:hAnsi="Cambria Math"/>
                </w:rPr>
                <m:t>Loss</m:t>
              </m:r>
            </m:num>
            <m:den>
              <m:r>
                <w:rPr>
                  <w:rFonts w:ascii="Cambria Math" w:hAnsi="Cambria Math"/>
                </w:rPr>
                <m:t>∑</m:t>
              </m:r>
              <m:sSub>
                <m:sSubPr>
                  <m:ctrlPr>
                    <w:rPr>
                      <w:rFonts w:ascii="Cambria Math" w:hAnsi="Cambria Math"/>
                      <w:i/>
                    </w:rPr>
                  </m:ctrlPr>
                </m:sSubPr>
                <m:e>
                  <m:r>
                    <w:rPr>
                      <w:rFonts w:ascii="Cambria Math" w:hAnsi="Cambria Math"/>
                    </w:rPr>
                    <m:t>Loss</m:t>
                  </m:r>
                </m:e>
                <m:sub>
                  <m:r>
                    <w:rPr>
                      <w:rFonts w:ascii="Cambria Math" w:hAnsi="Cambria Math"/>
                    </w:rPr>
                    <m:t>r</m:t>
                  </m:r>
                </m:sub>
              </m:sSub>
            </m:den>
          </m:f>
          <m:r>
            <w:rPr>
              <w:rFonts w:ascii="Cambria Math" w:hAnsi="Cambria Math"/>
            </w:rPr>
            <m:t>)×mean(</m:t>
          </m:r>
          <m:sSub>
            <m:sSubPr>
              <m:ctrlPr>
                <w:rPr>
                  <w:rFonts w:ascii="Cambria Math" w:hAnsi="Cambria Math"/>
                  <w:i/>
                </w:rPr>
              </m:ctrlPr>
            </m:sSubPr>
            <m:e>
              <m:r>
                <w:rPr>
                  <w:rFonts w:ascii="Cambria Math" w:hAnsi="Cambria Math"/>
                </w:rPr>
                <m:t>Loss</m:t>
              </m:r>
            </m:e>
            <m:sub>
              <m:r>
                <w:rPr>
                  <w:rFonts w:ascii="Cambria Math" w:hAnsi="Cambria Math"/>
                </w:rPr>
                <m:t>r</m:t>
              </m:r>
            </m:sub>
          </m:sSub>
          <m:r>
            <w:rPr>
              <w:rFonts w:ascii="Cambria Math" w:hAnsi="Cambria Math"/>
            </w:rPr>
            <m:t>)</m:t>
          </m:r>
        </m:oMath>
      </m:oMathPara>
    </w:p>
    <w:p w14:paraId="3AE415C7" w14:textId="77777777" w:rsidR="005D259E" w:rsidRDefault="005D259E" w:rsidP="005D259E">
      <w:pPr>
        <w:pStyle w:val="ListParagraph"/>
        <w:ind w:left="360"/>
      </w:pPr>
    </w:p>
    <w:p w14:paraId="5B243E72" w14:textId="3DAC6650" w:rsidR="005D259E" w:rsidRDefault="005D259E" w:rsidP="005D259E">
      <w:pPr>
        <w:pStyle w:val="ListParagraph"/>
        <w:ind w:left="360"/>
      </w:pPr>
      <w:r>
        <w:t xml:space="preserve">where; </w:t>
      </w:r>
      <w:r>
        <w:rPr>
          <w:i/>
        </w:rPr>
        <w:t>Loss</w:t>
      </w:r>
      <w:r>
        <w:rPr>
          <w:i/>
          <w:vertAlign w:val="subscript"/>
        </w:rPr>
        <w:t>r</w:t>
      </w:r>
      <w:r>
        <w:rPr>
          <w:i/>
        </w:rPr>
        <w:t xml:space="preserve"> </w:t>
      </w:r>
      <w:r>
        <w:t>is the overall mean cover lost withi</w:t>
      </w:r>
      <w:r w:rsidR="00296011">
        <w:t xml:space="preserve">n each region and </w:t>
      </w:r>
      <w:r>
        <w:t>year combination.</w:t>
      </w:r>
      <w:r>
        <w:rPr>
          <w:i/>
        </w:rPr>
        <w:t xml:space="preserve"> </w:t>
      </w:r>
      <w:r w:rsidRPr="000F6A99">
        <w:t>It is important to note that</w:t>
      </w:r>
      <w:r w:rsidR="00AA72A3">
        <w:t>,</w:t>
      </w:r>
      <w:r w:rsidRPr="000F6A99">
        <w:t xml:space="preserve"> for each loss attributed to a specific disturbance any cumulative impact of water quality is implicitly included. For reference among regions the y axis of each plot was scaled to the maximum mean hard coral cover loss observed across regions in a </w:t>
      </w:r>
      <w:r w:rsidR="00AA72A3">
        <w:t>single</w:t>
      </w:r>
      <w:r w:rsidRPr="000F6A99">
        <w:t xml:space="preserve"> year (</w:t>
      </w:r>
      <w:r>
        <w:t>22</w:t>
      </w:r>
      <w:r w:rsidRPr="000F6A99">
        <w:t xml:space="preserve">% loss of coral cover within the </w:t>
      </w:r>
      <w:r>
        <w:t>Tully</w:t>
      </w:r>
      <w:r w:rsidRPr="000F6A99">
        <w:t xml:space="preserve"> region in 2011).</w:t>
      </w:r>
      <w:r>
        <w:t xml:space="preserve"> Only observations from MMP reefs are included </w:t>
      </w:r>
      <w:r w:rsidR="0030466B">
        <w:t xml:space="preserve">as </w:t>
      </w:r>
      <w:r>
        <w:t xml:space="preserve">reefs are revisited following expected disturbances irrespective of the underlying biennial sampling design. </w:t>
      </w:r>
    </w:p>
    <w:p w14:paraId="77000DD6" w14:textId="25383ECB" w:rsidR="00296011" w:rsidRDefault="00E75F5C" w:rsidP="00296011">
      <w:pPr>
        <w:pStyle w:val="Caption"/>
        <w:rPr>
          <w:rFonts w:ascii="Arial" w:eastAsia="Times New Roman" w:hAnsi="Arial"/>
          <w:sz w:val="22"/>
          <w:lang w:eastAsia="en-GB"/>
        </w:rPr>
      </w:pPr>
      <w:r>
        <w:rPr>
          <w:rFonts w:ascii="Arial" w:eastAsia="Times New Roman" w:hAnsi="Arial"/>
          <w:sz w:val="22"/>
          <w:lang w:eastAsia="en-GB"/>
        </w:rPr>
        <w:t xml:space="preserve"> </w:t>
      </w:r>
      <w:r w:rsidR="005D259E">
        <w:rPr>
          <w:rFonts w:ascii="Arial" w:eastAsia="Times New Roman" w:hAnsi="Arial"/>
          <w:sz w:val="22"/>
          <w:lang w:eastAsia="en-GB"/>
        </w:rPr>
        <w:t xml:space="preserve"> </w:t>
      </w:r>
      <w:bookmarkStart w:id="76" w:name="_Ref491154800"/>
      <w:bookmarkStart w:id="77" w:name="_Toc491847022"/>
      <w:r w:rsidR="00296011">
        <w:t xml:space="preserve">Table </w:t>
      </w:r>
      <w:r w:rsidR="00296011">
        <w:fldChar w:fldCharType="begin"/>
      </w:r>
      <w:r w:rsidR="00296011">
        <w:instrText xml:space="preserve"> SEQ Table \* ARABIC </w:instrText>
      </w:r>
      <w:r w:rsidR="00296011">
        <w:fldChar w:fldCharType="separate"/>
      </w:r>
      <w:r w:rsidR="00D806F2">
        <w:rPr>
          <w:noProof/>
        </w:rPr>
        <w:t>3</w:t>
      </w:r>
      <w:r w:rsidR="00296011">
        <w:fldChar w:fldCharType="end"/>
      </w:r>
      <w:bookmarkEnd w:id="76"/>
      <w:r w:rsidR="00296011">
        <w:t xml:space="preserve"> </w:t>
      </w:r>
      <w:r w:rsidR="00296011" w:rsidRPr="00A72300">
        <w:t>Categorisation of disturbances</w:t>
      </w:r>
      <w:bookmarkEnd w:id="77"/>
    </w:p>
    <w:tbl>
      <w:tblPr>
        <w:tblStyle w:val="TableGrid"/>
        <w:tblW w:w="0" w:type="auto"/>
        <w:tblInd w:w="360" w:type="dxa"/>
        <w:tblLook w:val="04A0" w:firstRow="1" w:lastRow="0" w:firstColumn="1" w:lastColumn="0" w:noHBand="0" w:noVBand="1"/>
      </w:tblPr>
      <w:tblGrid>
        <w:gridCol w:w="2261"/>
        <w:gridCol w:w="7008"/>
      </w:tblGrid>
      <w:tr w:rsidR="005D259E" w:rsidRPr="000F6A99" w14:paraId="761B1121" w14:textId="77777777" w:rsidTr="00296011">
        <w:trPr>
          <w:trHeight w:val="286"/>
        </w:trPr>
        <w:tc>
          <w:tcPr>
            <w:tcW w:w="2261" w:type="dxa"/>
          </w:tcPr>
          <w:p w14:paraId="7ABC23FF" w14:textId="77777777" w:rsidR="005D259E" w:rsidRPr="000F6A99" w:rsidRDefault="005D259E" w:rsidP="00052B5C">
            <w:pPr>
              <w:pStyle w:val="ListParagraph"/>
              <w:ind w:left="0"/>
            </w:pPr>
            <w:r w:rsidRPr="000F6A99">
              <w:t>Bleaching</w:t>
            </w:r>
          </w:p>
        </w:tc>
        <w:tc>
          <w:tcPr>
            <w:tcW w:w="7008" w:type="dxa"/>
          </w:tcPr>
          <w:p w14:paraId="1EBDE586" w14:textId="77777777" w:rsidR="005D259E" w:rsidRPr="000F6A99" w:rsidRDefault="005D259E" w:rsidP="00052B5C">
            <w:pPr>
              <w:pStyle w:val="ListParagraph"/>
              <w:ind w:left="0"/>
            </w:pPr>
            <w:r w:rsidRPr="000F6A99">
              <w:t>Greater than 60 degree heating days (see temperature figure description below) in the region during the preceding summer with observations of coral bleaching also considered.</w:t>
            </w:r>
          </w:p>
        </w:tc>
      </w:tr>
      <w:tr w:rsidR="005D259E" w:rsidRPr="000F6A99" w14:paraId="12BD5A03" w14:textId="77777777" w:rsidTr="00296011">
        <w:tc>
          <w:tcPr>
            <w:tcW w:w="2261" w:type="dxa"/>
          </w:tcPr>
          <w:p w14:paraId="076D1BD3" w14:textId="77777777" w:rsidR="005D259E" w:rsidRPr="000F6A99" w:rsidRDefault="005D259E" w:rsidP="00052B5C">
            <w:pPr>
              <w:pStyle w:val="ListParagraph"/>
              <w:ind w:left="0"/>
            </w:pPr>
            <w:r w:rsidRPr="000F6A99">
              <w:t>COTS</w:t>
            </w:r>
          </w:p>
        </w:tc>
        <w:tc>
          <w:tcPr>
            <w:tcW w:w="7008" w:type="dxa"/>
          </w:tcPr>
          <w:p w14:paraId="7FD11270" w14:textId="77777777" w:rsidR="005D259E" w:rsidRPr="000F6A99" w:rsidRDefault="005D259E" w:rsidP="00052B5C">
            <w:pPr>
              <w:pStyle w:val="ListParagraph"/>
              <w:ind w:left="0"/>
            </w:pPr>
            <w:r w:rsidRPr="000F6A99">
              <w:t>SCUBA search revealing &gt; 40 ha</w:t>
            </w:r>
            <w:r w:rsidRPr="000F6A99">
              <w:rPr>
                <w:vertAlign w:val="superscript"/>
              </w:rPr>
              <w:t>-1</w:t>
            </w:r>
            <w:r w:rsidRPr="000F6A99">
              <w:t xml:space="preserve"> density of crown-of-thorns during present or previous survey of the reef</w:t>
            </w:r>
          </w:p>
        </w:tc>
      </w:tr>
      <w:tr w:rsidR="005D259E" w:rsidRPr="000F6A99" w14:paraId="346C9119" w14:textId="77777777" w:rsidTr="00296011">
        <w:tc>
          <w:tcPr>
            <w:tcW w:w="2261" w:type="dxa"/>
          </w:tcPr>
          <w:p w14:paraId="0532DA5E" w14:textId="77777777" w:rsidR="005D259E" w:rsidRPr="000F6A99" w:rsidRDefault="005D259E" w:rsidP="00052B5C">
            <w:pPr>
              <w:pStyle w:val="ListParagraph"/>
              <w:ind w:left="0"/>
            </w:pPr>
            <w:r w:rsidRPr="000F6A99">
              <w:t>Disease</w:t>
            </w:r>
          </w:p>
        </w:tc>
        <w:tc>
          <w:tcPr>
            <w:tcW w:w="7008" w:type="dxa"/>
          </w:tcPr>
          <w:p w14:paraId="0AF0013F" w14:textId="77777777" w:rsidR="005D259E" w:rsidRPr="000F6A99" w:rsidRDefault="005D259E" w:rsidP="00052B5C">
            <w:pPr>
              <w:pStyle w:val="ListParagraph"/>
              <w:ind w:left="0"/>
            </w:pPr>
            <w:r w:rsidRPr="000F6A99">
              <w:t>SCUBA search revealing above median incidence of coral disease during present or previous survey of the reef coinciding with decline in coral cover</w:t>
            </w:r>
          </w:p>
        </w:tc>
      </w:tr>
      <w:tr w:rsidR="005D259E" w:rsidRPr="000F6A99" w14:paraId="519D34FF" w14:textId="77777777" w:rsidTr="00296011">
        <w:tc>
          <w:tcPr>
            <w:tcW w:w="2261" w:type="dxa"/>
          </w:tcPr>
          <w:p w14:paraId="4407434C" w14:textId="77777777" w:rsidR="005D259E" w:rsidRPr="000F6A99" w:rsidRDefault="005D259E" w:rsidP="00052B5C">
            <w:pPr>
              <w:pStyle w:val="ListParagraph"/>
              <w:ind w:left="0"/>
            </w:pPr>
            <w:r w:rsidRPr="000F6A99">
              <w:t>Flood</w:t>
            </w:r>
          </w:p>
        </w:tc>
        <w:tc>
          <w:tcPr>
            <w:tcW w:w="7008" w:type="dxa"/>
          </w:tcPr>
          <w:p w14:paraId="65ADA4EE" w14:textId="77777777" w:rsidR="005D259E" w:rsidRPr="000F6A99" w:rsidRDefault="005D259E" w:rsidP="00052B5C">
            <w:pPr>
              <w:pStyle w:val="ListParagraph"/>
              <w:ind w:left="0"/>
            </w:pPr>
            <w:r w:rsidRPr="000F6A99">
              <w:t>Loss of cover coinciding with flooding in the preceding summer. Reserved for instances where exposure to low salinity can reasonably be inferred. An exception was classification of a flood effect in the Whitsundays region based on high levels of sediment deposition to corals. This classification has been retained for historical reasons and would not be classified as a flood effect under the current criteria</w:t>
            </w:r>
          </w:p>
        </w:tc>
      </w:tr>
      <w:tr w:rsidR="005D259E" w:rsidRPr="000F6A99" w14:paraId="3BDDDAC4" w14:textId="77777777" w:rsidTr="00296011">
        <w:tc>
          <w:tcPr>
            <w:tcW w:w="2261" w:type="dxa"/>
          </w:tcPr>
          <w:p w14:paraId="1707021E" w14:textId="77777777" w:rsidR="005D259E" w:rsidRPr="000F6A99" w:rsidRDefault="005D259E" w:rsidP="00052B5C">
            <w:pPr>
              <w:pStyle w:val="ListParagraph"/>
              <w:ind w:left="0"/>
            </w:pPr>
            <w:r w:rsidRPr="000F6A99">
              <w:t>Storm</w:t>
            </w:r>
          </w:p>
        </w:tc>
        <w:tc>
          <w:tcPr>
            <w:tcW w:w="7008" w:type="dxa"/>
          </w:tcPr>
          <w:p w14:paraId="02E8E675" w14:textId="77777777" w:rsidR="005D259E" w:rsidRPr="000F6A99" w:rsidRDefault="005D259E" w:rsidP="00052B5C">
            <w:pPr>
              <w:pStyle w:val="ListParagraph"/>
              <w:ind w:left="0"/>
            </w:pPr>
            <w:r w:rsidRPr="000F6A99">
              <w:t>Observations of physical damage to corals during survey that can reasonably be attributable to a storm or cyclone event based nature of damage and the proximity of the reef to storm or cyclone paths.</w:t>
            </w:r>
          </w:p>
        </w:tc>
      </w:tr>
      <w:tr w:rsidR="005D259E" w:rsidRPr="000F6A99" w14:paraId="6B67EB37" w14:textId="77777777" w:rsidTr="00296011">
        <w:tc>
          <w:tcPr>
            <w:tcW w:w="2261" w:type="dxa"/>
          </w:tcPr>
          <w:p w14:paraId="491E56E3" w14:textId="77777777" w:rsidR="005D259E" w:rsidRPr="000F6A99" w:rsidRDefault="005D259E" w:rsidP="00052B5C">
            <w:pPr>
              <w:pStyle w:val="ListParagraph"/>
              <w:ind w:left="0"/>
            </w:pPr>
            <w:r w:rsidRPr="000F6A99">
              <w:t>Multiple</w:t>
            </w:r>
          </w:p>
        </w:tc>
        <w:tc>
          <w:tcPr>
            <w:tcW w:w="7008" w:type="dxa"/>
          </w:tcPr>
          <w:p w14:paraId="2BF83076" w14:textId="77777777" w:rsidR="005D259E" w:rsidRPr="000F6A99" w:rsidRDefault="005D259E" w:rsidP="00052B5C">
            <w:pPr>
              <w:pStyle w:val="ListParagraph"/>
              <w:ind w:left="0"/>
            </w:pPr>
            <w:r w:rsidRPr="000F6A99">
              <w:t>When a combination of the above occur</w:t>
            </w:r>
          </w:p>
        </w:tc>
      </w:tr>
      <w:tr w:rsidR="005D259E" w:rsidRPr="000F6A99" w14:paraId="510EDA61" w14:textId="77777777" w:rsidTr="00296011">
        <w:tc>
          <w:tcPr>
            <w:tcW w:w="2261" w:type="dxa"/>
          </w:tcPr>
          <w:p w14:paraId="0CB7A0B5" w14:textId="77777777" w:rsidR="005D259E" w:rsidRPr="000F6A99" w:rsidRDefault="005D259E" w:rsidP="00052B5C">
            <w:pPr>
              <w:pStyle w:val="ListParagraph"/>
              <w:ind w:left="0"/>
            </w:pPr>
            <w:r>
              <w:t>Chronic</w:t>
            </w:r>
          </w:p>
        </w:tc>
        <w:tc>
          <w:tcPr>
            <w:tcW w:w="7008" w:type="dxa"/>
          </w:tcPr>
          <w:p w14:paraId="7B9CFFD0" w14:textId="77777777" w:rsidR="005D259E" w:rsidRPr="000F6A99" w:rsidRDefault="005D259E" w:rsidP="00052B5C">
            <w:pPr>
              <w:pStyle w:val="ListParagraph"/>
              <w:ind w:left="0"/>
            </w:pPr>
            <w:r w:rsidRPr="000F6A99">
              <w:t xml:space="preserve">In years that no acute disturbance was recorded a </w:t>
            </w:r>
            <w:r w:rsidRPr="000F6A99">
              <w:rPr>
                <w:i/>
              </w:rPr>
              <w:t>Loss</w:t>
            </w:r>
            <w:r w:rsidRPr="000F6A99">
              <w:t xml:space="preserve"> was recorded when </w:t>
            </w:r>
            <w:r w:rsidRPr="000F6A99">
              <w:rPr>
                <w:i/>
              </w:rPr>
              <w:t>observed</w:t>
            </w:r>
            <w:r w:rsidRPr="000F6A99">
              <w:t xml:space="preserve"> hard coral cover fell below the </w:t>
            </w:r>
            <w:r w:rsidRPr="000F6A99">
              <w:rPr>
                <w:i/>
              </w:rPr>
              <w:t>predicted</w:t>
            </w:r>
            <w:r w:rsidRPr="000F6A99">
              <w:t xml:space="preserve"> cover and these losses classified as disturbance type ‘</w:t>
            </w:r>
            <w:r>
              <w:t>Chronic</w:t>
            </w:r>
            <w:r w:rsidRPr="000F6A99">
              <w:t xml:space="preserve">’. This categorisation will include the cumulative impacts of minor exposure to any of the above disturbances along with chronic environmental conditions. Importantly as estimates for each disturbance are a mean and the disturbance categorisation </w:t>
            </w:r>
            <w:r>
              <w:t>“Chronic”</w:t>
            </w:r>
            <w:r w:rsidRPr="000F6A99">
              <w:t xml:space="preserve"> includes all non-disturbance observations any proportion of loss attributed to this category represents a mean under performance in rate of cover increase for reefs not subject to an acute disturbance.</w:t>
            </w:r>
          </w:p>
        </w:tc>
      </w:tr>
    </w:tbl>
    <w:p w14:paraId="41DC92FB" w14:textId="77777777" w:rsidR="005D259E" w:rsidRPr="0024684D" w:rsidRDefault="005D259E" w:rsidP="005D259E">
      <w:pPr>
        <w:pStyle w:val="ListParagraph"/>
        <w:ind w:left="360"/>
        <w:rPr>
          <w:color w:val="000000" w:themeColor="text1"/>
        </w:rPr>
      </w:pPr>
    </w:p>
    <w:p w14:paraId="11EA8F1D" w14:textId="3219F989" w:rsidR="00954B71" w:rsidRPr="00381F62" w:rsidRDefault="00056F6C" w:rsidP="00DD6D82">
      <w:pPr>
        <w:pStyle w:val="Heading2"/>
      </w:pPr>
      <w:bookmarkStart w:id="78" w:name="_Toc491847361"/>
      <w:bookmarkStart w:id="79" w:name="_Toc493153305"/>
      <w:r>
        <w:t>4.5</w:t>
      </w:r>
      <w:r w:rsidR="006E5CD3">
        <w:t xml:space="preserve"> </w:t>
      </w:r>
      <w:r w:rsidR="005A0E43" w:rsidRPr="00381F62">
        <w:t>Coral community s</w:t>
      </w:r>
      <w:r w:rsidR="00954B71" w:rsidRPr="00381F62">
        <w:t>ampling</w:t>
      </w:r>
      <w:bookmarkEnd w:id="78"/>
      <w:bookmarkEnd w:id="79"/>
    </w:p>
    <w:p w14:paraId="11EA8F1E" w14:textId="68D4F898" w:rsidR="00944204" w:rsidRDefault="0025408E" w:rsidP="00944204">
      <w:r w:rsidRPr="00381F62">
        <w:t>T</w:t>
      </w:r>
      <w:r>
        <w:t>wo</w:t>
      </w:r>
      <w:r w:rsidRPr="00381F62">
        <w:t xml:space="preserve"> </w:t>
      </w:r>
      <w:r w:rsidR="00944204" w:rsidRPr="00381F62">
        <w:t>sampling methodologies were used to describe the benthic communities of inshore coral reefs (</w:t>
      </w:r>
      <w:r w:rsidR="00296011">
        <w:fldChar w:fldCharType="begin"/>
      </w:r>
      <w:r w:rsidR="00296011">
        <w:instrText xml:space="preserve"> REF _Ref491155053 \h </w:instrText>
      </w:r>
      <w:r w:rsidR="00296011">
        <w:fldChar w:fldCharType="separate"/>
      </w:r>
      <w:r w:rsidR="00D806F2">
        <w:t xml:space="preserve">Table </w:t>
      </w:r>
      <w:r w:rsidR="00D806F2">
        <w:rPr>
          <w:noProof/>
        </w:rPr>
        <w:t>4</w:t>
      </w:r>
      <w:r w:rsidR="00296011">
        <w:fldChar w:fldCharType="end"/>
      </w:r>
      <w:r w:rsidR="00944204" w:rsidRPr="00381F62">
        <w:t xml:space="preserve">). </w:t>
      </w:r>
    </w:p>
    <w:p w14:paraId="1B609BA1" w14:textId="5FF3692C" w:rsidR="00296011" w:rsidRPr="00381F62" w:rsidRDefault="00296011" w:rsidP="00296011">
      <w:pPr>
        <w:pStyle w:val="Caption"/>
      </w:pPr>
      <w:bookmarkStart w:id="80" w:name="_Ref491155053"/>
      <w:bookmarkStart w:id="81" w:name="_Toc491847023"/>
      <w:r>
        <w:t xml:space="preserve">Table </w:t>
      </w:r>
      <w:r>
        <w:fldChar w:fldCharType="begin"/>
      </w:r>
      <w:r>
        <w:instrText xml:space="preserve"> SEQ Table \* ARABIC </w:instrText>
      </w:r>
      <w:r>
        <w:fldChar w:fldCharType="separate"/>
      </w:r>
      <w:r w:rsidR="00D806F2">
        <w:rPr>
          <w:noProof/>
        </w:rPr>
        <w:t>4</w:t>
      </w:r>
      <w:r>
        <w:fldChar w:fldCharType="end"/>
      </w:r>
      <w:bookmarkEnd w:id="80"/>
      <w:r>
        <w:t xml:space="preserve"> </w:t>
      </w:r>
      <w:r w:rsidRPr="003E699B">
        <w:t>Survey methods used by the MMP and LTMP to describe coral communities</w:t>
      </w:r>
      <w:bookmarkEnd w:id="8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1314"/>
        <w:gridCol w:w="2948"/>
        <w:gridCol w:w="2769"/>
        <w:gridCol w:w="2598"/>
      </w:tblGrid>
      <w:tr w:rsidR="00F439FB" w:rsidRPr="00381F62" w14:paraId="11EA8F23" w14:textId="77777777" w:rsidTr="000D268E">
        <w:tc>
          <w:tcPr>
            <w:tcW w:w="682" w:type="pct"/>
            <w:vMerge w:val="restart"/>
            <w:shd w:val="clear" w:color="auto" w:fill="E6E6E6"/>
            <w:vAlign w:val="center"/>
          </w:tcPr>
          <w:p w14:paraId="11EA8F20" w14:textId="77777777" w:rsidR="00B815F5" w:rsidRPr="00381F62" w:rsidRDefault="00B815F5" w:rsidP="000D268E">
            <w:pPr>
              <w:rPr>
                <w:rFonts w:ascii="Arial Narrow" w:hAnsi="Arial Narrow"/>
                <w:b/>
                <w:sz w:val="20"/>
              </w:rPr>
            </w:pPr>
            <w:r w:rsidRPr="00381F62">
              <w:rPr>
                <w:rFonts w:ascii="Arial Narrow" w:hAnsi="Arial Narrow"/>
                <w:b/>
                <w:sz w:val="20"/>
              </w:rPr>
              <w:t>Survey Method</w:t>
            </w:r>
          </w:p>
        </w:tc>
        <w:tc>
          <w:tcPr>
            <w:tcW w:w="1531" w:type="pct"/>
            <w:vMerge w:val="restart"/>
            <w:shd w:val="clear" w:color="auto" w:fill="E6E6E6"/>
            <w:vAlign w:val="center"/>
          </w:tcPr>
          <w:p w14:paraId="11EA8F21" w14:textId="77777777" w:rsidR="00B815F5" w:rsidRPr="00381F62" w:rsidRDefault="00B815F5" w:rsidP="000D268E">
            <w:pPr>
              <w:rPr>
                <w:rFonts w:ascii="Arial Narrow" w:hAnsi="Arial Narrow"/>
                <w:b/>
                <w:sz w:val="20"/>
              </w:rPr>
            </w:pPr>
            <w:r w:rsidRPr="00381F62">
              <w:rPr>
                <w:rFonts w:ascii="Arial Narrow" w:hAnsi="Arial Narrow"/>
                <w:b/>
                <w:sz w:val="20"/>
              </w:rPr>
              <w:t>Information provided</w:t>
            </w:r>
          </w:p>
        </w:tc>
        <w:tc>
          <w:tcPr>
            <w:tcW w:w="2787" w:type="pct"/>
            <w:gridSpan w:val="2"/>
            <w:shd w:val="clear" w:color="auto" w:fill="E6E6E6"/>
            <w:vAlign w:val="center"/>
          </w:tcPr>
          <w:p w14:paraId="11EA8F22" w14:textId="77777777" w:rsidR="00B815F5" w:rsidRPr="00381F62" w:rsidRDefault="00B815F5" w:rsidP="000D268E">
            <w:pPr>
              <w:jc w:val="center"/>
              <w:rPr>
                <w:rFonts w:ascii="Arial Narrow" w:hAnsi="Arial Narrow"/>
                <w:b/>
                <w:sz w:val="20"/>
              </w:rPr>
            </w:pPr>
            <w:r w:rsidRPr="00381F62">
              <w:rPr>
                <w:rFonts w:ascii="Arial Narrow" w:hAnsi="Arial Narrow"/>
                <w:b/>
                <w:sz w:val="20"/>
              </w:rPr>
              <w:t>Transect dimension</w:t>
            </w:r>
          </w:p>
        </w:tc>
      </w:tr>
      <w:tr w:rsidR="00F439FB" w:rsidRPr="00381F62" w14:paraId="11EA8F28" w14:textId="77777777" w:rsidTr="000D268E">
        <w:tc>
          <w:tcPr>
            <w:tcW w:w="682" w:type="pct"/>
            <w:vMerge/>
            <w:shd w:val="clear" w:color="auto" w:fill="E6E6E6"/>
            <w:vAlign w:val="center"/>
          </w:tcPr>
          <w:p w14:paraId="11EA8F24" w14:textId="77777777" w:rsidR="00B815F5" w:rsidRPr="00381F62" w:rsidRDefault="00B815F5" w:rsidP="000D268E">
            <w:pPr>
              <w:rPr>
                <w:rFonts w:ascii="Arial Narrow" w:hAnsi="Arial Narrow"/>
                <w:b/>
                <w:sz w:val="20"/>
              </w:rPr>
            </w:pPr>
          </w:p>
        </w:tc>
        <w:tc>
          <w:tcPr>
            <w:tcW w:w="1531" w:type="pct"/>
            <w:vMerge/>
            <w:shd w:val="clear" w:color="auto" w:fill="E6E6E6"/>
            <w:vAlign w:val="center"/>
          </w:tcPr>
          <w:p w14:paraId="11EA8F25" w14:textId="77777777" w:rsidR="00B815F5" w:rsidRPr="00381F62" w:rsidRDefault="00B815F5" w:rsidP="000D268E">
            <w:pPr>
              <w:rPr>
                <w:rFonts w:ascii="Arial Narrow" w:hAnsi="Arial Narrow"/>
                <w:b/>
                <w:sz w:val="20"/>
              </w:rPr>
            </w:pPr>
          </w:p>
        </w:tc>
        <w:tc>
          <w:tcPr>
            <w:tcW w:w="1438" w:type="pct"/>
            <w:shd w:val="clear" w:color="auto" w:fill="E6E6E6"/>
            <w:vAlign w:val="center"/>
          </w:tcPr>
          <w:p w14:paraId="11EA8F26" w14:textId="0F9557EF" w:rsidR="00B815F5" w:rsidRPr="00381F62" w:rsidRDefault="00B815F5" w:rsidP="000D268E">
            <w:pPr>
              <w:rPr>
                <w:rFonts w:ascii="Arial Narrow" w:hAnsi="Arial Narrow"/>
                <w:b/>
                <w:sz w:val="20"/>
              </w:rPr>
            </w:pPr>
            <w:r w:rsidRPr="00381F62">
              <w:rPr>
                <w:rFonts w:ascii="Arial Narrow" w:hAnsi="Arial Narrow"/>
                <w:b/>
                <w:sz w:val="20"/>
              </w:rPr>
              <w:t>MMP (2</w:t>
            </w:r>
            <w:r w:rsidR="00AA72A3">
              <w:rPr>
                <w:rFonts w:ascii="Arial Narrow" w:hAnsi="Arial Narrow"/>
                <w:b/>
                <w:sz w:val="20"/>
              </w:rPr>
              <w:t>0 m</w:t>
            </w:r>
            <w:r w:rsidRPr="00381F62">
              <w:rPr>
                <w:rFonts w:ascii="Arial Narrow" w:hAnsi="Arial Narrow"/>
                <w:b/>
                <w:sz w:val="20"/>
              </w:rPr>
              <w:t xml:space="preserve"> long transects)</w:t>
            </w:r>
          </w:p>
        </w:tc>
        <w:tc>
          <w:tcPr>
            <w:tcW w:w="1349" w:type="pct"/>
            <w:shd w:val="clear" w:color="auto" w:fill="E6E6E6"/>
            <w:vAlign w:val="center"/>
          </w:tcPr>
          <w:p w14:paraId="11EA8F27" w14:textId="15F4DCD6" w:rsidR="00B815F5" w:rsidRPr="00381F62" w:rsidRDefault="00B815F5" w:rsidP="000D268E">
            <w:pPr>
              <w:rPr>
                <w:rFonts w:ascii="Arial Narrow" w:hAnsi="Arial Narrow"/>
                <w:b/>
                <w:sz w:val="20"/>
              </w:rPr>
            </w:pPr>
            <w:r w:rsidRPr="00381F62">
              <w:rPr>
                <w:rFonts w:ascii="Arial Narrow" w:hAnsi="Arial Narrow"/>
                <w:b/>
                <w:sz w:val="20"/>
              </w:rPr>
              <w:t>LTMP (5</w:t>
            </w:r>
            <w:r w:rsidR="00AA72A3">
              <w:rPr>
                <w:rFonts w:ascii="Arial Narrow" w:hAnsi="Arial Narrow"/>
                <w:b/>
                <w:sz w:val="20"/>
              </w:rPr>
              <w:t>0 m</w:t>
            </w:r>
            <w:r w:rsidRPr="00381F62">
              <w:rPr>
                <w:rFonts w:ascii="Arial Narrow" w:hAnsi="Arial Narrow"/>
                <w:b/>
                <w:sz w:val="20"/>
              </w:rPr>
              <w:t xml:space="preserve"> long transects)</w:t>
            </w:r>
          </w:p>
        </w:tc>
      </w:tr>
      <w:tr w:rsidR="00F439FB" w:rsidRPr="00381F62" w14:paraId="11EA8F2F" w14:textId="77777777" w:rsidTr="000D268E">
        <w:trPr>
          <w:trHeight w:val="997"/>
        </w:trPr>
        <w:tc>
          <w:tcPr>
            <w:tcW w:w="682" w:type="pct"/>
            <w:vAlign w:val="center"/>
          </w:tcPr>
          <w:p w14:paraId="11EA8F29" w14:textId="77777777" w:rsidR="00B815F5" w:rsidRPr="00381F62" w:rsidRDefault="00B815F5" w:rsidP="000D268E">
            <w:pPr>
              <w:rPr>
                <w:rFonts w:ascii="Arial Narrow" w:hAnsi="Arial Narrow"/>
                <w:sz w:val="20"/>
              </w:rPr>
            </w:pPr>
            <w:r w:rsidRPr="00381F62">
              <w:rPr>
                <w:rFonts w:ascii="Arial Narrow" w:hAnsi="Arial Narrow"/>
                <w:sz w:val="20"/>
              </w:rPr>
              <w:t>Photo point Intercept</w:t>
            </w:r>
          </w:p>
        </w:tc>
        <w:tc>
          <w:tcPr>
            <w:tcW w:w="1531" w:type="pct"/>
            <w:vAlign w:val="center"/>
          </w:tcPr>
          <w:p w14:paraId="11EA8F2A" w14:textId="77777777" w:rsidR="00B815F5" w:rsidRPr="00381F62" w:rsidRDefault="00B815F5" w:rsidP="000D268E">
            <w:pPr>
              <w:rPr>
                <w:rFonts w:ascii="Arial Narrow" w:hAnsi="Arial Narrow"/>
                <w:sz w:val="20"/>
              </w:rPr>
            </w:pPr>
            <w:r w:rsidRPr="00381F62">
              <w:rPr>
                <w:rFonts w:ascii="Arial Narrow" w:hAnsi="Arial Narrow"/>
                <w:sz w:val="20"/>
              </w:rPr>
              <w:t>Percentage covers of the substratum of major benthic habitat components.</w:t>
            </w:r>
          </w:p>
        </w:tc>
        <w:tc>
          <w:tcPr>
            <w:tcW w:w="1438" w:type="pct"/>
            <w:vAlign w:val="center"/>
          </w:tcPr>
          <w:p w14:paraId="11EA8F2B" w14:textId="5699134C" w:rsidR="00B815F5" w:rsidRPr="00381F62" w:rsidRDefault="00B815F5" w:rsidP="000D268E">
            <w:pPr>
              <w:rPr>
                <w:rFonts w:ascii="Arial Narrow" w:hAnsi="Arial Narrow"/>
                <w:sz w:val="20"/>
              </w:rPr>
            </w:pPr>
            <w:r w:rsidRPr="00381F62">
              <w:rPr>
                <w:rFonts w:ascii="Arial Narrow" w:hAnsi="Arial Narrow"/>
                <w:sz w:val="20"/>
              </w:rPr>
              <w:t>Approximately 34cm belt along upslope side of transect sampled at 5</w:t>
            </w:r>
            <w:r w:rsidR="00AA72A3">
              <w:rPr>
                <w:rFonts w:ascii="Arial Narrow" w:hAnsi="Arial Narrow"/>
                <w:sz w:val="20"/>
              </w:rPr>
              <w:t>0 cm</w:t>
            </w:r>
            <w:r w:rsidR="00575B10">
              <w:rPr>
                <w:rFonts w:ascii="Arial Narrow" w:hAnsi="Arial Narrow"/>
                <w:sz w:val="20"/>
              </w:rPr>
              <w:t xml:space="preserve"> </w:t>
            </w:r>
            <w:r w:rsidRPr="00381F62">
              <w:rPr>
                <w:rFonts w:ascii="Arial Narrow" w:hAnsi="Arial Narrow"/>
                <w:sz w:val="20"/>
              </w:rPr>
              <w:t xml:space="preserve">intervals from which 32 frames are sampled. </w:t>
            </w:r>
          </w:p>
          <w:p w14:paraId="11EA8F2C" w14:textId="77777777" w:rsidR="00B815F5" w:rsidRPr="00381F62" w:rsidRDefault="00B815F5" w:rsidP="000D268E">
            <w:pPr>
              <w:rPr>
                <w:rFonts w:ascii="Arial Narrow" w:hAnsi="Arial Narrow"/>
                <w:sz w:val="20"/>
              </w:rPr>
            </w:pPr>
          </w:p>
        </w:tc>
        <w:tc>
          <w:tcPr>
            <w:tcW w:w="1349" w:type="pct"/>
            <w:vAlign w:val="center"/>
          </w:tcPr>
          <w:p w14:paraId="11EA8F2D" w14:textId="77777777" w:rsidR="00B815F5" w:rsidRPr="00381F62" w:rsidRDefault="00B815F5" w:rsidP="000D268E">
            <w:pPr>
              <w:rPr>
                <w:rFonts w:ascii="Arial Narrow" w:hAnsi="Arial Narrow"/>
                <w:sz w:val="20"/>
              </w:rPr>
            </w:pPr>
            <w:r w:rsidRPr="00381F62">
              <w:rPr>
                <w:rFonts w:ascii="Arial Narrow" w:hAnsi="Arial Narrow"/>
                <w:sz w:val="20"/>
              </w:rPr>
              <w:t xml:space="preserve">Approximately 34cm belt along upslope side of transect sampled at 1m intervals from which 40 frames are sampled. </w:t>
            </w:r>
          </w:p>
          <w:p w14:paraId="11EA8F2E" w14:textId="77777777" w:rsidR="00B815F5" w:rsidRPr="00381F62" w:rsidRDefault="00B815F5" w:rsidP="000D268E">
            <w:pPr>
              <w:rPr>
                <w:rFonts w:ascii="Arial Narrow" w:hAnsi="Arial Narrow"/>
                <w:sz w:val="20"/>
              </w:rPr>
            </w:pPr>
          </w:p>
        </w:tc>
      </w:tr>
      <w:tr w:rsidR="00F439FB" w:rsidRPr="00381F62" w14:paraId="11EA8F36" w14:textId="77777777" w:rsidTr="000D268E">
        <w:trPr>
          <w:trHeight w:val="842"/>
        </w:trPr>
        <w:tc>
          <w:tcPr>
            <w:tcW w:w="682" w:type="pct"/>
            <w:vAlign w:val="center"/>
          </w:tcPr>
          <w:p w14:paraId="11EA8F30" w14:textId="77777777" w:rsidR="00B815F5" w:rsidRPr="00381F62" w:rsidRDefault="00B815F5" w:rsidP="000D268E">
            <w:pPr>
              <w:rPr>
                <w:rFonts w:ascii="Arial Narrow" w:hAnsi="Arial Narrow"/>
                <w:sz w:val="20"/>
              </w:rPr>
            </w:pPr>
            <w:r w:rsidRPr="00381F62">
              <w:rPr>
                <w:rFonts w:ascii="Arial Narrow" w:hAnsi="Arial Narrow"/>
                <w:sz w:val="20"/>
              </w:rPr>
              <w:t>Demography</w:t>
            </w:r>
          </w:p>
        </w:tc>
        <w:tc>
          <w:tcPr>
            <w:tcW w:w="1531" w:type="pct"/>
            <w:vAlign w:val="center"/>
          </w:tcPr>
          <w:p w14:paraId="11EA8F31" w14:textId="77777777" w:rsidR="00B815F5" w:rsidRPr="00381F62" w:rsidRDefault="00B815F5" w:rsidP="000D268E">
            <w:pPr>
              <w:rPr>
                <w:rFonts w:ascii="Arial Narrow" w:hAnsi="Arial Narrow"/>
                <w:sz w:val="20"/>
              </w:rPr>
            </w:pPr>
            <w:r w:rsidRPr="00381F62">
              <w:rPr>
                <w:rFonts w:ascii="Arial Narrow" w:hAnsi="Arial Narrow"/>
                <w:sz w:val="20"/>
              </w:rPr>
              <w:t>Size structure and density of juvenile coral communities.</w:t>
            </w:r>
          </w:p>
        </w:tc>
        <w:tc>
          <w:tcPr>
            <w:tcW w:w="1438" w:type="pct"/>
            <w:vAlign w:val="center"/>
          </w:tcPr>
          <w:p w14:paraId="11EA8F32" w14:textId="3B78D2B5" w:rsidR="00B815F5" w:rsidRPr="00381F62" w:rsidRDefault="00B815F5" w:rsidP="000D268E">
            <w:pPr>
              <w:rPr>
                <w:rFonts w:ascii="Arial Narrow" w:hAnsi="Arial Narrow"/>
                <w:sz w:val="20"/>
              </w:rPr>
            </w:pPr>
            <w:r w:rsidRPr="00381F62">
              <w:rPr>
                <w:rFonts w:ascii="Arial Narrow" w:hAnsi="Arial Narrow"/>
                <w:sz w:val="20"/>
              </w:rPr>
              <w:t>34cm belt along the upslope side of transect. Size classes: 0-</w:t>
            </w:r>
            <w:r w:rsidR="00AA72A3">
              <w:rPr>
                <w:rFonts w:ascii="Arial Narrow" w:hAnsi="Arial Narrow"/>
                <w:sz w:val="20"/>
              </w:rPr>
              <w:t>2 cm</w:t>
            </w:r>
            <w:r w:rsidRPr="00381F62">
              <w:rPr>
                <w:rFonts w:ascii="Arial Narrow" w:hAnsi="Arial Narrow"/>
                <w:sz w:val="20"/>
              </w:rPr>
              <w:t>, 2-</w:t>
            </w:r>
            <w:r w:rsidR="00AA72A3">
              <w:rPr>
                <w:rFonts w:ascii="Arial Narrow" w:hAnsi="Arial Narrow"/>
                <w:sz w:val="20"/>
              </w:rPr>
              <w:t>5 cm</w:t>
            </w:r>
            <w:r w:rsidRPr="00381F62">
              <w:rPr>
                <w:rFonts w:ascii="Arial Narrow" w:hAnsi="Arial Narrow"/>
                <w:sz w:val="20"/>
              </w:rPr>
              <w:t>, 5-1</w:t>
            </w:r>
            <w:r w:rsidR="00AA72A3">
              <w:rPr>
                <w:rFonts w:ascii="Arial Narrow" w:hAnsi="Arial Narrow"/>
                <w:sz w:val="20"/>
              </w:rPr>
              <w:t>0 cm</w:t>
            </w:r>
            <w:r w:rsidRPr="00381F62">
              <w:rPr>
                <w:rFonts w:ascii="Arial Narrow" w:hAnsi="Arial Narrow"/>
                <w:sz w:val="20"/>
              </w:rPr>
              <w:t>.</w:t>
            </w:r>
          </w:p>
          <w:p w14:paraId="11EA8F33" w14:textId="77777777" w:rsidR="00B815F5" w:rsidRPr="00381F62" w:rsidRDefault="00B815F5" w:rsidP="000D268E">
            <w:pPr>
              <w:rPr>
                <w:rFonts w:ascii="Arial Narrow" w:hAnsi="Arial Narrow"/>
                <w:sz w:val="20"/>
              </w:rPr>
            </w:pPr>
          </w:p>
        </w:tc>
        <w:tc>
          <w:tcPr>
            <w:tcW w:w="1349" w:type="pct"/>
            <w:vAlign w:val="center"/>
          </w:tcPr>
          <w:p w14:paraId="11EA8F34" w14:textId="420EB5BA" w:rsidR="00B815F5" w:rsidRPr="00381F62" w:rsidRDefault="00B815F5" w:rsidP="000D268E">
            <w:pPr>
              <w:rPr>
                <w:rFonts w:ascii="Arial Narrow" w:hAnsi="Arial Narrow"/>
                <w:sz w:val="20"/>
              </w:rPr>
            </w:pPr>
            <w:r w:rsidRPr="00381F62">
              <w:rPr>
                <w:rFonts w:ascii="Arial Narrow" w:hAnsi="Arial Narrow"/>
                <w:sz w:val="20"/>
              </w:rPr>
              <w:t xml:space="preserve">34cm belt along the upslope side of the first </w:t>
            </w:r>
            <w:r w:rsidR="00AA72A3">
              <w:rPr>
                <w:rFonts w:ascii="Arial Narrow" w:hAnsi="Arial Narrow"/>
                <w:sz w:val="20"/>
              </w:rPr>
              <w:t>5 m</w:t>
            </w:r>
            <w:r w:rsidRPr="00381F62">
              <w:rPr>
                <w:rFonts w:ascii="Arial Narrow" w:hAnsi="Arial Narrow"/>
                <w:sz w:val="20"/>
              </w:rPr>
              <w:t xml:space="preserve"> of transect. Size class: 0-</w:t>
            </w:r>
            <w:r w:rsidR="00AA72A3">
              <w:rPr>
                <w:rFonts w:ascii="Arial Narrow" w:hAnsi="Arial Narrow"/>
                <w:sz w:val="20"/>
              </w:rPr>
              <w:t>5 cm</w:t>
            </w:r>
            <w:r w:rsidRPr="00381F62">
              <w:rPr>
                <w:rFonts w:ascii="Arial Narrow" w:hAnsi="Arial Narrow"/>
                <w:sz w:val="20"/>
              </w:rPr>
              <w:t>.</w:t>
            </w:r>
          </w:p>
          <w:p w14:paraId="11EA8F35" w14:textId="77777777" w:rsidR="00B815F5" w:rsidRPr="00381F62" w:rsidRDefault="00B815F5" w:rsidP="000D268E">
            <w:pPr>
              <w:rPr>
                <w:rFonts w:ascii="Arial Narrow" w:hAnsi="Arial Narrow"/>
                <w:sz w:val="20"/>
              </w:rPr>
            </w:pPr>
          </w:p>
        </w:tc>
      </w:tr>
      <w:tr w:rsidR="00B815F5" w:rsidRPr="00381F62" w14:paraId="11EA8F3C" w14:textId="77777777" w:rsidTr="000D268E">
        <w:tc>
          <w:tcPr>
            <w:tcW w:w="682" w:type="pct"/>
            <w:vAlign w:val="center"/>
          </w:tcPr>
          <w:p w14:paraId="11EA8F37" w14:textId="49F4ADC5" w:rsidR="00B815F5" w:rsidRPr="00381F62" w:rsidRDefault="00B815F5" w:rsidP="000D268E">
            <w:pPr>
              <w:rPr>
                <w:rFonts w:ascii="Arial Narrow" w:hAnsi="Arial Narrow"/>
                <w:sz w:val="20"/>
              </w:rPr>
            </w:pPr>
          </w:p>
        </w:tc>
        <w:tc>
          <w:tcPr>
            <w:tcW w:w="1531" w:type="pct"/>
            <w:vAlign w:val="center"/>
          </w:tcPr>
          <w:p w14:paraId="11EA8F38" w14:textId="4ABB4DD6" w:rsidR="00B815F5" w:rsidRPr="00381F62" w:rsidRDefault="00B815F5" w:rsidP="000D268E">
            <w:pPr>
              <w:rPr>
                <w:rFonts w:ascii="Arial Narrow" w:hAnsi="Arial Narrow"/>
                <w:sz w:val="20"/>
              </w:rPr>
            </w:pPr>
          </w:p>
        </w:tc>
        <w:tc>
          <w:tcPr>
            <w:tcW w:w="1438" w:type="pct"/>
            <w:vAlign w:val="center"/>
          </w:tcPr>
          <w:p w14:paraId="11EA8F3A" w14:textId="77777777" w:rsidR="00B815F5" w:rsidRPr="00381F62" w:rsidRDefault="00B815F5" w:rsidP="000D268E">
            <w:pPr>
              <w:rPr>
                <w:rFonts w:ascii="Arial Narrow" w:hAnsi="Arial Narrow"/>
                <w:sz w:val="20"/>
              </w:rPr>
            </w:pPr>
          </w:p>
        </w:tc>
        <w:tc>
          <w:tcPr>
            <w:tcW w:w="1349" w:type="pct"/>
          </w:tcPr>
          <w:p w14:paraId="11EA8F3B" w14:textId="0BBAEB43" w:rsidR="00B815F5" w:rsidRPr="00381F62" w:rsidRDefault="00B815F5" w:rsidP="000D268E">
            <w:pPr>
              <w:rPr>
                <w:rFonts w:ascii="Arial Narrow" w:hAnsi="Arial Narrow"/>
                <w:sz w:val="20"/>
              </w:rPr>
            </w:pPr>
          </w:p>
        </w:tc>
      </w:tr>
    </w:tbl>
    <w:p w14:paraId="11EA8F3D" w14:textId="77777777" w:rsidR="00B815F5" w:rsidRPr="00381F62" w:rsidRDefault="00B815F5" w:rsidP="00B815F5"/>
    <w:p w14:paraId="11EA8F3E" w14:textId="33B33E0E" w:rsidR="00944204" w:rsidRPr="00381F62" w:rsidRDefault="00056F6C" w:rsidP="00B9528B">
      <w:pPr>
        <w:pStyle w:val="Heading3"/>
      </w:pPr>
      <w:bookmarkStart w:id="82" w:name="_Toc493153306"/>
      <w:r>
        <w:t>4.5</w:t>
      </w:r>
      <w:r w:rsidR="00FE4FD7" w:rsidRPr="00381F62">
        <w:t xml:space="preserve">.1 </w:t>
      </w:r>
      <w:r w:rsidR="00944204" w:rsidRPr="00381F62">
        <w:t>Photo point intercept transects</w:t>
      </w:r>
      <w:bookmarkEnd w:id="82"/>
    </w:p>
    <w:p w14:paraId="11EA8F3F" w14:textId="057D618F" w:rsidR="00944204" w:rsidRPr="00381F62" w:rsidRDefault="00944204" w:rsidP="00944204">
      <w:r w:rsidRPr="00381F62">
        <w:t xml:space="preserve">Estimates of the composition of benthic communities were derived from the identification of organisms on digital photographs taken along the permanently marked transects. The method followed closely the Standard Operation Procedure Number 10 of the AIMS Long-Term Monitoring Program (Jonker </w:t>
      </w:r>
      <w:r w:rsidRPr="00381F62">
        <w:rPr>
          <w:i/>
        </w:rPr>
        <w:t>et al.</w:t>
      </w:r>
      <w:r w:rsidRPr="00381F62">
        <w:t xml:space="preserve"> 2008). In short, digital photographs were taken at 50</w:t>
      </w:r>
      <w:r w:rsidR="00AA72A3">
        <w:t xml:space="preserve"> </w:t>
      </w:r>
      <w:r w:rsidR="00575B10">
        <w:t xml:space="preserve">cm </w:t>
      </w:r>
      <w:r w:rsidRPr="00381F62">
        <w:t>intervals along each 20</w:t>
      </w:r>
      <w:r w:rsidR="00AA72A3">
        <w:t xml:space="preserve"> </w:t>
      </w:r>
      <w:r w:rsidR="00575B10">
        <w:t xml:space="preserve">m </w:t>
      </w:r>
      <w:r w:rsidRPr="00381F62">
        <w:t xml:space="preserve">transect. Estimations of cover of benthic community components </w:t>
      </w:r>
      <w:r w:rsidR="00614B36">
        <w:t>we</w:t>
      </w:r>
      <w:r w:rsidRPr="00381F62">
        <w:t>re derived from the identification of the benthos lying beneath five fixed points digitally overlaid onto these images. A total of 32 images</w:t>
      </w:r>
      <w:r w:rsidR="00FC7D2D" w:rsidRPr="00381F62">
        <w:t xml:space="preserve"> </w:t>
      </w:r>
      <w:r w:rsidR="00614B36">
        <w:t>we</w:t>
      </w:r>
      <w:r w:rsidR="00FC7D2D" w:rsidRPr="00381F62">
        <w:t>re randomly selected</w:t>
      </w:r>
      <w:r w:rsidRPr="00381F62">
        <w:t xml:space="preserve"> </w:t>
      </w:r>
      <w:r w:rsidR="00FC7D2D" w:rsidRPr="00381F62">
        <w:t xml:space="preserve">and </w:t>
      </w:r>
      <w:r w:rsidRPr="00381F62">
        <w:t>analysed from each transect</w:t>
      </w:r>
      <w:r w:rsidR="00FC7D2D" w:rsidRPr="00381F62">
        <w:t xml:space="preserve">. </w:t>
      </w:r>
      <w:r w:rsidR="00614B36">
        <w:t>Poor quality images we</w:t>
      </w:r>
      <w:r w:rsidR="00FC7D2D" w:rsidRPr="00381F62">
        <w:t>re excluded and replaced by an image from those not originally randomly selected</w:t>
      </w:r>
      <w:r w:rsidRPr="00381F62">
        <w:t>. The AIMS LTMP utilise</w:t>
      </w:r>
      <w:r w:rsidR="00614B36">
        <w:t>d</w:t>
      </w:r>
      <w:r w:rsidRPr="00381F62">
        <w:t xml:space="preserve"> longer 50</w:t>
      </w:r>
      <w:r w:rsidR="00AA72A3">
        <w:t xml:space="preserve"> </w:t>
      </w:r>
      <w:r w:rsidRPr="00381F62">
        <w:t>m transects sampled at 1</w:t>
      </w:r>
      <w:r w:rsidR="00575B10">
        <w:t xml:space="preserve">m </w:t>
      </w:r>
      <w:r w:rsidRPr="00381F62">
        <w:t xml:space="preserve">intervals from which 40 images </w:t>
      </w:r>
      <w:r w:rsidR="00614B36">
        <w:t>we</w:t>
      </w:r>
      <w:r w:rsidRPr="00381F62">
        <w:t>re selected.</w:t>
      </w:r>
    </w:p>
    <w:p w14:paraId="11EA8F40" w14:textId="64D4A483" w:rsidR="00944204" w:rsidRPr="00381F62" w:rsidRDefault="00944204" w:rsidP="00944204">
      <w:r w:rsidRPr="00381F62">
        <w:t>For the majority of hard and soft corals, identifi</w:t>
      </w:r>
      <w:r w:rsidR="00614B36">
        <w:t>cation to at least genus level wa</w:t>
      </w:r>
      <w:r w:rsidRPr="00381F62">
        <w:t>s achieved.</w:t>
      </w:r>
      <w:r w:rsidR="00E75F5C">
        <w:t xml:space="preserve"> </w:t>
      </w:r>
      <w:r w:rsidR="00614B36">
        <w:t>Identifications for each point we</w:t>
      </w:r>
      <w:r w:rsidRPr="00381F62">
        <w:t xml:space="preserve">re entered directly into a data entry front end to an Oracle-database, developed by AIMS. This system allows the recall of images and checking of any identified points. </w:t>
      </w:r>
    </w:p>
    <w:p w14:paraId="11EA8F41" w14:textId="52741727" w:rsidR="00944204" w:rsidRPr="00381F62" w:rsidRDefault="00056F6C" w:rsidP="00B9528B">
      <w:pPr>
        <w:pStyle w:val="Heading3"/>
      </w:pPr>
      <w:bookmarkStart w:id="83" w:name="_Toc493153307"/>
      <w:r>
        <w:t>4.5</w:t>
      </w:r>
      <w:r w:rsidR="00FE4FD7" w:rsidRPr="00381F62">
        <w:t xml:space="preserve">.2 </w:t>
      </w:r>
      <w:r w:rsidR="00944204" w:rsidRPr="00381F62">
        <w:t>Juvenile coral surveys</w:t>
      </w:r>
      <w:bookmarkEnd w:id="83"/>
      <w:r w:rsidR="00944204" w:rsidRPr="00381F62">
        <w:t xml:space="preserve"> </w:t>
      </w:r>
    </w:p>
    <w:p w14:paraId="11EA8F42" w14:textId="7FC3D797" w:rsidR="00944204" w:rsidRPr="00381F62" w:rsidRDefault="00FC548F" w:rsidP="00944204">
      <w:r w:rsidRPr="00381F62">
        <w:t xml:space="preserve">These surveys provide an estimate of the number of both hard and soft coral colonies that </w:t>
      </w:r>
      <w:r w:rsidR="00614B36">
        <w:t>have</w:t>
      </w:r>
      <w:r w:rsidRPr="00381F62">
        <w:t xml:space="preserve"> successfully </w:t>
      </w:r>
      <w:r w:rsidR="00614B36">
        <w:t>survived the early life cycle stages culminating in settlement and growth through to visible juvenile corals.</w:t>
      </w:r>
      <w:r w:rsidRPr="00381F62">
        <w:t xml:space="preserve"> </w:t>
      </w:r>
      <w:r w:rsidR="00944204" w:rsidRPr="00381F62">
        <w:t xml:space="preserve">The number of juvenile coral colonies were counted along the permanently marked transects. In </w:t>
      </w:r>
      <w:r w:rsidR="00C97CAA">
        <w:t>the first year of this program</w:t>
      </w:r>
      <w:r w:rsidR="00944204" w:rsidRPr="00381F62">
        <w:t xml:space="preserve"> juvenile coral colonies were counted as part of a demographic survey that counted the number of all individuals falling into a broad range of size classes that intersected a 34</w:t>
      </w:r>
      <w:r w:rsidR="00AA72A3">
        <w:t xml:space="preserve"> </w:t>
      </w:r>
      <w:r w:rsidR="00575B10">
        <w:t xml:space="preserve">cm </w:t>
      </w:r>
      <w:r w:rsidR="00944204" w:rsidRPr="00381F62">
        <w:t xml:space="preserve">wide </w:t>
      </w:r>
      <w:r w:rsidR="00C97CAA" w:rsidRPr="00381F62">
        <w:t xml:space="preserve">(data slate length) </w:t>
      </w:r>
      <w:r w:rsidR="00944204" w:rsidRPr="00381F62">
        <w:t xml:space="preserve">belt along the </w:t>
      </w:r>
      <w:r w:rsidR="00C97CAA" w:rsidRPr="00381F62">
        <w:t xml:space="preserve">upslope side </w:t>
      </w:r>
      <w:r w:rsidR="00C97CAA">
        <w:t xml:space="preserve">of the </w:t>
      </w:r>
      <w:r w:rsidR="00944204" w:rsidRPr="00381F62">
        <w:t>first 10</w:t>
      </w:r>
      <w:r w:rsidR="00AA72A3">
        <w:t xml:space="preserve"> </w:t>
      </w:r>
      <w:r w:rsidR="00575B10">
        <w:t xml:space="preserve">m </w:t>
      </w:r>
      <w:r w:rsidR="00944204" w:rsidRPr="00381F62">
        <w:t>of each 20</w:t>
      </w:r>
      <w:r w:rsidR="00AA72A3">
        <w:t xml:space="preserve"> </w:t>
      </w:r>
      <w:r w:rsidR="00575B10">
        <w:t xml:space="preserve">m </w:t>
      </w:r>
      <w:r w:rsidR="00C97CAA" w:rsidRPr="00381F62">
        <w:t xml:space="preserve">marked </w:t>
      </w:r>
      <w:r w:rsidR="00944204" w:rsidRPr="00381F62">
        <w:t>transect. As the focus narrowed to just juvenile colonies, the number of size classes was reduced allowing an increase in the spatial</w:t>
      </w:r>
      <w:r w:rsidR="00C97CAA">
        <w:t xml:space="preserve"> coverage of sampling. From 2006</w:t>
      </w:r>
      <w:r w:rsidR="00944204" w:rsidRPr="00381F62">
        <w:t xml:space="preserve"> coral colonies less than 1</w:t>
      </w:r>
      <w:r w:rsidR="00AA72A3">
        <w:t>0 cm</w:t>
      </w:r>
      <w:r w:rsidR="00575B10">
        <w:t xml:space="preserve"> </w:t>
      </w:r>
      <w:r w:rsidR="00944204" w:rsidRPr="00381F62">
        <w:t xml:space="preserve">in diameter were counted </w:t>
      </w:r>
      <w:r w:rsidR="00C97CAA" w:rsidRPr="00381F62">
        <w:t>within a belt 34</w:t>
      </w:r>
      <w:r w:rsidR="00AA72A3">
        <w:t xml:space="preserve"> </w:t>
      </w:r>
      <w:r w:rsidR="00575B10">
        <w:t xml:space="preserve">cm </w:t>
      </w:r>
      <w:r w:rsidR="00C97CAA" w:rsidRPr="00381F62">
        <w:t xml:space="preserve">wide </w:t>
      </w:r>
      <w:r w:rsidR="00944204" w:rsidRPr="00381F62">
        <w:t>along the full length of each 2</w:t>
      </w:r>
      <w:r w:rsidR="00AA72A3">
        <w:t>0 m</w:t>
      </w:r>
      <w:r w:rsidR="00575B10">
        <w:t xml:space="preserve"> </w:t>
      </w:r>
      <w:r w:rsidR="00944204" w:rsidRPr="00381F62">
        <w:t>transect. Each colony was identified to genus and assigned to a size class of either, 0-2</w:t>
      </w:r>
      <w:r w:rsidR="00AA72A3">
        <w:t xml:space="preserve"> </w:t>
      </w:r>
      <w:r w:rsidR="00944204" w:rsidRPr="00381F62">
        <w:t>cm, &gt;2-5</w:t>
      </w:r>
      <w:r w:rsidR="00AA72A3">
        <w:t xml:space="preserve"> </w:t>
      </w:r>
      <w:r w:rsidR="00944204" w:rsidRPr="00381F62">
        <w:t>cm, or &gt;5-10</w:t>
      </w:r>
      <w:r w:rsidR="00AA72A3">
        <w:t xml:space="preserve"> </w:t>
      </w:r>
      <w:r w:rsidR="00944204" w:rsidRPr="00381F62">
        <w:t xml:space="preserve">cm. Importantly, this method aims to record only those small colonies assessed as juveniles, i.e. which result from the settlement and subsequent survival and growth of coral larvae, and so does not include small coral colonies considered as resulting from fragmentation or partial mortality of larger colonies. In 2006 the LTMP also introduced juvenile surveys though only within the first </w:t>
      </w:r>
      <w:r w:rsidR="00AA72A3">
        <w:t>5 m</w:t>
      </w:r>
      <w:r w:rsidR="00575B10">
        <w:t xml:space="preserve"> </w:t>
      </w:r>
      <w:r w:rsidR="00944204" w:rsidRPr="00381F62">
        <w:t>of each transect and focused on the single size-class of 0-5</w:t>
      </w:r>
      <w:r w:rsidR="00C97CAA">
        <w:t xml:space="preserve"> </w:t>
      </w:r>
      <w:r w:rsidR="00944204" w:rsidRPr="00381F62">
        <w:t>cm</w:t>
      </w:r>
    </w:p>
    <w:p w14:paraId="11EA8F4F" w14:textId="54813F16" w:rsidR="00944204" w:rsidRPr="00F109C3" w:rsidRDefault="00B815F5" w:rsidP="00DD6D82">
      <w:pPr>
        <w:pStyle w:val="Heading2"/>
      </w:pPr>
      <w:bookmarkStart w:id="84" w:name="_Toc491847362"/>
      <w:bookmarkStart w:id="85" w:name="_Toc493153308"/>
      <w:r w:rsidRPr="00F109C3">
        <w:t>4.</w:t>
      </w:r>
      <w:r w:rsidR="00056F6C">
        <w:t>6</w:t>
      </w:r>
      <w:r w:rsidR="006E5CD3">
        <w:t xml:space="preserve"> </w:t>
      </w:r>
      <w:r w:rsidR="00944204" w:rsidRPr="00F109C3">
        <w:t>Coral reef data analysis and presentation</w:t>
      </w:r>
      <w:bookmarkEnd w:id="84"/>
      <w:bookmarkEnd w:id="85"/>
    </w:p>
    <w:p w14:paraId="610104D0" w14:textId="790A80F5" w:rsidR="00FF323C" w:rsidDel="00AF7DFC" w:rsidRDefault="00FF323C" w:rsidP="00085F46">
      <w:pPr>
        <w:rPr>
          <w:color w:val="000000" w:themeColor="text1"/>
        </w:rPr>
      </w:pPr>
      <w:r w:rsidRPr="00074B4A" w:rsidDel="00AF7DFC">
        <w:rPr>
          <w:color w:val="000000" w:themeColor="text1"/>
        </w:rPr>
        <w:t xml:space="preserve">In this report coral condition scores </w:t>
      </w:r>
      <w:r w:rsidDel="00AF7DFC">
        <w:rPr>
          <w:color w:val="000000" w:themeColor="text1"/>
        </w:rPr>
        <w:t xml:space="preserve">are </w:t>
      </w:r>
      <w:r w:rsidR="000F4228">
        <w:rPr>
          <w:color w:val="000000" w:themeColor="text1"/>
        </w:rPr>
        <w:t>based on five indicator metrics</w:t>
      </w:r>
      <w:r w:rsidRPr="00074B4A" w:rsidDel="00AF7DFC">
        <w:rPr>
          <w:color w:val="000000" w:themeColor="text1"/>
        </w:rPr>
        <w:t xml:space="preserve"> of reef ecosystem state that </w:t>
      </w:r>
      <w:r w:rsidDel="00AF7DFC">
        <w:rPr>
          <w:color w:val="000000" w:themeColor="text1"/>
        </w:rPr>
        <w:t>provide</w:t>
      </w:r>
      <w:r w:rsidRPr="00074B4A" w:rsidDel="00AF7DFC">
        <w:rPr>
          <w:color w:val="000000" w:themeColor="text1"/>
        </w:rPr>
        <w:t xml:space="preserve"> the coral component of the Reef report card. This scoring system includes indicators representing different </w:t>
      </w:r>
      <w:r w:rsidDel="00AF7DFC">
        <w:rPr>
          <w:color w:val="000000" w:themeColor="text1"/>
        </w:rPr>
        <w:t>processes that contribute to c</w:t>
      </w:r>
      <w:r w:rsidRPr="00074B4A" w:rsidDel="00AF7DFC">
        <w:rPr>
          <w:color w:val="000000" w:themeColor="text1"/>
        </w:rPr>
        <w:t>oral community resilience</w:t>
      </w:r>
      <w:r w:rsidDel="00AF7DFC">
        <w:rPr>
          <w:color w:val="000000" w:themeColor="text1"/>
        </w:rPr>
        <w:t xml:space="preserve"> </w:t>
      </w:r>
      <w:r w:rsidR="00AA72A3">
        <w:rPr>
          <w:color w:val="000000" w:themeColor="text1"/>
        </w:rPr>
        <w:t>that</w:t>
      </w:r>
      <w:r w:rsidDel="00AF7DFC">
        <w:rPr>
          <w:color w:val="000000" w:themeColor="text1"/>
        </w:rPr>
        <w:t xml:space="preserve"> are potentially influenced by water quality</w:t>
      </w:r>
      <w:r w:rsidRPr="00074B4A" w:rsidDel="00AF7DFC">
        <w:rPr>
          <w:color w:val="000000" w:themeColor="text1"/>
        </w:rPr>
        <w:t xml:space="preserve">: </w:t>
      </w:r>
    </w:p>
    <w:p w14:paraId="7F229160" w14:textId="4D2E628A" w:rsidR="00FF323C" w:rsidDel="00AF7DFC" w:rsidRDefault="00FF323C" w:rsidP="00085F46">
      <w:pPr>
        <w:pStyle w:val="ListParagraph"/>
        <w:numPr>
          <w:ilvl w:val="0"/>
          <w:numId w:val="23"/>
        </w:numPr>
        <w:rPr>
          <w:color w:val="000000" w:themeColor="text1"/>
        </w:rPr>
      </w:pPr>
      <w:r w:rsidRPr="001B4F6D" w:rsidDel="00AF7DFC">
        <w:rPr>
          <w:color w:val="000000" w:themeColor="text1"/>
        </w:rPr>
        <w:t xml:space="preserve">coral cover as an indicator of corals ability to resist the cumulative environmental pressures to which they have been exposed, </w:t>
      </w:r>
    </w:p>
    <w:p w14:paraId="6C300CB4" w14:textId="07C59C7E" w:rsidR="00FF323C" w:rsidDel="00AF7DFC" w:rsidRDefault="00085F46" w:rsidP="00085F46">
      <w:pPr>
        <w:pStyle w:val="ListParagraph"/>
        <w:numPr>
          <w:ilvl w:val="0"/>
          <w:numId w:val="23"/>
        </w:numPr>
        <w:rPr>
          <w:color w:val="000000" w:themeColor="text1"/>
        </w:rPr>
      </w:pPr>
      <w:r>
        <w:rPr>
          <w:color w:val="000000" w:themeColor="text1"/>
        </w:rPr>
        <w:t xml:space="preserve">proportion of </w:t>
      </w:r>
      <w:r w:rsidR="00FF323C" w:rsidRPr="001B4F6D" w:rsidDel="00AF7DFC">
        <w:rPr>
          <w:color w:val="000000" w:themeColor="text1"/>
        </w:rPr>
        <w:t xml:space="preserve">macroalgae </w:t>
      </w:r>
      <w:r>
        <w:rPr>
          <w:color w:val="000000" w:themeColor="text1"/>
        </w:rPr>
        <w:t xml:space="preserve">in algal </w:t>
      </w:r>
      <w:r w:rsidR="00FF323C" w:rsidRPr="001B4F6D" w:rsidDel="00AF7DFC">
        <w:rPr>
          <w:color w:val="000000" w:themeColor="text1"/>
        </w:rPr>
        <w:t xml:space="preserve">cover as </w:t>
      </w:r>
      <w:r w:rsidR="00FF323C" w:rsidDel="00AF7DFC">
        <w:rPr>
          <w:color w:val="000000" w:themeColor="text1"/>
        </w:rPr>
        <w:t>an</w:t>
      </w:r>
      <w:r w:rsidR="00FF323C" w:rsidRPr="001B4F6D" w:rsidDel="00AF7DFC">
        <w:rPr>
          <w:color w:val="000000" w:themeColor="text1"/>
        </w:rPr>
        <w:t xml:space="preserve"> indicator of compe</w:t>
      </w:r>
      <w:r w:rsidR="00FF323C" w:rsidDel="00AF7DFC">
        <w:rPr>
          <w:color w:val="000000" w:themeColor="text1"/>
        </w:rPr>
        <w:t>ti</w:t>
      </w:r>
      <w:r w:rsidR="00FF323C" w:rsidRPr="001B4F6D" w:rsidDel="00AF7DFC">
        <w:rPr>
          <w:color w:val="000000" w:themeColor="text1"/>
        </w:rPr>
        <w:t xml:space="preserve">tion </w:t>
      </w:r>
      <w:r>
        <w:rPr>
          <w:color w:val="000000" w:themeColor="text1"/>
        </w:rPr>
        <w:t xml:space="preserve">with </w:t>
      </w:r>
      <w:r w:rsidR="00FF323C" w:rsidRPr="001B4F6D" w:rsidDel="00AF7DFC">
        <w:rPr>
          <w:color w:val="000000" w:themeColor="text1"/>
        </w:rPr>
        <w:t>corals</w:t>
      </w:r>
      <w:r w:rsidR="00FF323C" w:rsidDel="00AF7DFC">
        <w:rPr>
          <w:color w:val="000000" w:themeColor="text1"/>
        </w:rPr>
        <w:t xml:space="preserve">, </w:t>
      </w:r>
    </w:p>
    <w:p w14:paraId="0A6446E9" w14:textId="127A03FD" w:rsidR="00FF323C" w:rsidDel="00AF7DFC" w:rsidRDefault="00FF323C" w:rsidP="00085F46">
      <w:pPr>
        <w:pStyle w:val="ListParagraph"/>
        <w:numPr>
          <w:ilvl w:val="0"/>
          <w:numId w:val="23"/>
        </w:numPr>
        <w:rPr>
          <w:color w:val="000000" w:themeColor="text1"/>
        </w:rPr>
      </w:pPr>
      <w:r w:rsidDel="00AF7DFC">
        <w:rPr>
          <w:color w:val="000000" w:themeColor="text1"/>
        </w:rPr>
        <w:t>juvenile coral density as an indicator of the success of early life history stages in the replenishment of coral populations,</w:t>
      </w:r>
    </w:p>
    <w:p w14:paraId="44011350" w14:textId="5553EEAB" w:rsidR="00FF323C" w:rsidDel="00AF7DFC" w:rsidRDefault="00FF323C" w:rsidP="00085F46">
      <w:pPr>
        <w:pStyle w:val="ListParagraph"/>
        <w:numPr>
          <w:ilvl w:val="0"/>
          <w:numId w:val="23"/>
        </w:numPr>
        <w:rPr>
          <w:color w:val="000000" w:themeColor="text1"/>
        </w:rPr>
      </w:pPr>
      <w:r w:rsidRPr="005A2F58" w:rsidDel="00AF7DFC">
        <w:rPr>
          <w:color w:val="000000" w:themeColor="text1"/>
        </w:rPr>
        <w:t xml:space="preserve">rate at which coral cover increases </w:t>
      </w:r>
      <w:r w:rsidDel="00AF7DFC">
        <w:rPr>
          <w:color w:val="000000" w:themeColor="text1"/>
        </w:rPr>
        <w:t>as an indicator of the recovery potential of coral communities due to growth and,</w:t>
      </w:r>
    </w:p>
    <w:p w14:paraId="784EC684" w14:textId="3283D41B" w:rsidR="00FF323C" w:rsidDel="00AF7DFC" w:rsidRDefault="00FF323C" w:rsidP="00085F46">
      <w:pPr>
        <w:pStyle w:val="ListParagraph"/>
        <w:numPr>
          <w:ilvl w:val="0"/>
          <w:numId w:val="23"/>
        </w:numPr>
        <w:rPr>
          <w:color w:val="000000" w:themeColor="text1"/>
        </w:rPr>
      </w:pPr>
      <w:r w:rsidRPr="005A2F58" w:rsidDel="00AF7DFC">
        <w:rPr>
          <w:color w:val="000000" w:themeColor="text1"/>
        </w:rPr>
        <w:t>community composition</w:t>
      </w:r>
      <w:r w:rsidDel="00AF7DFC">
        <w:rPr>
          <w:color w:val="000000" w:themeColor="text1"/>
        </w:rPr>
        <w:t xml:space="preserve"> as an indicator of selective pressures</w:t>
      </w:r>
      <w:r w:rsidRPr="005A2F58" w:rsidDel="00AF7DFC">
        <w:rPr>
          <w:color w:val="000000" w:themeColor="text1"/>
        </w:rPr>
        <w:t xml:space="preserve">. </w:t>
      </w:r>
    </w:p>
    <w:p w14:paraId="0122A9B9" w14:textId="33D1CEC1" w:rsidR="00FF323C" w:rsidRDefault="00FF323C" w:rsidP="00085F46">
      <w:pPr>
        <w:rPr>
          <w:color w:val="000000" w:themeColor="text1"/>
        </w:rPr>
      </w:pPr>
      <w:r w:rsidRPr="005A2F58" w:rsidDel="00AF7DFC">
        <w:rPr>
          <w:color w:val="000000" w:themeColor="text1"/>
        </w:rPr>
        <w:t>For each of these indicators a metric has been developed to allow scoring of observed condition on a consistent scale that facilitates the aggregation of these scores into a single index used a</w:t>
      </w:r>
      <w:r w:rsidDel="00AF7DFC">
        <w:rPr>
          <w:color w:val="000000" w:themeColor="text1"/>
        </w:rPr>
        <w:t>s a</w:t>
      </w:r>
      <w:r w:rsidRPr="005A2F58" w:rsidDel="00AF7DFC">
        <w:rPr>
          <w:color w:val="000000" w:themeColor="text1"/>
        </w:rPr>
        <w:t xml:space="preserve"> summary of coral community condition. </w:t>
      </w:r>
    </w:p>
    <w:p w14:paraId="7075A0F4" w14:textId="545EA419" w:rsidR="00296011" w:rsidRDefault="00FF6E56" w:rsidP="00085F46">
      <w:pPr>
        <w:rPr>
          <w:color w:val="000000" w:themeColor="text1"/>
        </w:rPr>
      </w:pPr>
      <w:r>
        <w:rPr>
          <w:color w:val="000000" w:themeColor="text1"/>
        </w:rPr>
        <w:t>The presentation of coral community condition is presented in four</w:t>
      </w:r>
      <w:r w:rsidR="00296011">
        <w:rPr>
          <w:color w:val="000000" w:themeColor="text1"/>
        </w:rPr>
        <w:t xml:space="preserve"> sections </w:t>
      </w:r>
      <w:r w:rsidR="00BA58C1">
        <w:rPr>
          <w:color w:val="000000" w:themeColor="text1"/>
        </w:rPr>
        <w:t>(</w:t>
      </w:r>
      <w:r w:rsidR="00296011">
        <w:rPr>
          <w:color w:val="000000" w:themeColor="text1"/>
        </w:rPr>
        <w:fldChar w:fldCharType="begin"/>
      </w:r>
      <w:r w:rsidR="00296011">
        <w:rPr>
          <w:color w:val="000000" w:themeColor="text1"/>
        </w:rPr>
        <w:instrText xml:space="preserve"> REF _Ref491155177 \h </w:instrText>
      </w:r>
      <w:r w:rsidR="00296011">
        <w:rPr>
          <w:color w:val="000000" w:themeColor="text1"/>
        </w:rPr>
      </w:r>
      <w:r w:rsidR="00296011">
        <w:rPr>
          <w:color w:val="000000" w:themeColor="text1"/>
        </w:rPr>
        <w:fldChar w:fldCharType="separate"/>
      </w:r>
      <w:r w:rsidR="00D806F2">
        <w:t xml:space="preserve">Table </w:t>
      </w:r>
      <w:r w:rsidR="00D806F2">
        <w:rPr>
          <w:noProof/>
        </w:rPr>
        <w:t>5</w:t>
      </w:r>
      <w:r w:rsidR="00296011">
        <w:rPr>
          <w:color w:val="000000" w:themeColor="text1"/>
        </w:rPr>
        <w:fldChar w:fldCharType="end"/>
      </w:r>
      <w:r w:rsidR="00BA58C1">
        <w:rPr>
          <w:color w:val="000000" w:themeColor="text1"/>
        </w:rPr>
        <w:t>)</w:t>
      </w:r>
      <w:r>
        <w:rPr>
          <w:color w:val="000000" w:themeColor="text1"/>
        </w:rPr>
        <w:t xml:space="preserve">. </w:t>
      </w:r>
    </w:p>
    <w:p w14:paraId="4118D5CE" w14:textId="784CF866" w:rsidR="00FF6E56" w:rsidRDefault="00296011" w:rsidP="00296011">
      <w:pPr>
        <w:pStyle w:val="Caption"/>
        <w:rPr>
          <w:color w:val="000000" w:themeColor="text1"/>
        </w:rPr>
      </w:pPr>
      <w:bookmarkStart w:id="86" w:name="_Ref491155177"/>
      <w:bookmarkStart w:id="87" w:name="_Toc491847024"/>
      <w:r>
        <w:t xml:space="preserve">Table </w:t>
      </w:r>
      <w:r>
        <w:fldChar w:fldCharType="begin"/>
      </w:r>
      <w:r>
        <w:instrText xml:space="preserve"> SEQ Table \* ARABIC </w:instrText>
      </w:r>
      <w:r>
        <w:fldChar w:fldCharType="separate"/>
      </w:r>
      <w:r w:rsidR="00D806F2">
        <w:rPr>
          <w:noProof/>
        </w:rPr>
        <w:t>5</w:t>
      </w:r>
      <w:r>
        <w:fldChar w:fldCharType="end"/>
      </w:r>
      <w:bookmarkEnd w:id="86"/>
      <w:r>
        <w:t xml:space="preserve"> Presentation of community condition</w:t>
      </w:r>
      <w:bookmarkEnd w:id="87"/>
      <w:r w:rsidR="00FF6E56">
        <w:rPr>
          <w:color w:val="000000" w:themeColor="text1"/>
        </w:rPr>
        <w:t xml:space="preserve"> </w:t>
      </w:r>
    </w:p>
    <w:tbl>
      <w:tblPr>
        <w:tblStyle w:val="TableGrid"/>
        <w:tblW w:w="0" w:type="auto"/>
        <w:tblLook w:val="04A0" w:firstRow="1" w:lastRow="0" w:firstColumn="1" w:lastColumn="0" w:noHBand="0" w:noVBand="1"/>
      </w:tblPr>
      <w:tblGrid>
        <w:gridCol w:w="1092"/>
        <w:gridCol w:w="2614"/>
        <w:gridCol w:w="1858"/>
        <w:gridCol w:w="1858"/>
        <w:gridCol w:w="2207"/>
      </w:tblGrid>
      <w:tr w:rsidR="00FF6E56" w14:paraId="1DBE98DE" w14:textId="77777777" w:rsidTr="00085F46">
        <w:tc>
          <w:tcPr>
            <w:tcW w:w="1097" w:type="dxa"/>
          </w:tcPr>
          <w:p w14:paraId="70CF2549" w14:textId="77777777" w:rsidR="00FF6E56" w:rsidRDefault="00FF6E56" w:rsidP="00FE55D4">
            <w:pPr>
              <w:rPr>
                <w:color w:val="000000" w:themeColor="text1"/>
              </w:rPr>
            </w:pPr>
            <w:r>
              <w:rPr>
                <w:color w:val="000000" w:themeColor="text1"/>
              </w:rPr>
              <w:t>Section</w:t>
            </w:r>
          </w:p>
        </w:tc>
        <w:tc>
          <w:tcPr>
            <w:tcW w:w="2750" w:type="dxa"/>
          </w:tcPr>
          <w:p w14:paraId="55D65F79" w14:textId="77777777" w:rsidR="00FF6E56" w:rsidRDefault="00FF6E56" w:rsidP="00FE55D4">
            <w:pPr>
              <w:rPr>
                <w:color w:val="000000" w:themeColor="text1"/>
              </w:rPr>
            </w:pPr>
            <w:r>
              <w:rPr>
                <w:color w:val="000000" w:themeColor="text1"/>
              </w:rPr>
              <w:t>Scope</w:t>
            </w:r>
          </w:p>
        </w:tc>
        <w:tc>
          <w:tcPr>
            <w:tcW w:w="1926" w:type="dxa"/>
          </w:tcPr>
          <w:p w14:paraId="1C198BD6" w14:textId="77777777" w:rsidR="00FF6E56" w:rsidRDefault="00FF6E56" w:rsidP="00FE55D4">
            <w:pPr>
              <w:rPr>
                <w:color w:val="000000" w:themeColor="text1"/>
              </w:rPr>
            </w:pPr>
            <w:r>
              <w:rPr>
                <w:color w:val="000000" w:themeColor="text1"/>
              </w:rPr>
              <w:t>Scale</w:t>
            </w:r>
          </w:p>
        </w:tc>
        <w:tc>
          <w:tcPr>
            <w:tcW w:w="1926" w:type="dxa"/>
          </w:tcPr>
          <w:p w14:paraId="1B165348" w14:textId="77777777" w:rsidR="00FF6E56" w:rsidRDefault="00FF6E56" w:rsidP="00FE55D4">
            <w:pPr>
              <w:rPr>
                <w:color w:val="000000" w:themeColor="text1"/>
              </w:rPr>
            </w:pPr>
            <w:r>
              <w:rPr>
                <w:color w:val="000000" w:themeColor="text1"/>
              </w:rPr>
              <w:t>Covariates</w:t>
            </w:r>
          </w:p>
        </w:tc>
        <w:tc>
          <w:tcPr>
            <w:tcW w:w="1930" w:type="dxa"/>
          </w:tcPr>
          <w:p w14:paraId="4285B005" w14:textId="460AAE06" w:rsidR="00FF6E56" w:rsidRDefault="00FF6E56" w:rsidP="00FE55D4">
            <w:pPr>
              <w:rPr>
                <w:color w:val="000000" w:themeColor="text1"/>
              </w:rPr>
            </w:pPr>
            <w:r>
              <w:rPr>
                <w:color w:val="000000" w:themeColor="text1"/>
              </w:rPr>
              <w:t>Analyses</w:t>
            </w:r>
            <w:r w:rsidR="00085F46">
              <w:rPr>
                <w:color w:val="000000" w:themeColor="text1"/>
              </w:rPr>
              <w:t>/Presentation</w:t>
            </w:r>
          </w:p>
        </w:tc>
      </w:tr>
      <w:tr w:rsidR="000F4228" w14:paraId="379C0995" w14:textId="77777777" w:rsidTr="00085F46">
        <w:tc>
          <w:tcPr>
            <w:tcW w:w="1097" w:type="dxa"/>
          </w:tcPr>
          <w:p w14:paraId="78807569" w14:textId="5AC10AEA" w:rsidR="000F4228" w:rsidRPr="000F4228" w:rsidRDefault="000F4228" w:rsidP="000F4228">
            <w:pPr>
              <w:rPr>
                <w:color w:val="000000" w:themeColor="text1"/>
              </w:rPr>
            </w:pPr>
            <w:r>
              <w:rPr>
                <w:color w:val="000000" w:themeColor="text1"/>
              </w:rPr>
              <w:t>1</w:t>
            </w:r>
          </w:p>
        </w:tc>
        <w:tc>
          <w:tcPr>
            <w:tcW w:w="2750" w:type="dxa"/>
          </w:tcPr>
          <w:p w14:paraId="73254476" w14:textId="3EF85FA2" w:rsidR="000F4228" w:rsidRDefault="000F4228" w:rsidP="00085F46">
            <w:pPr>
              <w:jc w:val="left"/>
              <w:rPr>
                <w:color w:val="000000" w:themeColor="text1"/>
              </w:rPr>
            </w:pPr>
            <w:r>
              <w:rPr>
                <w:color w:val="000000" w:themeColor="text1"/>
              </w:rPr>
              <w:t>Tends in coral index and metric scores</w:t>
            </w:r>
          </w:p>
        </w:tc>
        <w:tc>
          <w:tcPr>
            <w:tcW w:w="1926" w:type="dxa"/>
          </w:tcPr>
          <w:p w14:paraId="77C064DD" w14:textId="59799B99" w:rsidR="000F4228" w:rsidRDefault="000F4228" w:rsidP="00FE55D4">
            <w:pPr>
              <w:rPr>
                <w:color w:val="000000" w:themeColor="text1"/>
              </w:rPr>
            </w:pPr>
            <w:r>
              <w:rPr>
                <w:color w:val="000000" w:themeColor="text1"/>
              </w:rPr>
              <w:t>Regional</w:t>
            </w:r>
          </w:p>
        </w:tc>
        <w:tc>
          <w:tcPr>
            <w:tcW w:w="1926" w:type="dxa"/>
          </w:tcPr>
          <w:p w14:paraId="2AEA782F" w14:textId="77777777" w:rsidR="000F4228" w:rsidRDefault="000F4228" w:rsidP="00FE55D4">
            <w:pPr>
              <w:rPr>
                <w:color w:val="000000" w:themeColor="text1"/>
              </w:rPr>
            </w:pPr>
          </w:p>
        </w:tc>
        <w:tc>
          <w:tcPr>
            <w:tcW w:w="1930" w:type="dxa"/>
          </w:tcPr>
          <w:p w14:paraId="00116D55" w14:textId="38444D5A" w:rsidR="000F4228" w:rsidRDefault="000F4228" w:rsidP="00085F46">
            <w:pPr>
              <w:jc w:val="left"/>
              <w:rPr>
                <w:color w:val="000000" w:themeColor="text1"/>
              </w:rPr>
            </w:pPr>
            <w:r>
              <w:rPr>
                <w:color w:val="000000" w:themeColor="text1"/>
              </w:rPr>
              <w:t>Coral index derivation, metric scaling.</w:t>
            </w:r>
          </w:p>
        </w:tc>
      </w:tr>
      <w:tr w:rsidR="00FF6E56" w14:paraId="61035901" w14:textId="77777777" w:rsidTr="00085F46">
        <w:tc>
          <w:tcPr>
            <w:tcW w:w="1097" w:type="dxa"/>
          </w:tcPr>
          <w:p w14:paraId="274FAF13" w14:textId="36FC229A" w:rsidR="00FF6E56" w:rsidRDefault="000F4228" w:rsidP="00FE55D4">
            <w:pPr>
              <w:rPr>
                <w:color w:val="000000" w:themeColor="text1"/>
              </w:rPr>
            </w:pPr>
            <w:r>
              <w:rPr>
                <w:color w:val="000000" w:themeColor="text1"/>
              </w:rPr>
              <w:t>5.1.1</w:t>
            </w:r>
          </w:p>
          <w:p w14:paraId="33FB4973" w14:textId="01C8385A" w:rsidR="000F4228" w:rsidRDefault="000F4228" w:rsidP="00FE55D4">
            <w:pPr>
              <w:rPr>
                <w:color w:val="000000" w:themeColor="text1"/>
              </w:rPr>
            </w:pPr>
            <w:r>
              <w:rPr>
                <w:color w:val="000000" w:themeColor="text1"/>
              </w:rPr>
              <w:t>5.1.2</w:t>
            </w:r>
          </w:p>
        </w:tc>
        <w:tc>
          <w:tcPr>
            <w:tcW w:w="2750" w:type="dxa"/>
            <w:vMerge w:val="restart"/>
          </w:tcPr>
          <w:p w14:paraId="4A3DA196" w14:textId="50A4FD9D" w:rsidR="00FF6E56" w:rsidRDefault="00FF6E56" w:rsidP="00085F46">
            <w:pPr>
              <w:jc w:val="left"/>
              <w:rPr>
                <w:color w:val="000000" w:themeColor="text1"/>
              </w:rPr>
            </w:pPr>
            <w:r>
              <w:rPr>
                <w:color w:val="000000" w:themeColor="text1"/>
              </w:rPr>
              <w:t>Spatial variability in</w:t>
            </w:r>
            <w:r w:rsidR="00E75F5C">
              <w:rPr>
                <w:color w:val="000000" w:themeColor="text1"/>
              </w:rPr>
              <w:t xml:space="preserve"> </w:t>
            </w:r>
            <w:r>
              <w:rPr>
                <w:color w:val="000000" w:themeColor="text1"/>
              </w:rPr>
              <w:t>coral index and individual metric scores observed in</w:t>
            </w:r>
            <w:r w:rsidR="00E75F5C">
              <w:rPr>
                <w:color w:val="000000" w:themeColor="text1"/>
              </w:rPr>
              <w:t xml:space="preserve"> </w:t>
            </w:r>
            <w:r>
              <w:rPr>
                <w:color w:val="000000" w:themeColor="text1"/>
              </w:rPr>
              <w:t>2016</w:t>
            </w:r>
          </w:p>
        </w:tc>
        <w:tc>
          <w:tcPr>
            <w:tcW w:w="1926" w:type="dxa"/>
            <w:vMerge w:val="restart"/>
          </w:tcPr>
          <w:p w14:paraId="396CC50B" w14:textId="77777777" w:rsidR="00FF6E56" w:rsidRDefault="00FF6E56" w:rsidP="00FE55D4">
            <w:pPr>
              <w:rPr>
                <w:color w:val="000000" w:themeColor="text1"/>
              </w:rPr>
            </w:pPr>
            <w:r>
              <w:rPr>
                <w:color w:val="000000" w:themeColor="text1"/>
              </w:rPr>
              <w:t>Inshore GBR</w:t>
            </w:r>
          </w:p>
        </w:tc>
        <w:tc>
          <w:tcPr>
            <w:tcW w:w="1926" w:type="dxa"/>
          </w:tcPr>
          <w:p w14:paraId="1CD010C3" w14:textId="77777777" w:rsidR="00FF6E56" w:rsidRDefault="00FF6E56" w:rsidP="00085F46">
            <w:pPr>
              <w:jc w:val="left"/>
              <w:rPr>
                <w:color w:val="000000" w:themeColor="text1"/>
              </w:rPr>
            </w:pPr>
            <w:r>
              <w:rPr>
                <w:color w:val="000000" w:themeColor="text1"/>
              </w:rPr>
              <w:t>Region and Depth</w:t>
            </w:r>
          </w:p>
        </w:tc>
        <w:tc>
          <w:tcPr>
            <w:tcW w:w="1930" w:type="dxa"/>
          </w:tcPr>
          <w:p w14:paraId="751FD38A" w14:textId="77777777" w:rsidR="00FF6E56" w:rsidRDefault="00FF6E56" w:rsidP="00085F46">
            <w:pPr>
              <w:jc w:val="left"/>
              <w:rPr>
                <w:color w:val="000000" w:themeColor="text1"/>
              </w:rPr>
            </w:pPr>
            <w:r>
              <w:rPr>
                <w:color w:val="000000" w:themeColor="text1"/>
              </w:rPr>
              <w:t xml:space="preserve">Bayesian generalised regression models </w:t>
            </w:r>
          </w:p>
        </w:tc>
      </w:tr>
      <w:tr w:rsidR="00FF6E56" w14:paraId="35696F1B" w14:textId="77777777" w:rsidTr="00085F46">
        <w:tc>
          <w:tcPr>
            <w:tcW w:w="1097" w:type="dxa"/>
          </w:tcPr>
          <w:p w14:paraId="587A6F93" w14:textId="79269654" w:rsidR="00FF6E56" w:rsidRDefault="000F4228" w:rsidP="00FE55D4">
            <w:pPr>
              <w:rPr>
                <w:color w:val="000000" w:themeColor="text1"/>
              </w:rPr>
            </w:pPr>
            <w:r>
              <w:rPr>
                <w:color w:val="000000" w:themeColor="text1"/>
              </w:rPr>
              <w:t>5.1.3</w:t>
            </w:r>
          </w:p>
        </w:tc>
        <w:tc>
          <w:tcPr>
            <w:tcW w:w="2750" w:type="dxa"/>
            <w:vMerge/>
          </w:tcPr>
          <w:p w14:paraId="6C17500A" w14:textId="77777777" w:rsidR="00FF6E56" w:rsidRDefault="00FF6E56" w:rsidP="00085F46">
            <w:pPr>
              <w:jc w:val="left"/>
              <w:rPr>
                <w:color w:val="000000" w:themeColor="text1"/>
              </w:rPr>
            </w:pPr>
          </w:p>
        </w:tc>
        <w:tc>
          <w:tcPr>
            <w:tcW w:w="1926" w:type="dxa"/>
            <w:vMerge/>
          </w:tcPr>
          <w:p w14:paraId="55667037" w14:textId="77777777" w:rsidR="00FF6E56" w:rsidRDefault="00FF6E56" w:rsidP="00FE55D4">
            <w:pPr>
              <w:rPr>
                <w:color w:val="000000" w:themeColor="text1"/>
              </w:rPr>
            </w:pPr>
          </w:p>
        </w:tc>
        <w:tc>
          <w:tcPr>
            <w:tcW w:w="1926" w:type="dxa"/>
          </w:tcPr>
          <w:p w14:paraId="55EBCD10" w14:textId="77777777" w:rsidR="00FF6E56" w:rsidRDefault="00FF6E56" w:rsidP="00085F46">
            <w:pPr>
              <w:jc w:val="left"/>
              <w:rPr>
                <w:color w:val="000000" w:themeColor="text1"/>
              </w:rPr>
            </w:pPr>
            <w:r>
              <w:rPr>
                <w:color w:val="000000" w:themeColor="text1"/>
              </w:rPr>
              <w:t xml:space="preserve">Chl </w:t>
            </w:r>
            <w:r w:rsidRPr="000E09B7">
              <w:rPr>
                <w:i/>
                <w:color w:val="000000" w:themeColor="text1"/>
              </w:rPr>
              <w:t>a</w:t>
            </w:r>
            <w:r>
              <w:rPr>
                <w:color w:val="000000" w:themeColor="text1"/>
              </w:rPr>
              <w:t xml:space="preserve">, Suspended solids, sediment grainsize </w:t>
            </w:r>
          </w:p>
        </w:tc>
        <w:tc>
          <w:tcPr>
            <w:tcW w:w="1930" w:type="dxa"/>
          </w:tcPr>
          <w:p w14:paraId="5226CBE8" w14:textId="77777777" w:rsidR="00FF6E56" w:rsidRDefault="00FF6E56" w:rsidP="00085F46">
            <w:pPr>
              <w:jc w:val="left"/>
              <w:rPr>
                <w:color w:val="000000" w:themeColor="text1"/>
              </w:rPr>
            </w:pPr>
            <w:r>
              <w:rPr>
                <w:color w:val="000000" w:themeColor="text1"/>
              </w:rPr>
              <w:t>Gradient boosted regression trees</w:t>
            </w:r>
          </w:p>
        </w:tc>
      </w:tr>
      <w:tr w:rsidR="00FF6E56" w14:paraId="77585549" w14:textId="77777777" w:rsidTr="00085F46">
        <w:tc>
          <w:tcPr>
            <w:tcW w:w="1097" w:type="dxa"/>
          </w:tcPr>
          <w:p w14:paraId="28D820E6" w14:textId="58621937" w:rsidR="00FF6E56" w:rsidRDefault="000F4228" w:rsidP="00FE55D4">
            <w:pPr>
              <w:rPr>
                <w:color w:val="000000" w:themeColor="text1"/>
              </w:rPr>
            </w:pPr>
            <w:r>
              <w:rPr>
                <w:color w:val="000000" w:themeColor="text1"/>
              </w:rPr>
              <w:t>5.1.4</w:t>
            </w:r>
          </w:p>
        </w:tc>
        <w:tc>
          <w:tcPr>
            <w:tcW w:w="2750" w:type="dxa"/>
          </w:tcPr>
          <w:p w14:paraId="0672D2FA" w14:textId="1732C161" w:rsidR="00FF6E56" w:rsidRDefault="00FF6E56" w:rsidP="00085F46">
            <w:pPr>
              <w:jc w:val="left"/>
              <w:rPr>
                <w:color w:val="000000" w:themeColor="text1"/>
              </w:rPr>
            </w:pPr>
            <w:r>
              <w:rPr>
                <w:color w:val="000000" w:themeColor="text1"/>
              </w:rPr>
              <w:t xml:space="preserve">Temporal variability in coral index in relation to </w:t>
            </w:r>
            <w:r w:rsidR="0042623E">
              <w:rPr>
                <w:color w:val="000000" w:themeColor="text1"/>
              </w:rPr>
              <w:t>run-off</w:t>
            </w:r>
          </w:p>
        </w:tc>
        <w:tc>
          <w:tcPr>
            <w:tcW w:w="1926" w:type="dxa"/>
          </w:tcPr>
          <w:p w14:paraId="7E1475DE" w14:textId="73F3E94E" w:rsidR="00FF6E56" w:rsidRDefault="00FF6E56" w:rsidP="00FE55D4">
            <w:pPr>
              <w:rPr>
                <w:color w:val="000000" w:themeColor="text1"/>
              </w:rPr>
            </w:pPr>
            <w:r>
              <w:rPr>
                <w:color w:val="000000" w:themeColor="text1"/>
              </w:rPr>
              <w:t>R</w:t>
            </w:r>
            <w:r w:rsidR="000F4228">
              <w:rPr>
                <w:color w:val="000000" w:themeColor="text1"/>
              </w:rPr>
              <w:t>egional</w:t>
            </w:r>
          </w:p>
        </w:tc>
        <w:tc>
          <w:tcPr>
            <w:tcW w:w="1926" w:type="dxa"/>
          </w:tcPr>
          <w:p w14:paraId="71FAB690" w14:textId="0D53D3D6" w:rsidR="00FF6E56" w:rsidRDefault="000E09B7" w:rsidP="00085F46">
            <w:pPr>
              <w:jc w:val="left"/>
              <w:rPr>
                <w:color w:val="000000" w:themeColor="text1"/>
              </w:rPr>
            </w:pPr>
            <w:r>
              <w:rPr>
                <w:color w:val="000000" w:themeColor="text1"/>
              </w:rPr>
              <w:t xml:space="preserve">Regional discharge, DIN </w:t>
            </w:r>
            <w:r w:rsidR="000F4228">
              <w:rPr>
                <w:color w:val="000000" w:themeColor="text1"/>
              </w:rPr>
              <w:t>and</w:t>
            </w:r>
            <w:r>
              <w:rPr>
                <w:color w:val="000000" w:themeColor="text1"/>
              </w:rPr>
              <w:t xml:space="preserve"> TSS loads</w:t>
            </w:r>
          </w:p>
        </w:tc>
        <w:tc>
          <w:tcPr>
            <w:tcW w:w="1930" w:type="dxa"/>
          </w:tcPr>
          <w:p w14:paraId="3A3AA853" w14:textId="77777777" w:rsidR="00FF6E56" w:rsidRDefault="00FF6E56" w:rsidP="00085F46">
            <w:pPr>
              <w:jc w:val="left"/>
              <w:rPr>
                <w:color w:val="000000" w:themeColor="text1"/>
              </w:rPr>
            </w:pPr>
            <w:r>
              <w:rPr>
                <w:color w:val="000000" w:themeColor="text1"/>
              </w:rPr>
              <w:t>Generalised Additive Models</w:t>
            </w:r>
          </w:p>
        </w:tc>
      </w:tr>
      <w:tr w:rsidR="00FF6E56" w14:paraId="4BDA1F95" w14:textId="77777777" w:rsidTr="00085F46">
        <w:tc>
          <w:tcPr>
            <w:tcW w:w="1097" w:type="dxa"/>
          </w:tcPr>
          <w:p w14:paraId="12CCC942" w14:textId="63F27F3F" w:rsidR="00FF6E56" w:rsidRDefault="000F4228" w:rsidP="00FE55D4">
            <w:pPr>
              <w:rPr>
                <w:color w:val="000000" w:themeColor="text1"/>
              </w:rPr>
            </w:pPr>
            <w:r>
              <w:rPr>
                <w:color w:val="000000" w:themeColor="text1"/>
              </w:rPr>
              <w:t>5.2</w:t>
            </w:r>
          </w:p>
        </w:tc>
        <w:tc>
          <w:tcPr>
            <w:tcW w:w="2750" w:type="dxa"/>
          </w:tcPr>
          <w:p w14:paraId="5551A6A4" w14:textId="6908912A" w:rsidR="00FF6E56" w:rsidRDefault="00FF6E56" w:rsidP="00085F46">
            <w:pPr>
              <w:jc w:val="left"/>
              <w:rPr>
                <w:color w:val="000000" w:themeColor="text1"/>
              </w:rPr>
            </w:pPr>
            <w:r>
              <w:rPr>
                <w:color w:val="000000" w:themeColor="text1"/>
              </w:rPr>
              <w:t xml:space="preserve">Observed trends in </w:t>
            </w:r>
            <w:r w:rsidR="000F4228">
              <w:rPr>
                <w:color w:val="000000" w:themeColor="text1"/>
              </w:rPr>
              <w:t xml:space="preserve">coral </w:t>
            </w:r>
            <w:r>
              <w:rPr>
                <w:color w:val="000000" w:themeColor="text1"/>
              </w:rPr>
              <w:t>index and individual indicators</w:t>
            </w:r>
          </w:p>
        </w:tc>
        <w:tc>
          <w:tcPr>
            <w:tcW w:w="1926" w:type="dxa"/>
          </w:tcPr>
          <w:p w14:paraId="3872CE3A" w14:textId="6F5828D9" w:rsidR="00FF6E56" w:rsidRDefault="00085F46" w:rsidP="00FE55D4">
            <w:pPr>
              <w:rPr>
                <w:color w:val="000000" w:themeColor="text1"/>
              </w:rPr>
            </w:pPr>
            <w:r>
              <w:rPr>
                <w:color w:val="000000" w:themeColor="text1"/>
              </w:rPr>
              <w:t>Regional</w:t>
            </w:r>
          </w:p>
        </w:tc>
        <w:tc>
          <w:tcPr>
            <w:tcW w:w="1926" w:type="dxa"/>
          </w:tcPr>
          <w:p w14:paraId="275E4915" w14:textId="77777777" w:rsidR="00FF6E56" w:rsidRDefault="00FF6E56" w:rsidP="00085F46">
            <w:pPr>
              <w:jc w:val="left"/>
              <w:rPr>
                <w:color w:val="000000" w:themeColor="text1"/>
              </w:rPr>
            </w:pPr>
            <w:r>
              <w:rPr>
                <w:color w:val="000000" w:themeColor="text1"/>
              </w:rPr>
              <w:t>Time</w:t>
            </w:r>
          </w:p>
        </w:tc>
        <w:tc>
          <w:tcPr>
            <w:tcW w:w="1930" w:type="dxa"/>
          </w:tcPr>
          <w:p w14:paraId="67268571" w14:textId="4F292C6D" w:rsidR="00FF6E56" w:rsidRDefault="00085F46" w:rsidP="00085F46">
            <w:pPr>
              <w:jc w:val="left"/>
              <w:rPr>
                <w:color w:val="000000" w:themeColor="text1"/>
              </w:rPr>
            </w:pPr>
            <w:r>
              <w:rPr>
                <w:color w:val="000000" w:themeColor="text1"/>
              </w:rPr>
              <w:t>Linear mixed models</w:t>
            </w:r>
          </w:p>
        </w:tc>
      </w:tr>
      <w:tr w:rsidR="00085F46" w14:paraId="76C5DB3F" w14:textId="77777777" w:rsidTr="00085F46">
        <w:tc>
          <w:tcPr>
            <w:tcW w:w="1097" w:type="dxa"/>
            <w:vMerge w:val="restart"/>
          </w:tcPr>
          <w:p w14:paraId="09FA87AD" w14:textId="77777777" w:rsidR="00085F46" w:rsidRDefault="00085F46" w:rsidP="00FE55D4">
            <w:pPr>
              <w:rPr>
                <w:color w:val="000000" w:themeColor="text1"/>
              </w:rPr>
            </w:pPr>
            <w:r>
              <w:rPr>
                <w:color w:val="000000" w:themeColor="text1"/>
              </w:rPr>
              <w:t>Appendix</w:t>
            </w:r>
          </w:p>
        </w:tc>
        <w:tc>
          <w:tcPr>
            <w:tcW w:w="2750" w:type="dxa"/>
          </w:tcPr>
          <w:p w14:paraId="6B33A494" w14:textId="77777777" w:rsidR="00085F46" w:rsidRDefault="00085F46" w:rsidP="00085F46">
            <w:pPr>
              <w:jc w:val="left"/>
              <w:rPr>
                <w:color w:val="000000" w:themeColor="text1"/>
              </w:rPr>
            </w:pPr>
            <w:r>
              <w:rPr>
                <w:color w:val="000000" w:themeColor="text1"/>
              </w:rPr>
              <w:t>Trends in benthic community composition.</w:t>
            </w:r>
          </w:p>
        </w:tc>
        <w:tc>
          <w:tcPr>
            <w:tcW w:w="1926" w:type="dxa"/>
          </w:tcPr>
          <w:p w14:paraId="373DAC77" w14:textId="29EEB6F6" w:rsidR="00085F46" w:rsidRDefault="00085F46" w:rsidP="00FE55D4">
            <w:pPr>
              <w:rPr>
                <w:color w:val="000000" w:themeColor="text1"/>
              </w:rPr>
            </w:pPr>
            <w:r>
              <w:rPr>
                <w:color w:val="000000" w:themeColor="text1"/>
              </w:rPr>
              <w:t>Reef/Depth</w:t>
            </w:r>
          </w:p>
        </w:tc>
        <w:tc>
          <w:tcPr>
            <w:tcW w:w="1926" w:type="dxa"/>
          </w:tcPr>
          <w:p w14:paraId="540E1DE2" w14:textId="77777777" w:rsidR="00085F46" w:rsidRDefault="00085F46" w:rsidP="00FE55D4">
            <w:pPr>
              <w:rPr>
                <w:color w:val="000000" w:themeColor="text1"/>
              </w:rPr>
            </w:pPr>
          </w:p>
        </w:tc>
        <w:tc>
          <w:tcPr>
            <w:tcW w:w="1930" w:type="dxa"/>
          </w:tcPr>
          <w:p w14:paraId="3C9D39F9" w14:textId="77777777" w:rsidR="00085F46" w:rsidRDefault="00085F46" w:rsidP="00085F46">
            <w:pPr>
              <w:jc w:val="left"/>
              <w:rPr>
                <w:color w:val="000000" w:themeColor="text1"/>
              </w:rPr>
            </w:pPr>
            <w:r>
              <w:rPr>
                <w:color w:val="000000" w:themeColor="text1"/>
              </w:rPr>
              <w:t>Plots and Tables</w:t>
            </w:r>
          </w:p>
        </w:tc>
      </w:tr>
      <w:tr w:rsidR="00085F46" w14:paraId="033BE243" w14:textId="77777777" w:rsidTr="00085F46">
        <w:tc>
          <w:tcPr>
            <w:tcW w:w="1097" w:type="dxa"/>
            <w:vMerge/>
          </w:tcPr>
          <w:p w14:paraId="1F78FF44" w14:textId="77777777" w:rsidR="00085F46" w:rsidRDefault="00085F46" w:rsidP="00FE55D4">
            <w:pPr>
              <w:rPr>
                <w:color w:val="000000" w:themeColor="text1"/>
              </w:rPr>
            </w:pPr>
          </w:p>
        </w:tc>
        <w:tc>
          <w:tcPr>
            <w:tcW w:w="2750" w:type="dxa"/>
          </w:tcPr>
          <w:p w14:paraId="7FE5A572" w14:textId="77777777" w:rsidR="00085F46" w:rsidRDefault="00085F46" w:rsidP="00085F46">
            <w:pPr>
              <w:jc w:val="left"/>
              <w:rPr>
                <w:color w:val="000000" w:themeColor="text1"/>
              </w:rPr>
            </w:pPr>
            <w:r>
              <w:rPr>
                <w:color w:val="000000" w:themeColor="text1"/>
              </w:rPr>
              <w:t>Summaries of 2016 observations</w:t>
            </w:r>
          </w:p>
        </w:tc>
        <w:tc>
          <w:tcPr>
            <w:tcW w:w="1926" w:type="dxa"/>
          </w:tcPr>
          <w:p w14:paraId="28090D23" w14:textId="4BB2569F" w:rsidR="00085F46" w:rsidRDefault="00085F46" w:rsidP="00FE55D4">
            <w:pPr>
              <w:rPr>
                <w:color w:val="000000" w:themeColor="text1"/>
              </w:rPr>
            </w:pPr>
            <w:r>
              <w:rPr>
                <w:color w:val="000000" w:themeColor="text1"/>
              </w:rPr>
              <w:t>Reef/Depth</w:t>
            </w:r>
          </w:p>
        </w:tc>
        <w:tc>
          <w:tcPr>
            <w:tcW w:w="1926" w:type="dxa"/>
          </w:tcPr>
          <w:p w14:paraId="7E49C1F7" w14:textId="77777777" w:rsidR="00085F46" w:rsidRDefault="00085F46" w:rsidP="00FE55D4">
            <w:pPr>
              <w:rPr>
                <w:color w:val="000000" w:themeColor="text1"/>
              </w:rPr>
            </w:pPr>
          </w:p>
        </w:tc>
        <w:tc>
          <w:tcPr>
            <w:tcW w:w="1930" w:type="dxa"/>
          </w:tcPr>
          <w:p w14:paraId="6EA32128" w14:textId="77777777" w:rsidR="00085F46" w:rsidRDefault="00085F46" w:rsidP="00085F46">
            <w:pPr>
              <w:jc w:val="left"/>
              <w:rPr>
                <w:color w:val="000000" w:themeColor="text1"/>
              </w:rPr>
            </w:pPr>
            <w:r>
              <w:rPr>
                <w:color w:val="000000" w:themeColor="text1"/>
              </w:rPr>
              <w:t>Tables</w:t>
            </w:r>
          </w:p>
        </w:tc>
      </w:tr>
    </w:tbl>
    <w:p w14:paraId="2B63D904" w14:textId="77777777" w:rsidR="00FF6E56" w:rsidRDefault="00FF6E56" w:rsidP="00FF6E56">
      <w:pPr>
        <w:rPr>
          <w:color w:val="000000" w:themeColor="text1"/>
        </w:rPr>
      </w:pPr>
    </w:p>
    <w:p w14:paraId="341A0329" w14:textId="53FB66CA" w:rsidR="00FF6E56" w:rsidRDefault="000E09B7" w:rsidP="00B9528B">
      <w:pPr>
        <w:pStyle w:val="Heading3"/>
      </w:pPr>
      <w:bookmarkStart w:id="88" w:name="_Toc493153309"/>
      <w:r>
        <w:t xml:space="preserve">4.6.1 </w:t>
      </w:r>
      <w:r w:rsidR="00FF6E56">
        <w:t>Variation in index and metric scores among Regions and depths</w:t>
      </w:r>
      <w:bookmarkEnd w:id="88"/>
    </w:p>
    <w:p w14:paraId="64F818BB" w14:textId="611E8069" w:rsidR="00FF6E56" w:rsidRDefault="00FF6E56" w:rsidP="00085F46">
      <w:pPr>
        <w:rPr>
          <w:rFonts w:cs="Arial"/>
          <w:szCs w:val="22"/>
        </w:rPr>
      </w:pPr>
      <w:r w:rsidRPr="00C159EB">
        <w:rPr>
          <w:rFonts w:cs="Arial"/>
          <w:color w:val="000000"/>
          <w:szCs w:val="22"/>
        </w:rPr>
        <w:t>Spatial variation in index and metric scores where explored using Bayesian generalised regression models. For the index and each individual metric</w:t>
      </w:r>
      <w:r>
        <w:rPr>
          <w:rFonts w:cs="Arial"/>
          <w:color w:val="000000"/>
          <w:szCs w:val="22"/>
        </w:rPr>
        <w:t>,</w:t>
      </w:r>
      <w:r w:rsidRPr="00C159EB">
        <w:rPr>
          <w:rFonts w:cs="Arial"/>
          <w:color w:val="000000"/>
          <w:szCs w:val="22"/>
        </w:rPr>
        <w:t xml:space="preserve"> separate models were fit that included either </w:t>
      </w:r>
      <w:r>
        <w:rPr>
          <w:rFonts w:cs="Arial"/>
          <w:color w:val="000000"/>
          <w:szCs w:val="22"/>
        </w:rPr>
        <w:t xml:space="preserve">a single factor for region or </w:t>
      </w:r>
      <w:r w:rsidRPr="00C159EB">
        <w:rPr>
          <w:rFonts w:cs="Arial"/>
          <w:color w:val="000000"/>
          <w:szCs w:val="22"/>
        </w:rPr>
        <w:t xml:space="preserve">the interaction between region and depth as covariates. </w:t>
      </w:r>
      <w:r>
        <w:rPr>
          <w:rFonts w:cs="Arial"/>
          <w:color w:val="000000"/>
          <w:szCs w:val="22"/>
        </w:rPr>
        <w:t xml:space="preserve">The model for depth also included a random term for individual reefs. </w:t>
      </w:r>
      <w:r w:rsidRPr="00C159EB">
        <w:rPr>
          <w:rFonts w:cs="Arial"/>
          <w:color w:val="000000"/>
          <w:szCs w:val="22"/>
        </w:rPr>
        <w:t>Data were modelled assuming a Beta error distribution to conform to score range</w:t>
      </w:r>
      <w:r>
        <w:rPr>
          <w:rFonts w:cs="Arial"/>
          <w:color w:val="000000"/>
          <w:szCs w:val="22"/>
        </w:rPr>
        <w:t>s</w:t>
      </w:r>
      <w:r w:rsidRPr="00C159EB">
        <w:rPr>
          <w:rFonts w:cs="Arial"/>
          <w:color w:val="000000"/>
          <w:szCs w:val="22"/>
        </w:rPr>
        <w:t xml:space="preserve"> between 0 and 1. For individual metrics</w:t>
      </w:r>
      <w:r>
        <w:rPr>
          <w:rFonts w:cs="Arial"/>
          <w:color w:val="000000"/>
          <w:szCs w:val="22"/>
        </w:rPr>
        <w:t>,</w:t>
      </w:r>
      <w:r w:rsidRPr="00C159EB">
        <w:rPr>
          <w:rFonts w:cs="Arial"/>
          <w:color w:val="000000"/>
          <w:szCs w:val="22"/>
        </w:rPr>
        <w:t xml:space="preserve"> </w:t>
      </w:r>
      <w:r>
        <w:rPr>
          <w:rFonts w:cs="Arial"/>
          <w:color w:val="000000"/>
          <w:szCs w:val="22"/>
        </w:rPr>
        <w:t>scores of 0 and 1 we</w:t>
      </w:r>
      <w:r w:rsidRPr="00C159EB">
        <w:rPr>
          <w:rFonts w:cs="Arial"/>
          <w:color w:val="000000"/>
          <w:szCs w:val="22"/>
        </w:rPr>
        <w:t xml:space="preserve">re </w:t>
      </w:r>
      <w:r>
        <w:rPr>
          <w:rFonts w:cs="Arial"/>
          <w:color w:val="000000"/>
          <w:szCs w:val="22"/>
        </w:rPr>
        <w:t xml:space="preserve">observed </w:t>
      </w:r>
      <w:r w:rsidRPr="00C159EB">
        <w:rPr>
          <w:rFonts w:cs="Arial"/>
          <w:color w:val="000000"/>
          <w:szCs w:val="22"/>
        </w:rPr>
        <w:t xml:space="preserve">requiring a minor transformation of the observed scores of the form ((Score*0.998) + 0.001) prior to analysis. </w:t>
      </w:r>
      <w:r w:rsidRPr="00C159EB">
        <w:rPr>
          <w:rFonts w:cs="Arial"/>
          <w:szCs w:val="22"/>
        </w:rPr>
        <w:t xml:space="preserve">Weekly informative </w:t>
      </w:r>
      <w:r>
        <w:rPr>
          <w:rFonts w:cs="Arial"/>
          <w:szCs w:val="22"/>
        </w:rPr>
        <w:t>normally distributed (mean 0, standard deviation 10)</w:t>
      </w:r>
      <w:r w:rsidRPr="00C159EB">
        <w:rPr>
          <w:rFonts w:cs="Arial"/>
          <w:szCs w:val="22"/>
        </w:rPr>
        <w:t xml:space="preserve"> priors were applied to </w:t>
      </w:r>
      <w:r>
        <w:rPr>
          <w:rFonts w:cs="Arial"/>
          <w:szCs w:val="22"/>
        </w:rPr>
        <w:t xml:space="preserve">model parameters and Cauchy distributed (mean 0, standard deviation 1) priors were applied to random effects. </w:t>
      </w:r>
      <w:r w:rsidRPr="00C159EB">
        <w:rPr>
          <w:rFonts w:cs="Arial"/>
          <w:szCs w:val="22"/>
        </w:rPr>
        <w:t xml:space="preserve">A total of </w:t>
      </w:r>
      <w:r>
        <w:rPr>
          <w:rFonts w:cs="Arial"/>
          <w:szCs w:val="22"/>
        </w:rPr>
        <w:t>5</w:t>
      </w:r>
      <w:r w:rsidRPr="00C159EB">
        <w:rPr>
          <w:rFonts w:cs="Arial"/>
          <w:szCs w:val="22"/>
        </w:rPr>
        <w:t xml:space="preserve">,000 Markov-chain Monte Carlo (MCMC) samples were collected for each of three chains with a thinning rate of </w:t>
      </w:r>
      <w:r>
        <w:rPr>
          <w:rFonts w:cs="Arial"/>
          <w:szCs w:val="22"/>
        </w:rPr>
        <w:t>5</w:t>
      </w:r>
      <w:r w:rsidR="00BA58C1">
        <w:rPr>
          <w:rFonts w:cs="Arial"/>
          <w:szCs w:val="22"/>
        </w:rPr>
        <w:t>. Mean difference</w:t>
      </w:r>
      <w:r w:rsidRPr="00C159EB">
        <w:rPr>
          <w:rFonts w:cs="Arial"/>
          <w:szCs w:val="22"/>
        </w:rPr>
        <w:t xml:space="preserve"> </w:t>
      </w:r>
      <w:r>
        <w:rPr>
          <w:rFonts w:cs="Arial"/>
          <w:szCs w:val="22"/>
        </w:rPr>
        <w:t xml:space="preserve">among levels of covariates were reported based on 95% </w:t>
      </w:r>
      <w:r w:rsidRPr="00C159EB">
        <w:rPr>
          <w:rFonts w:cs="Arial"/>
          <w:szCs w:val="22"/>
        </w:rPr>
        <w:t xml:space="preserve">credible intervals predicted from posterior distributions of model parameters. All modelling was conducted using the </w:t>
      </w:r>
      <w:r>
        <w:rPr>
          <w:rFonts w:cs="Arial"/>
          <w:szCs w:val="22"/>
        </w:rPr>
        <w:t>BRM</w:t>
      </w:r>
      <w:r w:rsidRPr="00C159EB">
        <w:rPr>
          <w:rFonts w:cs="Arial"/>
          <w:szCs w:val="22"/>
        </w:rPr>
        <w:t xml:space="preserve"> package in R (R Core Team, 2015).</w:t>
      </w:r>
    </w:p>
    <w:p w14:paraId="1CD999CC" w14:textId="77777777" w:rsidR="00FF6E56" w:rsidRPr="00C159EB" w:rsidRDefault="00FF6E56" w:rsidP="00085F46">
      <w:pPr>
        <w:autoSpaceDE w:val="0"/>
        <w:autoSpaceDN w:val="0"/>
        <w:adjustRightInd w:val="0"/>
        <w:rPr>
          <w:rFonts w:cs="Arial"/>
          <w:szCs w:val="22"/>
        </w:rPr>
      </w:pPr>
      <w:r>
        <w:rPr>
          <w:rFonts w:cs="Arial"/>
          <w:szCs w:val="22"/>
        </w:rPr>
        <w:t xml:space="preserve">The community composition metric is scored categorically and spatial differences in this metric were based on multinomial models </w:t>
      </w:r>
    </w:p>
    <w:p w14:paraId="5DE11062" w14:textId="6EA32640" w:rsidR="00FF6E56" w:rsidRDefault="000E09B7" w:rsidP="00B9528B">
      <w:pPr>
        <w:pStyle w:val="Heading3"/>
      </w:pPr>
      <w:bookmarkStart w:id="89" w:name="_Toc493153310"/>
      <w:r>
        <w:t xml:space="preserve">4.6.2 </w:t>
      </w:r>
      <w:r w:rsidR="00FF6E56">
        <w:t>Variation in index and metric scores to gradients in water quality</w:t>
      </w:r>
      <w:bookmarkEnd w:id="89"/>
    </w:p>
    <w:p w14:paraId="58C0984F" w14:textId="43714B98" w:rsidR="00FF6E56" w:rsidRPr="00085F46" w:rsidRDefault="00FF6E56" w:rsidP="00085F46">
      <w:pPr>
        <w:autoSpaceDE w:val="0"/>
        <w:autoSpaceDN w:val="0"/>
        <w:adjustRightInd w:val="0"/>
        <w:rPr>
          <w:rFonts w:cs="Arial"/>
          <w:color w:val="000000"/>
          <w:szCs w:val="22"/>
        </w:rPr>
      </w:pPr>
      <w:r w:rsidRPr="00085F46">
        <w:rPr>
          <w:rFonts w:cs="Arial"/>
          <w:color w:val="000000"/>
          <w:szCs w:val="22"/>
        </w:rPr>
        <w:t xml:space="preserve">Environmental drivers of variation in index scores in 2016 were explored via Gradient Boosted Regression Tree (BRT) Models (Ridgeway 2017). BRT models were fit separately to </w:t>
      </w:r>
      <w:r w:rsidR="00AA72A3">
        <w:rPr>
          <w:rFonts w:cs="Arial"/>
          <w:color w:val="000000"/>
          <w:szCs w:val="22"/>
        </w:rPr>
        <w:t>2 m</w:t>
      </w:r>
      <w:r w:rsidRPr="00085F46">
        <w:rPr>
          <w:rFonts w:cs="Arial"/>
          <w:color w:val="000000"/>
          <w:szCs w:val="22"/>
        </w:rPr>
        <w:t xml:space="preserve"> and </w:t>
      </w:r>
      <w:r w:rsidR="00AA72A3">
        <w:rPr>
          <w:rFonts w:cs="Arial"/>
          <w:color w:val="000000"/>
          <w:szCs w:val="22"/>
        </w:rPr>
        <w:t>5 m</w:t>
      </w:r>
      <w:r w:rsidRPr="00085F46">
        <w:rPr>
          <w:rFonts w:cs="Arial"/>
          <w:color w:val="000000"/>
          <w:szCs w:val="22"/>
        </w:rPr>
        <w:t xml:space="preserve"> depth sites and included covariates of Chl </w:t>
      </w:r>
      <w:r w:rsidRPr="00BA58C1">
        <w:rPr>
          <w:rFonts w:cs="Arial"/>
          <w:i/>
          <w:color w:val="000000"/>
          <w:szCs w:val="22"/>
        </w:rPr>
        <w:t>a</w:t>
      </w:r>
      <w:r w:rsidR="00BA58C1">
        <w:rPr>
          <w:rFonts w:cs="Arial"/>
          <w:color w:val="000000"/>
          <w:szCs w:val="22"/>
        </w:rPr>
        <w:t>, NAP and</w:t>
      </w:r>
      <w:r w:rsidRPr="00085F46">
        <w:rPr>
          <w:rFonts w:cs="Arial"/>
          <w:color w:val="000000"/>
          <w:szCs w:val="22"/>
        </w:rPr>
        <w:t xml:space="preserve"> grainsize. A total of 5000 trees were fit to an interaction</w:t>
      </w:r>
      <w:r w:rsidR="00BA58C1">
        <w:rPr>
          <w:rFonts w:cs="Arial"/>
          <w:color w:val="000000"/>
          <w:szCs w:val="22"/>
        </w:rPr>
        <w:t xml:space="preserve"> depth of 3, bag fraction of 0.</w:t>
      </w:r>
      <w:r w:rsidRPr="00085F46">
        <w:rPr>
          <w:rFonts w:cs="Arial"/>
          <w:color w:val="000000"/>
          <w:szCs w:val="22"/>
        </w:rPr>
        <w:t>5 and shrinkage rate of 0.001. The optimal number of boosting iterations was determined by the ‘out-of-bag’ method. Uncertainty in partial effects and relative importance estimates was incorporated by bootstrapping (sampling with replacement) each BRT 100 times. Where BRT indicated a variation in index scores about a threshold in a covariate the magnitude and significance of that threshold was investigated with linear models. Linear models compared the predicted median of index scores for the partial effect of the covariate of interest categorised as either above or below the threshold in the environmental variable.</w:t>
      </w:r>
      <w:r w:rsidR="00E75F5C">
        <w:rPr>
          <w:rFonts w:cs="Arial"/>
          <w:color w:val="000000"/>
          <w:szCs w:val="22"/>
        </w:rPr>
        <w:t xml:space="preserve"> </w:t>
      </w:r>
      <w:r w:rsidRPr="00085F46">
        <w:rPr>
          <w:rFonts w:cs="Arial"/>
          <w:color w:val="000000"/>
          <w:szCs w:val="22"/>
        </w:rPr>
        <w:t>All BRT models were fit via the gbm package (Ridgeway 2017) and linear models were fit via the stats package within the R Statistical and Graphical Environment (R Core Team 2016).</w:t>
      </w:r>
    </w:p>
    <w:p w14:paraId="6F9FEDC8" w14:textId="03FF6169" w:rsidR="00FF6E56" w:rsidRDefault="000E09B7" w:rsidP="00B9528B">
      <w:pPr>
        <w:pStyle w:val="Heading3"/>
      </w:pPr>
      <w:bookmarkStart w:id="90" w:name="_Toc493153311"/>
      <w:r>
        <w:t xml:space="preserve">4.6.3 </w:t>
      </w:r>
      <w:r w:rsidR="00FF6E56">
        <w:t>Relationship between index and metric scores and regional discharge from adjacent catchments</w:t>
      </w:r>
      <w:bookmarkEnd w:id="90"/>
      <w:r w:rsidR="00FF6E56">
        <w:t xml:space="preserve"> </w:t>
      </w:r>
    </w:p>
    <w:p w14:paraId="6571FEC0" w14:textId="11317418" w:rsidR="00FF6E56" w:rsidRDefault="00FF6E56" w:rsidP="00FF6E56">
      <w:pPr>
        <w:rPr>
          <w:szCs w:val="22"/>
        </w:rPr>
      </w:pPr>
      <w:r>
        <w:rPr>
          <w:szCs w:val="22"/>
        </w:rPr>
        <w:t xml:space="preserve">The response of coral communities to </w:t>
      </w:r>
      <w:r w:rsidRPr="00985D7E">
        <w:rPr>
          <w:szCs w:val="22"/>
        </w:rPr>
        <w:t xml:space="preserve">variation in </w:t>
      </w:r>
      <w:r>
        <w:rPr>
          <w:szCs w:val="22"/>
        </w:rPr>
        <w:t xml:space="preserve">land-based </w:t>
      </w:r>
      <w:r w:rsidR="0042623E">
        <w:rPr>
          <w:szCs w:val="22"/>
        </w:rPr>
        <w:t>run-off</w:t>
      </w:r>
      <w:r>
        <w:rPr>
          <w:szCs w:val="22"/>
        </w:rPr>
        <w:t xml:space="preserve"> was assessed by comparing changes in index scores to annual discharge from the rivers in each catchment. The assumption being made </w:t>
      </w:r>
      <w:r w:rsidR="00CD2D07">
        <w:rPr>
          <w:szCs w:val="22"/>
        </w:rPr>
        <w:t xml:space="preserve">was </w:t>
      </w:r>
      <w:r>
        <w:rPr>
          <w:szCs w:val="22"/>
        </w:rPr>
        <w:t xml:space="preserve">that discharge is monotonically related to the cumulative influences of loads of nutrients </w:t>
      </w:r>
      <w:r w:rsidR="00BA58C1">
        <w:rPr>
          <w:szCs w:val="22"/>
        </w:rPr>
        <w:t xml:space="preserve">and </w:t>
      </w:r>
      <w:r>
        <w:rPr>
          <w:szCs w:val="22"/>
        </w:rPr>
        <w:t xml:space="preserve">sediments delivered to the Reef lagoon. </w:t>
      </w:r>
      <w:r w:rsidRPr="00985D7E">
        <w:rPr>
          <w:szCs w:val="22"/>
        </w:rPr>
        <w:t>For this analysis</w:t>
      </w:r>
      <w:r>
        <w:rPr>
          <w:szCs w:val="22"/>
        </w:rPr>
        <w:t xml:space="preserve"> Generalised Additive Models (GAMs) were applied separately for results from each Region. The</w:t>
      </w:r>
      <w:r w:rsidRPr="00985D7E">
        <w:rPr>
          <w:szCs w:val="22"/>
        </w:rPr>
        <w:t xml:space="preserve"> response variable was the </w:t>
      </w:r>
      <w:r>
        <w:rPr>
          <w:szCs w:val="22"/>
        </w:rPr>
        <w:t xml:space="preserve">biennial </w:t>
      </w:r>
      <w:r w:rsidRPr="00985D7E">
        <w:rPr>
          <w:szCs w:val="22"/>
        </w:rPr>
        <w:t>change in the index score</w:t>
      </w:r>
      <w:r>
        <w:rPr>
          <w:szCs w:val="22"/>
        </w:rPr>
        <w:t xml:space="preserve"> (</w:t>
      </w:r>
      <w:r w:rsidRPr="00DD0AB0">
        <w:rPr>
          <w:i/>
          <w:szCs w:val="22"/>
        </w:rPr>
        <w:t>I</w:t>
      </w:r>
      <w:r>
        <w:rPr>
          <w:szCs w:val="22"/>
        </w:rPr>
        <w:t>)</w:t>
      </w:r>
      <w:r w:rsidRPr="00985D7E">
        <w:rPr>
          <w:szCs w:val="22"/>
        </w:rPr>
        <w:t xml:space="preserve"> at </w:t>
      </w:r>
      <w:r>
        <w:rPr>
          <w:szCs w:val="22"/>
        </w:rPr>
        <w:t>a given reef (r) from one year (y) to the year (y+2). Biennial changes were considered due to the biennial sampling design of the program.</w:t>
      </w:r>
    </w:p>
    <w:p w14:paraId="6146F792" w14:textId="0BD55758" w:rsidR="00FF6E56" w:rsidRPr="00DB2A25" w:rsidRDefault="00FF6E56" w:rsidP="00FF6E56">
      <w:pPr>
        <w:rPr>
          <w:szCs w:val="22"/>
        </w:rPr>
      </w:pPr>
      <m:oMathPara>
        <m:oMath>
          <m:r>
            <w:rPr>
              <w:rFonts w:ascii="Cambria Math" w:hAnsi="Cambria Math" w:cs="Arial"/>
              <w:szCs w:val="22"/>
            </w:rPr>
            <m:t>Δ</m:t>
          </m:r>
          <m:r>
            <w:rPr>
              <w:rFonts w:ascii="Cambria Math" w:hAnsi="Cambria Math"/>
              <w:szCs w:val="22"/>
            </w:rPr>
            <m:t xml:space="preserve">I = </m:t>
          </m:r>
          <m:sSub>
            <m:sSubPr>
              <m:ctrlPr>
                <w:rPr>
                  <w:rFonts w:ascii="Cambria Math" w:hAnsi="Cambria Math"/>
                  <w:i/>
                  <w:szCs w:val="22"/>
                </w:rPr>
              </m:ctrlPr>
            </m:sSubPr>
            <m:e>
              <m:r>
                <w:rPr>
                  <w:rFonts w:ascii="Cambria Math" w:hAnsi="Cambria Math"/>
                  <w:szCs w:val="22"/>
                </w:rPr>
                <m:t>I</m:t>
              </m:r>
            </m:e>
            <m:sub>
              <m:r>
                <w:rPr>
                  <w:rFonts w:ascii="Cambria Math" w:hAnsi="Cambria Math"/>
                  <w:szCs w:val="22"/>
                </w:rPr>
                <m:t>ry+2</m:t>
              </m:r>
            </m:sub>
          </m:sSub>
          <m:r>
            <w:rPr>
              <w:rFonts w:ascii="Cambria Math" w:hAnsi="Cambria Math"/>
              <w:szCs w:val="22"/>
            </w:rPr>
            <m:t xml:space="preserve">– </m:t>
          </m:r>
          <m:sSub>
            <m:sSubPr>
              <m:ctrlPr>
                <w:rPr>
                  <w:rFonts w:ascii="Cambria Math" w:hAnsi="Cambria Math"/>
                  <w:i/>
                  <w:szCs w:val="22"/>
                </w:rPr>
              </m:ctrlPr>
            </m:sSubPr>
            <m:e>
              <m:r>
                <w:rPr>
                  <w:rFonts w:ascii="Cambria Math" w:hAnsi="Cambria Math"/>
                  <w:szCs w:val="22"/>
                </w:rPr>
                <m:t>I</m:t>
              </m:r>
            </m:e>
            <m:sub>
              <m:r>
                <w:rPr>
                  <w:rFonts w:ascii="Cambria Math" w:hAnsi="Cambria Math"/>
                  <w:szCs w:val="22"/>
                </w:rPr>
                <m:t>ry</m:t>
              </m:r>
            </m:sub>
          </m:sSub>
        </m:oMath>
      </m:oMathPara>
    </w:p>
    <w:p w14:paraId="7A94847C" w14:textId="0B8FBF7B" w:rsidR="00FF6E56" w:rsidRDefault="00FF6E56" w:rsidP="00FF6E56">
      <w:r>
        <w:rPr>
          <w:szCs w:val="22"/>
        </w:rPr>
        <w:t xml:space="preserve">The covariate in </w:t>
      </w:r>
      <w:r w:rsidRPr="00CD2D07">
        <w:rPr>
          <w:szCs w:val="22"/>
        </w:rPr>
        <w:t>each model was the sum of discharge from the main rivers in each region over the two water years ending in</w:t>
      </w:r>
      <w:r>
        <w:rPr>
          <w:szCs w:val="22"/>
        </w:rPr>
        <w:t xml:space="preserve"> the survey year (y+2) (data underlying </w:t>
      </w:r>
      <w:r w:rsidRPr="00DD0AB0">
        <w:rPr>
          <w:rFonts w:cs="Arial"/>
          <w:b/>
          <w:szCs w:val="22"/>
        </w:rPr>
        <w:fldChar w:fldCharType="begin"/>
      </w:r>
      <w:r w:rsidRPr="00DD0AB0">
        <w:rPr>
          <w:rFonts w:cs="Arial"/>
          <w:szCs w:val="22"/>
        </w:rPr>
        <w:instrText xml:space="preserve"> REF _Ref460423784 \h  \* MERGEFORMAT </w:instrText>
      </w:r>
      <w:r w:rsidRPr="00DD0AB0">
        <w:rPr>
          <w:rFonts w:cs="Arial"/>
          <w:b/>
          <w:szCs w:val="22"/>
        </w:rPr>
      </w:r>
      <w:r w:rsidRPr="00DD0AB0">
        <w:rPr>
          <w:rFonts w:cs="Arial"/>
          <w:b/>
          <w:szCs w:val="22"/>
        </w:rPr>
        <w:fldChar w:fldCharType="separate"/>
      </w:r>
      <w:r w:rsidR="00D806F2" w:rsidRPr="00D806F2">
        <w:rPr>
          <w:rFonts w:cs="Arial"/>
          <w:szCs w:val="22"/>
        </w:rPr>
        <w:t xml:space="preserve">Table A1. </w:t>
      </w:r>
      <w:r w:rsidR="00D806F2" w:rsidRPr="00D806F2">
        <w:rPr>
          <w:rFonts w:cs="Arial"/>
          <w:noProof/>
          <w:szCs w:val="22"/>
        </w:rPr>
        <w:t>3</w:t>
      </w:r>
      <w:r w:rsidR="00D806F2">
        <w:t xml:space="preserve"> </w:t>
      </w:r>
      <w:r w:rsidR="00D806F2" w:rsidRPr="00E168BA">
        <w:t>Annual freshwater discharge for the major Reef Catchments</w:t>
      </w:r>
      <w:r w:rsidR="00D806F2">
        <w:t xml:space="preserve">. </w:t>
      </w:r>
      <w:r w:rsidRPr="00DD0AB0">
        <w:rPr>
          <w:rFonts w:cs="Arial"/>
          <w:b/>
          <w:szCs w:val="22"/>
        </w:rPr>
        <w:fldChar w:fldCharType="end"/>
      </w:r>
      <w:r w:rsidR="00460389">
        <w:rPr>
          <w:rFonts w:cs="Arial"/>
          <w:szCs w:val="22"/>
        </w:rPr>
        <w:t xml:space="preserve">). </w:t>
      </w:r>
      <w:r>
        <w:rPr>
          <w:rFonts w:cs="Arial"/>
          <w:szCs w:val="22"/>
        </w:rPr>
        <w:t xml:space="preserve">To reduce confounding between the response of the index to acute disturbances observations of change in the index at reefs </w:t>
      </w:r>
      <w:r w:rsidR="00BA58C1">
        <w:rPr>
          <w:rFonts w:cs="Arial"/>
          <w:szCs w:val="22"/>
        </w:rPr>
        <w:t>categorised as being i</w:t>
      </w:r>
      <w:r>
        <w:rPr>
          <w:rFonts w:cs="Arial"/>
          <w:szCs w:val="22"/>
        </w:rPr>
        <w:t xml:space="preserve">nfluenced by an acute disturbance event </w:t>
      </w:r>
      <w:r w:rsidR="00BA58C1">
        <w:rPr>
          <w:rFonts w:cs="Arial"/>
          <w:szCs w:val="22"/>
        </w:rPr>
        <w:t xml:space="preserve">in a given biennial period </w:t>
      </w:r>
      <w:r>
        <w:rPr>
          <w:rFonts w:cs="Arial"/>
          <w:szCs w:val="22"/>
        </w:rPr>
        <w:t xml:space="preserve">were </w:t>
      </w:r>
      <w:r w:rsidR="00BA58C1">
        <w:rPr>
          <w:rFonts w:cs="Arial"/>
          <w:szCs w:val="22"/>
        </w:rPr>
        <w:t>ex</w:t>
      </w:r>
      <w:r>
        <w:rPr>
          <w:rFonts w:cs="Arial"/>
          <w:szCs w:val="22"/>
        </w:rPr>
        <w:t xml:space="preserve">cluded. </w:t>
      </w:r>
      <w:r>
        <w:rPr>
          <w:szCs w:val="22"/>
        </w:rPr>
        <w:t>In the first instance</w:t>
      </w:r>
      <w:r w:rsidR="00BA58C1">
        <w:rPr>
          <w:szCs w:val="22"/>
        </w:rPr>
        <w:t>,</w:t>
      </w:r>
      <w:r>
        <w:rPr>
          <w:szCs w:val="22"/>
        </w:rPr>
        <w:t xml:space="preserve"> GAMs</w:t>
      </w:r>
      <w:r w:rsidRPr="00985D7E">
        <w:rPr>
          <w:szCs w:val="22"/>
        </w:rPr>
        <w:t xml:space="preserve"> allowed for the fitting of non-linear </w:t>
      </w:r>
      <w:r>
        <w:rPr>
          <w:szCs w:val="22"/>
        </w:rPr>
        <w:t>responses using natural splines;</w:t>
      </w:r>
      <w:r w:rsidRPr="00985D7E">
        <w:rPr>
          <w:szCs w:val="22"/>
        </w:rPr>
        <w:t xml:space="preserve"> wh</w:t>
      </w:r>
      <w:r>
        <w:rPr>
          <w:szCs w:val="22"/>
        </w:rPr>
        <w:t xml:space="preserve">en these models did not support </w:t>
      </w:r>
      <w:r w:rsidRPr="00985D7E">
        <w:rPr>
          <w:szCs w:val="22"/>
        </w:rPr>
        <w:t>non-linear response</w:t>
      </w:r>
      <w:r w:rsidR="001C07FC">
        <w:rPr>
          <w:szCs w:val="22"/>
        </w:rPr>
        <w:t>,</w:t>
      </w:r>
      <w:r w:rsidRPr="00985D7E">
        <w:rPr>
          <w:szCs w:val="22"/>
        </w:rPr>
        <w:t xml:space="preserve"> simple linear models were used.</w:t>
      </w:r>
      <w:r>
        <w:t xml:space="preserve"> </w:t>
      </w:r>
    </w:p>
    <w:p w14:paraId="06EDE04B" w14:textId="7748ABDE" w:rsidR="00FF6E56" w:rsidRDefault="000E09B7" w:rsidP="00B9528B">
      <w:pPr>
        <w:pStyle w:val="Heading3"/>
      </w:pPr>
      <w:bookmarkStart w:id="91" w:name="_Toc493153312"/>
      <w:r>
        <w:t xml:space="preserve">4.6.4 </w:t>
      </w:r>
      <w:r w:rsidR="00FF6E56">
        <w:t>Temporal trends in coral index, indicators and measured water quality.</w:t>
      </w:r>
      <w:bookmarkEnd w:id="91"/>
    </w:p>
    <w:p w14:paraId="6EC24867" w14:textId="34D4FC82" w:rsidR="00FF6E56" w:rsidRDefault="00FF6E56" w:rsidP="00FF6E56">
      <w:pPr>
        <w:rPr>
          <w:color w:val="000000" w:themeColor="text1"/>
        </w:rPr>
      </w:pPr>
      <w:r w:rsidRPr="00132E2D">
        <w:rPr>
          <w:color w:val="000000" w:themeColor="text1"/>
        </w:rPr>
        <w:t xml:space="preserve">A panel of plots provide temporal trends in the coral index and </w:t>
      </w:r>
      <w:r>
        <w:rPr>
          <w:color w:val="000000" w:themeColor="text1"/>
        </w:rPr>
        <w:t xml:space="preserve">the </w:t>
      </w:r>
      <w:r w:rsidRPr="00132E2D">
        <w:rPr>
          <w:color w:val="000000" w:themeColor="text1"/>
        </w:rPr>
        <w:t>five indicators on which the index is based</w:t>
      </w:r>
      <w:r>
        <w:rPr>
          <w:color w:val="000000" w:themeColor="text1"/>
        </w:rPr>
        <w:t>. In addition</w:t>
      </w:r>
      <w:r w:rsidR="00A66915">
        <w:rPr>
          <w:color w:val="000000" w:themeColor="text1"/>
        </w:rPr>
        <w:t>,</w:t>
      </w:r>
      <w:r>
        <w:rPr>
          <w:color w:val="000000" w:themeColor="text1"/>
        </w:rPr>
        <w:t xml:space="preserve"> </w:t>
      </w:r>
      <w:r w:rsidRPr="00132E2D">
        <w:rPr>
          <w:color w:val="000000" w:themeColor="text1"/>
        </w:rPr>
        <w:t xml:space="preserve">temporal trends in measured concentrations of Chl </w:t>
      </w:r>
      <w:r w:rsidRPr="00085F46">
        <w:rPr>
          <w:i/>
          <w:color w:val="000000" w:themeColor="text1"/>
        </w:rPr>
        <w:t>a</w:t>
      </w:r>
      <w:r w:rsidRPr="00132E2D">
        <w:rPr>
          <w:color w:val="000000" w:themeColor="text1"/>
        </w:rPr>
        <w:t xml:space="preserve"> and Turbidity</w:t>
      </w:r>
      <w:r w:rsidR="00A66915">
        <w:rPr>
          <w:color w:val="000000" w:themeColor="text1"/>
        </w:rPr>
        <w:t xml:space="preserve"> or total suspended solids,</w:t>
      </w:r>
      <w:r>
        <w:rPr>
          <w:color w:val="000000" w:themeColor="text1"/>
        </w:rPr>
        <w:t xml:space="preserve"> as reported by the companion marine water quality report (Waterhouse </w:t>
      </w:r>
      <w:r w:rsidRPr="00713F82">
        <w:rPr>
          <w:i/>
          <w:color w:val="000000" w:themeColor="text1"/>
        </w:rPr>
        <w:t>et al.</w:t>
      </w:r>
      <w:r>
        <w:rPr>
          <w:color w:val="000000" w:themeColor="text1"/>
        </w:rPr>
        <w:t xml:space="preserve"> 2017) are provided for reference. The derivation of annual coral index scores and associated confidence intervals is detailed in the following section (</w:t>
      </w:r>
      <w:r w:rsidR="00085F46">
        <w:rPr>
          <w:color w:val="000000" w:themeColor="text1"/>
        </w:rPr>
        <w:t>4.7</w:t>
      </w:r>
      <w:r>
        <w:rPr>
          <w:color w:val="000000" w:themeColor="text1"/>
        </w:rPr>
        <w:t xml:space="preserve">). </w:t>
      </w:r>
    </w:p>
    <w:p w14:paraId="487D9957" w14:textId="6E0584F0" w:rsidR="00FF6E56" w:rsidRPr="00B92D3B" w:rsidRDefault="00FF6E56" w:rsidP="00FF6E56">
      <w:pPr>
        <w:rPr>
          <w:rFonts w:eastAsia="MS Mincho"/>
          <w:color w:val="000000" w:themeColor="text1"/>
        </w:rPr>
      </w:pPr>
      <w:r>
        <w:rPr>
          <w:color w:val="000000" w:themeColor="text1"/>
        </w:rPr>
        <w:t xml:space="preserve">For </w:t>
      </w:r>
      <w:r w:rsidR="007F5EA6">
        <w:rPr>
          <w:color w:val="000000" w:themeColor="text1"/>
        </w:rPr>
        <w:t>each of the</w:t>
      </w:r>
      <w:r>
        <w:rPr>
          <w:color w:val="000000" w:themeColor="text1"/>
        </w:rPr>
        <w:t xml:space="preserve"> five indicators that inform the coral index</w:t>
      </w:r>
      <w:r w:rsidR="00A66915">
        <w:rPr>
          <w:color w:val="000000" w:themeColor="text1"/>
        </w:rPr>
        <w:t>,</w:t>
      </w:r>
      <w:r>
        <w:rPr>
          <w:color w:val="000000" w:themeColor="text1"/>
        </w:rPr>
        <w:t xml:space="preserve"> temporal trends</w:t>
      </w:r>
      <w:r w:rsidR="007F5EA6">
        <w:rPr>
          <w:color w:val="000000" w:themeColor="text1"/>
        </w:rPr>
        <w:t xml:space="preserve"> and their </w:t>
      </w:r>
      <w:r>
        <w:rPr>
          <w:color w:val="000000" w:themeColor="text1"/>
        </w:rPr>
        <w:t xml:space="preserve">and 95% confidence intervals were derived from linear mixed effects models. Models for each indicator included a fixed effect for year and random effect for </w:t>
      </w:r>
      <w:r w:rsidR="00A66915">
        <w:rPr>
          <w:color w:val="000000" w:themeColor="text1"/>
        </w:rPr>
        <w:t xml:space="preserve">each </w:t>
      </w:r>
      <w:r>
        <w:rPr>
          <w:color w:val="000000" w:themeColor="text1"/>
        </w:rPr>
        <w:t>Reef</w:t>
      </w:r>
      <w:r w:rsidR="00A66915">
        <w:rPr>
          <w:color w:val="000000" w:themeColor="text1"/>
        </w:rPr>
        <w:t xml:space="preserve"> and depth combination</w:t>
      </w:r>
      <w:r>
        <w:rPr>
          <w:color w:val="000000" w:themeColor="text1"/>
        </w:rPr>
        <w:t>. To account for the sampling design</w:t>
      </w:r>
      <w:r w:rsidR="00A66915">
        <w:rPr>
          <w:color w:val="000000" w:themeColor="text1"/>
        </w:rPr>
        <w:t>,</w:t>
      </w:r>
      <w:r>
        <w:rPr>
          <w:color w:val="000000" w:themeColor="text1"/>
        </w:rPr>
        <w:t xml:space="preserve"> that alternately samples reefs in consecutive years</w:t>
      </w:r>
      <w:r w:rsidR="00A66915">
        <w:rPr>
          <w:color w:val="000000" w:themeColor="text1"/>
        </w:rPr>
        <w:t>,</w:t>
      </w:r>
      <w:r>
        <w:rPr>
          <w:color w:val="000000" w:themeColor="text1"/>
        </w:rPr>
        <w:t xml:space="preserve"> missing data were infilled with observations from the preceding year as is done for the estimation of annual index scores. Observed trends for individual reef</w:t>
      </w:r>
      <w:r w:rsidR="00A66915">
        <w:rPr>
          <w:color w:val="000000" w:themeColor="text1"/>
        </w:rPr>
        <w:t xml:space="preserve"> and depth combinations</w:t>
      </w:r>
      <w:r w:rsidR="007F5EA6">
        <w:rPr>
          <w:color w:val="000000" w:themeColor="text1"/>
        </w:rPr>
        <w:t xml:space="preserve"> </w:t>
      </w:r>
      <w:r>
        <w:rPr>
          <w:color w:val="000000" w:themeColor="text1"/>
        </w:rPr>
        <w:t>(averaged over sites) are provided as grey lines. T</w:t>
      </w:r>
      <w:r w:rsidRPr="00B92D3B">
        <w:rPr>
          <w:color w:val="000000" w:themeColor="text1"/>
        </w:rPr>
        <w:t xml:space="preserve">rends in key water quality parameters of </w:t>
      </w:r>
      <w:r w:rsidR="00E650C5">
        <w:rPr>
          <w:color w:val="000000" w:themeColor="text1"/>
        </w:rPr>
        <w:t>Chl</w:t>
      </w:r>
      <w:r>
        <w:rPr>
          <w:color w:val="000000" w:themeColor="text1"/>
        </w:rPr>
        <w:t xml:space="preserve"> </w:t>
      </w:r>
      <w:r w:rsidRPr="00372F57">
        <w:rPr>
          <w:i/>
          <w:color w:val="000000" w:themeColor="text1"/>
        </w:rPr>
        <w:t>a</w:t>
      </w:r>
      <w:r w:rsidRPr="00B92D3B">
        <w:rPr>
          <w:color w:val="000000" w:themeColor="text1"/>
        </w:rPr>
        <w:t xml:space="preserve"> (as a general proxy for nutrient availability), and turbidity</w:t>
      </w:r>
      <w:r>
        <w:rPr>
          <w:color w:val="000000" w:themeColor="text1"/>
        </w:rPr>
        <w:t xml:space="preserve"> are reproduced from the companion water quality report (Waterhouse </w:t>
      </w:r>
      <w:r w:rsidRPr="00713F82">
        <w:rPr>
          <w:i/>
          <w:color w:val="000000" w:themeColor="text1"/>
        </w:rPr>
        <w:t>et al</w:t>
      </w:r>
      <w:r>
        <w:rPr>
          <w:color w:val="000000" w:themeColor="text1"/>
        </w:rPr>
        <w:t>. 2017)</w:t>
      </w:r>
      <w:r w:rsidR="009113D9">
        <w:rPr>
          <w:color w:val="000000" w:themeColor="text1"/>
        </w:rPr>
        <w:t xml:space="preserve">. For </w:t>
      </w:r>
      <w:r w:rsidR="00E650C5">
        <w:rPr>
          <w:color w:val="000000" w:themeColor="text1"/>
        </w:rPr>
        <w:t>Chl</w:t>
      </w:r>
      <w:r w:rsidR="009113D9">
        <w:rPr>
          <w:color w:val="000000" w:themeColor="text1"/>
        </w:rPr>
        <w:t xml:space="preserve"> </w:t>
      </w:r>
      <w:r w:rsidR="009113D9" w:rsidRPr="007F5EA6">
        <w:rPr>
          <w:i/>
          <w:color w:val="000000" w:themeColor="text1"/>
        </w:rPr>
        <w:t>a</w:t>
      </w:r>
      <w:r w:rsidR="009113D9">
        <w:rPr>
          <w:color w:val="000000" w:themeColor="text1"/>
        </w:rPr>
        <w:t xml:space="preserve"> estimates were derived from in-situ data loggers as well analysis of water collected via Niskin sampling. Turbidity was also derived from in-situ data logger time series, with the exception of the Barron Daintree sub-region where Niskin sampled total suspended solids was </w:t>
      </w:r>
      <w:r w:rsidR="007F5EA6">
        <w:rPr>
          <w:color w:val="000000" w:themeColor="text1"/>
        </w:rPr>
        <w:t xml:space="preserve">used. </w:t>
      </w:r>
      <w:r w:rsidRPr="00B92D3B">
        <w:rPr>
          <w:color w:val="000000" w:themeColor="text1"/>
        </w:rPr>
        <w:t xml:space="preserve">We </w:t>
      </w:r>
      <w:r w:rsidR="00CD2D07">
        <w:rPr>
          <w:color w:val="000000" w:themeColor="text1"/>
        </w:rPr>
        <w:t>also</w:t>
      </w:r>
      <w:r w:rsidRPr="00B92D3B">
        <w:rPr>
          <w:color w:val="000000" w:themeColor="text1"/>
        </w:rPr>
        <w:t xml:space="preserve"> include a range of additional water quality parameters in the Appendix and point the reader to </w:t>
      </w:r>
      <w:r>
        <w:rPr>
          <w:rFonts w:cs="Arial"/>
          <w:color w:val="000000" w:themeColor="text1"/>
          <w:lang w:val="en-US"/>
        </w:rPr>
        <w:t>Waterhouse</w:t>
      </w:r>
      <w:r w:rsidRPr="00B92D3B">
        <w:rPr>
          <w:color w:val="000000" w:themeColor="text1"/>
          <w:lang w:val="en-US"/>
        </w:rPr>
        <w:t xml:space="preserve"> </w:t>
      </w:r>
      <w:r w:rsidRPr="00B92D3B">
        <w:rPr>
          <w:i/>
          <w:color w:val="000000" w:themeColor="text1"/>
        </w:rPr>
        <w:t>et al.</w:t>
      </w:r>
      <w:r w:rsidRPr="00B92D3B">
        <w:rPr>
          <w:color w:val="000000" w:themeColor="text1"/>
        </w:rPr>
        <w:t xml:space="preserve"> (201</w:t>
      </w:r>
      <w:r>
        <w:rPr>
          <w:color w:val="000000" w:themeColor="text1"/>
        </w:rPr>
        <w:t>7</w:t>
      </w:r>
      <w:r w:rsidRPr="00B92D3B">
        <w:rPr>
          <w:color w:val="000000" w:themeColor="text1"/>
        </w:rPr>
        <w:t>) for detailed reporting of these data. Generalized additive mixed models (</w:t>
      </w:r>
      <w:r w:rsidRPr="00B92D3B">
        <w:rPr>
          <w:bCs/>
          <w:color w:val="000000" w:themeColor="text1"/>
        </w:rPr>
        <w:t>GAMMs,</w:t>
      </w:r>
      <w:r w:rsidR="00E650C5">
        <w:rPr>
          <w:color w:val="000000" w:themeColor="text1"/>
        </w:rPr>
        <w:t xml:space="preserve"> Wood 2006) were fitted to</w:t>
      </w:r>
      <w:r>
        <w:rPr>
          <w:color w:val="000000" w:themeColor="text1"/>
        </w:rPr>
        <w:t xml:space="preserve"> the water quality </w:t>
      </w:r>
      <w:r w:rsidRPr="00B92D3B">
        <w:rPr>
          <w:color w:val="000000" w:themeColor="text1"/>
        </w:rPr>
        <w:t xml:space="preserve">variables separately for each NRM region. </w:t>
      </w:r>
      <w:r>
        <w:rPr>
          <w:color w:val="000000" w:themeColor="text1"/>
          <w:lang w:val="en-US"/>
        </w:rPr>
        <w:t xml:space="preserve">Trends in these data sets were modeled as </w:t>
      </w:r>
      <w:r w:rsidRPr="00B92D3B" w:rsidDel="005A4144">
        <w:rPr>
          <w:color w:val="000000" w:themeColor="text1"/>
        </w:rPr>
        <w:t>thin-plate splines fitted via Generalised Additive Mixed Models (GAMM's). These models incorporated seasonal cyclical cubic splines with sample location set as the random effect.</w:t>
      </w:r>
      <w:r>
        <w:rPr>
          <w:color w:val="000000" w:themeColor="text1"/>
        </w:rPr>
        <w:t xml:space="preserve"> All</w:t>
      </w:r>
      <w:r w:rsidRPr="00B92D3B">
        <w:rPr>
          <w:rFonts w:eastAsia="MS Mincho"/>
          <w:color w:val="000000" w:themeColor="text1"/>
        </w:rPr>
        <w:t xml:space="preserve"> analyses were carried out usi</w:t>
      </w:r>
      <w:r w:rsidR="00540DE4">
        <w:rPr>
          <w:rFonts w:eastAsia="MS Mincho"/>
          <w:color w:val="000000" w:themeColor="text1"/>
        </w:rPr>
        <w:t xml:space="preserve">ng the R statistical package (R Development </w:t>
      </w:r>
      <w:r w:rsidRPr="00B92D3B">
        <w:rPr>
          <w:rFonts w:eastAsia="MS Mincho"/>
          <w:color w:val="000000" w:themeColor="text1"/>
        </w:rPr>
        <w:t>Co</w:t>
      </w:r>
      <w:r w:rsidR="00540DE4">
        <w:rPr>
          <w:rFonts w:eastAsia="MS Mincho"/>
          <w:color w:val="000000" w:themeColor="text1"/>
        </w:rPr>
        <w:t xml:space="preserve">re </w:t>
      </w:r>
      <w:r w:rsidRPr="00B92D3B">
        <w:rPr>
          <w:rFonts w:eastAsia="MS Mincho"/>
          <w:color w:val="000000" w:themeColor="text1"/>
        </w:rPr>
        <w:t xml:space="preserve">Team 2011). </w:t>
      </w:r>
    </w:p>
    <w:p w14:paraId="15707094" w14:textId="0D8610B6" w:rsidR="00FF6E56" w:rsidRPr="00B92D3B" w:rsidDel="005A4144" w:rsidRDefault="00FF6E56" w:rsidP="00FF6E56">
      <w:pPr>
        <w:rPr>
          <w:color w:val="000000" w:themeColor="text1"/>
        </w:rPr>
      </w:pPr>
      <w:r w:rsidRPr="00B92D3B" w:rsidDel="005A4144">
        <w:rPr>
          <w:color w:val="000000" w:themeColor="text1"/>
        </w:rPr>
        <w:t xml:space="preserve">A more detailed summary of raw data for benthic cover and juvenile density at each reef and depth combination </w:t>
      </w:r>
      <w:r w:rsidR="00E650C5">
        <w:rPr>
          <w:color w:val="000000" w:themeColor="text1"/>
        </w:rPr>
        <w:t>is</w:t>
      </w:r>
      <w:r w:rsidRPr="00B92D3B" w:rsidDel="005A4144">
        <w:rPr>
          <w:color w:val="000000" w:themeColor="text1"/>
        </w:rPr>
        <w:t xml:space="preserve"> presented as bar plots in Appendix 1. These additional plots breakdown cover and density of corals to the taxonomic level of Family. Genus level data for the current year only are included in table form</w:t>
      </w:r>
      <w:r w:rsidR="00E650C5">
        <w:rPr>
          <w:color w:val="000000" w:themeColor="text1"/>
        </w:rPr>
        <w:t>,</w:t>
      </w:r>
      <w:r w:rsidRPr="00B92D3B" w:rsidDel="005A4144">
        <w:rPr>
          <w:color w:val="000000" w:themeColor="text1"/>
        </w:rPr>
        <w:t xml:space="preserve"> also in Appendix 1.</w:t>
      </w:r>
    </w:p>
    <w:p w14:paraId="159BACAB" w14:textId="680EA637" w:rsidR="00FF6E56" w:rsidRDefault="000E09B7" w:rsidP="00B9528B">
      <w:pPr>
        <w:pStyle w:val="Heading3"/>
      </w:pPr>
      <w:bookmarkStart w:id="92" w:name="_Toc493153313"/>
      <w:r>
        <w:t xml:space="preserve">4.6.5 </w:t>
      </w:r>
      <w:r w:rsidR="00FF6E56">
        <w:t>Analysis of change in index and metric scores</w:t>
      </w:r>
      <w:bookmarkEnd w:id="92"/>
      <w:r w:rsidR="00FF6E56">
        <w:t xml:space="preserve"> </w:t>
      </w:r>
    </w:p>
    <w:p w14:paraId="103BD9DE" w14:textId="50449995" w:rsidR="00FF6E56" w:rsidRDefault="00FF6E56" w:rsidP="00FF6E56">
      <w:r>
        <w:t>Differences in the index</w:t>
      </w:r>
      <w:r w:rsidR="00CD2D07">
        <w:t>,</w:t>
      </w:r>
      <w:r>
        <w:t xml:space="preserve"> or individual metric</w:t>
      </w:r>
      <w:r w:rsidR="00CD2D07">
        <w:t>,</w:t>
      </w:r>
      <w:r>
        <w:t xml:space="preserve"> scores were estimated between focal years identified as local maxima or minima within the time-series of the index scores within each (sub-)region.</w:t>
      </w:r>
      <w:r w:rsidR="00E75F5C">
        <w:t xml:space="preserve"> </w:t>
      </w:r>
      <w:r>
        <w:t xml:space="preserve">Confidence in the magnitude of these differences </w:t>
      </w:r>
      <w:r w:rsidR="00CD2D07">
        <w:t xml:space="preserve">are </w:t>
      </w:r>
      <w:r>
        <w:t xml:space="preserve">expressed as a probability that the mean difference in scores was greater or less than zero. Probabilities were estimated based on the location of zero (no difference) within the posterior distribution (n=1000) estimated from the mean and standard deviation of observed differences in scores between focal years. Probabilities were estimated separately for communities at 2 m and 5 m depths. </w:t>
      </w:r>
    </w:p>
    <w:p w14:paraId="0B52B426" w14:textId="7ABB9353" w:rsidR="00AF7DFC" w:rsidRPr="005F22DA" w:rsidRDefault="000E09B7" w:rsidP="000E09B7">
      <w:pPr>
        <w:pStyle w:val="Heading2"/>
      </w:pPr>
      <w:bookmarkStart w:id="93" w:name="_Toc491847363"/>
      <w:bookmarkStart w:id="94" w:name="_Toc493153314"/>
      <w:r>
        <w:t xml:space="preserve">4.7 </w:t>
      </w:r>
      <w:r w:rsidR="00AF7DFC">
        <w:t>The Coral Index</w:t>
      </w:r>
      <w:bookmarkEnd w:id="93"/>
      <w:bookmarkEnd w:id="94"/>
    </w:p>
    <w:p w14:paraId="11EA8F5A" w14:textId="77777777" w:rsidR="005F22DA" w:rsidRPr="005F22DA" w:rsidRDefault="003F7EB1" w:rsidP="005F22DA">
      <w:pPr>
        <w:rPr>
          <w:lang w:val="en-US"/>
        </w:rPr>
      </w:pPr>
      <w:r>
        <w:t>The coral index is formulated around the co</w:t>
      </w:r>
      <w:r w:rsidR="005F22DA">
        <w:t xml:space="preserve">ncept of community resilience. </w:t>
      </w:r>
      <w:r>
        <w:t xml:space="preserve">The underlying assumption is that a ‘resilient’ community should show clear signs of recovery after inevitable acute disturbances, such as cyclones and coral bleaching events, or, in the absence of disturbance, maintain a high cover of corals and successful recruitment processes. </w:t>
      </w:r>
      <w:r w:rsidR="005F22DA">
        <w:rPr>
          <w:lang w:val="en-US"/>
        </w:rPr>
        <w:t xml:space="preserve">Five </w:t>
      </w:r>
      <w:r w:rsidR="005F22DA" w:rsidRPr="00074B4A">
        <w:rPr>
          <w:color w:val="000000" w:themeColor="text1"/>
        </w:rPr>
        <w:t xml:space="preserve">indicators of </w:t>
      </w:r>
      <w:r w:rsidR="005F22DA">
        <w:rPr>
          <w:color w:val="000000" w:themeColor="text1"/>
        </w:rPr>
        <w:t>coral communities are included</w:t>
      </w:r>
      <w:r w:rsidR="006C18B9">
        <w:rPr>
          <w:color w:val="000000" w:themeColor="text1"/>
        </w:rPr>
        <w:t>,</w:t>
      </w:r>
      <w:r w:rsidR="005F22DA">
        <w:rPr>
          <w:color w:val="000000" w:themeColor="text1"/>
        </w:rPr>
        <w:t xml:space="preserve"> each </w:t>
      </w:r>
      <w:r w:rsidR="005F22DA" w:rsidRPr="00074B4A">
        <w:rPr>
          <w:color w:val="000000" w:themeColor="text1"/>
        </w:rPr>
        <w:t xml:space="preserve">representing different </w:t>
      </w:r>
      <w:r w:rsidR="005F22DA">
        <w:rPr>
          <w:color w:val="000000" w:themeColor="text1"/>
        </w:rPr>
        <w:t>processes that contribute to c</w:t>
      </w:r>
      <w:r w:rsidR="005F22DA" w:rsidRPr="00074B4A">
        <w:rPr>
          <w:color w:val="000000" w:themeColor="text1"/>
        </w:rPr>
        <w:t xml:space="preserve">oral community resilience: </w:t>
      </w:r>
    </w:p>
    <w:p w14:paraId="11EA8F5B" w14:textId="77777777" w:rsidR="005F22DA" w:rsidRDefault="005F22DA" w:rsidP="005F22DA">
      <w:pPr>
        <w:pStyle w:val="ListParagraph"/>
        <w:numPr>
          <w:ilvl w:val="0"/>
          <w:numId w:val="23"/>
        </w:numPr>
        <w:rPr>
          <w:color w:val="000000" w:themeColor="text1"/>
        </w:rPr>
      </w:pPr>
      <w:r w:rsidRPr="001B4F6D">
        <w:rPr>
          <w:color w:val="000000" w:themeColor="text1"/>
        </w:rPr>
        <w:t>coral cover as an indicator of corals</w:t>
      </w:r>
      <w:r w:rsidR="006C18B9">
        <w:rPr>
          <w:color w:val="000000" w:themeColor="text1"/>
        </w:rPr>
        <w:t>’</w:t>
      </w:r>
      <w:r w:rsidRPr="001B4F6D">
        <w:rPr>
          <w:color w:val="000000" w:themeColor="text1"/>
        </w:rPr>
        <w:t xml:space="preserve"> ability to resist the cumulative environmental pressures to which they have been exposed, </w:t>
      </w:r>
    </w:p>
    <w:p w14:paraId="11EA8F5C" w14:textId="686C17CA" w:rsidR="005F22DA" w:rsidRDefault="005F22DA" w:rsidP="005F22DA">
      <w:pPr>
        <w:pStyle w:val="ListParagraph"/>
        <w:numPr>
          <w:ilvl w:val="0"/>
          <w:numId w:val="23"/>
        </w:numPr>
        <w:rPr>
          <w:color w:val="000000" w:themeColor="text1"/>
        </w:rPr>
      </w:pPr>
      <w:r w:rsidRPr="001B4F6D">
        <w:rPr>
          <w:color w:val="000000" w:themeColor="text1"/>
        </w:rPr>
        <w:t>macroalgae cover as in indicator of competi</w:t>
      </w:r>
      <w:r w:rsidR="00114623">
        <w:rPr>
          <w:color w:val="000000" w:themeColor="text1"/>
        </w:rPr>
        <w:t>ti</w:t>
      </w:r>
      <w:r w:rsidRPr="001B4F6D">
        <w:rPr>
          <w:color w:val="000000" w:themeColor="text1"/>
        </w:rPr>
        <w:t xml:space="preserve">on </w:t>
      </w:r>
      <w:r w:rsidR="006C18B9">
        <w:rPr>
          <w:color w:val="000000" w:themeColor="text1"/>
        </w:rPr>
        <w:t>with</w:t>
      </w:r>
      <w:r w:rsidR="006C18B9" w:rsidRPr="001B4F6D">
        <w:rPr>
          <w:color w:val="000000" w:themeColor="text1"/>
        </w:rPr>
        <w:t xml:space="preserve"> </w:t>
      </w:r>
      <w:r w:rsidRPr="001B4F6D">
        <w:rPr>
          <w:color w:val="000000" w:themeColor="text1"/>
        </w:rPr>
        <w:t xml:space="preserve">corals </w:t>
      </w:r>
      <w:r w:rsidR="006C18B9">
        <w:rPr>
          <w:color w:val="000000" w:themeColor="text1"/>
        </w:rPr>
        <w:t>for light and space</w:t>
      </w:r>
      <w:r>
        <w:rPr>
          <w:color w:val="000000" w:themeColor="text1"/>
        </w:rPr>
        <w:t xml:space="preserve">, </w:t>
      </w:r>
    </w:p>
    <w:p w14:paraId="11EA8F5D" w14:textId="77777777" w:rsidR="005F22DA" w:rsidRDefault="005F22DA" w:rsidP="005F22DA">
      <w:pPr>
        <w:pStyle w:val="ListParagraph"/>
        <w:numPr>
          <w:ilvl w:val="0"/>
          <w:numId w:val="23"/>
        </w:numPr>
        <w:rPr>
          <w:color w:val="000000" w:themeColor="text1"/>
        </w:rPr>
      </w:pPr>
      <w:r>
        <w:rPr>
          <w:color w:val="000000" w:themeColor="text1"/>
        </w:rPr>
        <w:t>juvenile coral density as in indicator of the success of early life history stages in the replenishment of coral populations,</w:t>
      </w:r>
    </w:p>
    <w:p w14:paraId="11EA8F5E" w14:textId="77777777" w:rsidR="005F22DA" w:rsidRDefault="005F22DA" w:rsidP="005F22DA">
      <w:pPr>
        <w:pStyle w:val="ListParagraph"/>
        <w:numPr>
          <w:ilvl w:val="0"/>
          <w:numId w:val="23"/>
        </w:numPr>
        <w:rPr>
          <w:color w:val="000000" w:themeColor="text1"/>
        </w:rPr>
      </w:pPr>
      <w:r w:rsidRPr="005A2F58">
        <w:rPr>
          <w:color w:val="000000" w:themeColor="text1"/>
        </w:rPr>
        <w:t xml:space="preserve">rate at which coral cover increases </w:t>
      </w:r>
      <w:r>
        <w:rPr>
          <w:color w:val="000000" w:themeColor="text1"/>
        </w:rPr>
        <w:t>as an indicator of the recovery potential of coral communities due to growth and,</w:t>
      </w:r>
    </w:p>
    <w:p w14:paraId="11EA8F5F" w14:textId="77777777" w:rsidR="005F22DA" w:rsidRDefault="005F22DA" w:rsidP="005F22DA">
      <w:pPr>
        <w:pStyle w:val="ListParagraph"/>
        <w:numPr>
          <w:ilvl w:val="0"/>
          <w:numId w:val="23"/>
        </w:numPr>
        <w:rPr>
          <w:color w:val="000000" w:themeColor="text1"/>
        </w:rPr>
      </w:pPr>
      <w:r w:rsidRPr="005A2F58">
        <w:rPr>
          <w:color w:val="000000" w:themeColor="text1"/>
        </w:rPr>
        <w:t>community composition</w:t>
      </w:r>
      <w:r>
        <w:rPr>
          <w:color w:val="000000" w:themeColor="text1"/>
        </w:rPr>
        <w:t xml:space="preserve"> as an indicator of selective pressures</w:t>
      </w:r>
      <w:r w:rsidRPr="005A2F58">
        <w:rPr>
          <w:color w:val="000000" w:themeColor="text1"/>
        </w:rPr>
        <w:t xml:space="preserve">. </w:t>
      </w:r>
    </w:p>
    <w:p w14:paraId="289D3D28" w14:textId="0405FD44" w:rsidR="00653307" w:rsidRPr="00C944AA" w:rsidRDefault="005F22DA" w:rsidP="00CC3EEF">
      <w:pPr>
        <w:pStyle w:val="Caption"/>
        <w:rPr>
          <w:lang w:val="en-US"/>
        </w:rPr>
      </w:pPr>
      <w:r w:rsidRPr="00E650C5">
        <w:rPr>
          <w:rFonts w:ascii="Arial" w:hAnsi="Arial" w:cs="Arial"/>
          <w:sz w:val="22"/>
          <w:szCs w:val="22"/>
        </w:rPr>
        <w:t xml:space="preserve">To formulate the coral index from these five indicators required transformation of observed data into metrics on a common scale. </w:t>
      </w:r>
      <w:r w:rsidR="00E650C5">
        <w:rPr>
          <w:rFonts w:ascii="Arial" w:hAnsi="Arial" w:cs="Arial"/>
          <w:sz w:val="22"/>
          <w:szCs w:val="22"/>
        </w:rPr>
        <w:t>The</w:t>
      </w:r>
      <w:r w:rsidRPr="00E650C5">
        <w:rPr>
          <w:rFonts w:ascii="Arial" w:hAnsi="Arial" w:cs="Arial"/>
          <w:sz w:val="22"/>
          <w:szCs w:val="22"/>
        </w:rPr>
        <w:t xml:space="preserve"> methods used to calculate metric scores for </w:t>
      </w:r>
      <w:r w:rsidR="00912D07" w:rsidRPr="00E650C5">
        <w:rPr>
          <w:rFonts w:ascii="Arial" w:hAnsi="Arial" w:cs="Arial"/>
          <w:sz w:val="22"/>
          <w:szCs w:val="22"/>
        </w:rPr>
        <w:t xml:space="preserve">each of </w:t>
      </w:r>
      <w:r w:rsidRPr="00E650C5">
        <w:rPr>
          <w:rFonts w:ascii="Arial" w:hAnsi="Arial" w:cs="Arial"/>
          <w:sz w:val="22"/>
          <w:szCs w:val="22"/>
        </w:rPr>
        <w:t>the five indicators</w:t>
      </w:r>
      <w:r w:rsidR="00912D07" w:rsidRPr="00E650C5">
        <w:rPr>
          <w:rFonts w:ascii="Arial" w:hAnsi="Arial" w:cs="Arial"/>
          <w:sz w:val="22"/>
          <w:szCs w:val="22"/>
        </w:rPr>
        <w:t>, the aggregation of these metrics into coral index scores and the categorisation of these scores into report card grades</w:t>
      </w:r>
      <w:r w:rsidR="00E650C5">
        <w:rPr>
          <w:rFonts w:ascii="Arial" w:hAnsi="Arial" w:cs="Arial"/>
          <w:sz w:val="22"/>
          <w:szCs w:val="22"/>
        </w:rPr>
        <w:t xml:space="preserve"> are outlined below</w:t>
      </w:r>
      <w:r w:rsidR="00912D07" w:rsidRPr="00E650C5">
        <w:rPr>
          <w:rFonts w:ascii="Arial" w:hAnsi="Arial" w:cs="Arial"/>
          <w:sz w:val="22"/>
          <w:szCs w:val="22"/>
        </w:rPr>
        <w:t>.</w:t>
      </w:r>
      <w:r w:rsidRPr="00E650C5">
        <w:rPr>
          <w:rFonts w:ascii="Arial" w:hAnsi="Arial" w:cs="Arial"/>
          <w:sz w:val="22"/>
          <w:szCs w:val="22"/>
        </w:rPr>
        <w:t xml:space="preserve"> Data for each indicator</w:t>
      </w:r>
      <w:r w:rsidRPr="00E650C5">
        <w:rPr>
          <w:rFonts w:ascii="Arial" w:hAnsi="Arial" w:cs="Arial"/>
          <w:sz w:val="22"/>
          <w:szCs w:val="22"/>
          <w:lang w:val="en-US"/>
        </w:rPr>
        <w:t xml:space="preserve"> are derived from LTMP and MMP point intercept transects and juvenile coral belt transects.</w:t>
      </w:r>
      <w:r w:rsidRPr="00E650C5">
        <w:rPr>
          <w:rFonts w:ascii="Arial" w:hAnsi="Arial" w:cs="Arial"/>
          <w:sz w:val="22"/>
          <w:szCs w:val="22"/>
        </w:rPr>
        <w:t xml:space="preserve"> The coral index was revised for the 2015 Reef report card and a detailed description including the reasoning behind threshold selection and methods</w:t>
      </w:r>
      <w:r w:rsidRPr="00E650C5">
        <w:rPr>
          <w:rFonts w:ascii="Arial" w:hAnsi="Arial" w:cs="Arial"/>
          <w:sz w:val="22"/>
          <w:szCs w:val="22"/>
          <w:lang w:val="en-US"/>
        </w:rPr>
        <w:t xml:space="preserve"> used for the calculation of the coral index </w:t>
      </w:r>
      <w:r w:rsidR="00912D07" w:rsidRPr="00E650C5">
        <w:rPr>
          <w:rFonts w:ascii="Arial" w:hAnsi="Arial" w:cs="Arial"/>
          <w:sz w:val="22"/>
          <w:szCs w:val="22"/>
          <w:lang w:val="en-US"/>
        </w:rPr>
        <w:t xml:space="preserve">can be found in Thompson </w:t>
      </w:r>
      <w:r w:rsidR="00912D07" w:rsidRPr="00E650C5">
        <w:rPr>
          <w:rFonts w:ascii="Arial" w:hAnsi="Arial" w:cs="Arial"/>
          <w:i/>
          <w:sz w:val="22"/>
          <w:szCs w:val="22"/>
          <w:lang w:val="en-US"/>
        </w:rPr>
        <w:t>et al</w:t>
      </w:r>
      <w:r w:rsidR="00912D07" w:rsidRPr="00E650C5">
        <w:rPr>
          <w:rFonts w:ascii="Arial" w:hAnsi="Arial" w:cs="Arial"/>
          <w:sz w:val="22"/>
          <w:szCs w:val="22"/>
          <w:lang w:val="en-US"/>
        </w:rPr>
        <w:t xml:space="preserve">. (2016). </w:t>
      </w:r>
      <w:r w:rsidR="00E75F5C">
        <w:rPr>
          <w:rFonts w:ascii="Arial" w:hAnsi="Arial" w:cs="Arial"/>
          <w:sz w:val="22"/>
          <w:szCs w:val="22"/>
          <w:lang w:val="en-US"/>
        </w:rPr>
        <w:t>We point the reader to section 4.7.4 where a slight revision to methods used to estimate the Cover Change metric is described</w:t>
      </w:r>
      <w:r w:rsidR="00653307">
        <w:rPr>
          <w:rFonts w:ascii="Arial" w:hAnsi="Arial" w:cs="Arial"/>
          <w:sz w:val="22"/>
          <w:szCs w:val="22"/>
          <w:lang w:val="en-US"/>
        </w:rPr>
        <w:t xml:space="preserve"> (</w:t>
      </w:r>
      <w:r w:rsidR="00653307" w:rsidRPr="00653307">
        <w:rPr>
          <w:rFonts w:ascii="Arial" w:hAnsi="Arial" w:cs="Arial"/>
          <w:sz w:val="22"/>
          <w:szCs w:val="22"/>
        </w:rPr>
        <w:fldChar w:fldCharType="begin"/>
      </w:r>
      <w:r w:rsidR="00653307" w:rsidRPr="00653307">
        <w:rPr>
          <w:rFonts w:ascii="Arial" w:hAnsi="Arial" w:cs="Arial"/>
          <w:sz w:val="22"/>
          <w:szCs w:val="22"/>
        </w:rPr>
        <w:instrText xml:space="preserve"> REF _Ref491160202 \h </w:instrText>
      </w:r>
      <w:r w:rsidR="00653307" w:rsidRPr="00653307">
        <w:rPr>
          <w:rFonts w:ascii="Arial" w:hAnsi="Arial" w:cs="Arial"/>
          <w:sz w:val="22"/>
          <w:szCs w:val="22"/>
        </w:rPr>
      </w:r>
      <w:r w:rsidR="00653307" w:rsidRPr="00653307">
        <w:rPr>
          <w:rFonts w:ascii="Arial" w:hAnsi="Arial" w:cs="Arial"/>
          <w:sz w:val="22"/>
          <w:szCs w:val="22"/>
        </w:rPr>
        <w:fldChar w:fldCharType="separate"/>
      </w:r>
      <w:r w:rsidR="00D806F2">
        <w:t xml:space="preserve">Table </w:t>
      </w:r>
      <w:r w:rsidR="00D806F2">
        <w:rPr>
          <w:noProof/>
        </w:rPr>
        <w:t>6</w:t>
      </w:r>
      <w:r w:rsidR="00653307" w:rsidRPr="00653307">
        <w:rPr>
          <w:rFonts w:ascii="Arial" w:hAnsi="Arial" w:cs="Arial"/>
          <w:sz w:val="22"/>
          <w:szCs w:val="22"/>
          <w:lang w:val="en-US"/>
        </w:rPr>
        <w:fldChar w:fldCharType="end"/>
      </w:r>
      <w:r w:rsidR="00653307" w:rsidRPr="00653307">
        <w:rPr>
          <w:rFonts w:ascii="Arial" w:hAnsi="Arial" w:cs="Arial"/>
          <w:sz w:val="22"/>
          <w:szCs w:val="22"/>
        </w:rPr>
        <w:t>.</w:t>
      </w:r>
      <w:r w:rsidR="00653307">
        <w:rPr>
          <w:rFonts w:ascii="Arial" w:hAnsi="Arial" w:cs="Arial"/>
          <w:sz w:val="22"/>
          <w:szCs w:val="22"/>
          <w:lang w:val="en-US"/>
        </w:rPr>
        <w:t xml:space="preserve">). </w:t>
      </w:r>
    </w:p>
    <w:p w14:paraId="11EA8F61" w14:textId="5CA205F5" w:rsidR="00637BBC" w:rsidRPr="00637BBC" w:rsidRDefault="00637BBC" w:rsidP="00540DE4">
      <w:pPr>
        <w:pStyle w:val="Heading3"/>
      </w:pPr>
      <w:bookmarkStart w:id="95" w:name="_Toc493153315"/>
      <w:r w:rsidRPr="00637BBC">
        <w:t>4.</w:t>
      </w:r>
      <w:r w:rsidR="000E09B7">
        <w:t>7</w:t>
      </w:r>
      <w:r w:rsidR="00296011">
        <w:t>.1 Coral C</w:t>
      </w:r>
      <w:r w:rsidRPr="00637BBC">
        <w:t>over metric</w:t>
      </w:r>
      <w:bookmarkEnd w:id="95"/>
    </w:p>
    <w:p w14:paraId="11EA8F62" w14:textId="15D992F3" w:rsidR="002B46AB" w:rsidRDefault="00637BBC" w:rsidP="002B46AB">
      <w:pPr>
        <w:autoSpaceDE w:val="0"/>
        <w:autoSpaceDN w:val="0"/>
        <w:adjustRightInd w:val="0"/>
      </w:pPr>
      <w:r w:rsidRPr="00637BBC">
        <w:rPr>
          <w:lang w:val="en-US"/>
        </w:rPr>
        <w:t xml:space="preserve">High coral cover is a highly desirable state for coral reefs both in providing essential ecological goods and services related to habitat complexity </w:t>
      </w:r>
      <w:r w:rsidR="00130251" w:rsidRPr="00637BBC">
        <w:rPr>
          <w:lang w:val="en-US"/>
        </w:rPr>
        <w:t>b</w:t>
      </w:r>
      <w:r w:rsidR="00130251">
        <w:rPr>
          <w:lang w:val="en-US"/>
        </w:rPr>
        <w:t>ut</w:t>
      </w:r>
      <w:r w:rsidR="00130251" w:rsidRPr="00637BBC">
        <w:rPr>
          <w:lang w:val="en-US"/>
        </w:rPr>
        <w:t xml:space="preserve"> </w:t>
      </w:r>
      <w:r w:rsidRPr="00637BBC">
        <w:rPr>
          <w:lang w:val="en-US"/>
        </w:rPr>
        <w:t>also from a purely aesthetic perspective with clear socio economic advantages. In terms of reef resilience</w:t>
      </w:r>
      <w:r w:rsidR="00C65E63">
        <w:rPr>
          <w:lang w:val="en-US"/>
        </w:rPr>
        <w:t>,</w:t>
      </w:r>
      <w:r w:rsidRPr="00637BBC">
        <w:rPr>
          <w:lang w:val="en-US"/>
        </w:rPr>
        <w:t xml:space="preserve"> although low cover may be expected following severe disturbance events, high cove</w:t>
      </w:r>
      <w:r w:rsidR="002B46AB">
        <w:rPr>
          <w:lang w:val="en-US"/>
        </w:rPr>
        <w:t>r implies a degree of resistance</w:t>
      </w:r>
      <w:r w:rsidRPr="00637BBC">
        <w:rPr>
          <w:lang w:val="en-US"/>
        </w:rPr>
        <w:t xml:space="preserve"> to any chronic pressures influencing </w:t>
      </w:r>
      <w:r w:rsidR="00C65E63">
        <w:rPr>
          <w:lang w:val="en-US"/>
        </w:rPr>
        <w:t>a</w:t>
      </w:r>
      <w:r w:rsidRPr="00637BBC">
        <w:rPr>
          <w:lang w:val="en-US"/>
        </w:rPr>
        <w:t xml:space="preserve"> reef. </w:t>
      </w:r>
      <w:r w:rsidR="002B46AB">
        <w:t>Also, high cover equates to a large brood-stock</w:t>
      </w:r>
      <w:r w:rsidR="006C18B9">
        <w:t>:</w:t>
      </w:r>
      <w:r w:rsidR="002B46AB">
        <w:t xml:space="preserve"> a necessary link to recruitment and an indication of the potential for recovery of communities in the local area. </w:t>
      </w:r>
    </w:p>
    <w:p w14:paraId="11EA8F63" w14:textId="4607F786" w:rsidR="00637BBC" w:rsidRPr="00637BBC" w:rsidRDefault="00637BBC" w:rsidP="00637BBC">
      <w:r w:rsidRPr="00637BBC">
        <w:rPr>
          <w:lang w:val="en-US"/>
        </w:rPr>
        <w:t>This metric scores reefs based on the level of coral cover</w:t>
      </w:r>
      <w:r w:rsidR="002B46AB">
        <w:rPr>
          <w:lang w:val="en-US"/>
        </w:rPr>
        <w:t xml:space="preserve"> derived from point intercept transects</w:t>
      </w:r>
      <w:r w:rsidRPr="00637BBC">
        <w:rPr>
          <w:lang w:val="en-US"/>
        </w:rPr>
        <w:t xml:space="preserve">. For each reef the proportional cover </w:t>
      </w:r>
      <w:r w:rsidRPr="00637BBC">
        <w:t xml:space="preserve">of </w:t>
      </w:r>
      <w:r w:rsidR="00C65E63">
        <w:t xml:space="preserve">all </w:t>
      </w:r>
      <w:r w:rsidRPr="00637BBC">
        <w:t>hard (order Scleractinia) and soft (subclass Octocorallia) corals are combined into two groups, “HC” and “SC” respectively. The coral cover indicator is then calculated as;</w:t>
      </w:r>
    </w:p>
    <w:p w14:paraId="11EA8F64" w14:textId="77777777" w:rsidR="00637BBC" w:rsidRPr="00637BBC" w:rsidRDefault="00EF4C08" w:rsidP="00637BBC">
      <m:oMath>
        <m:sSub>
          <m:sSubPr>
            <m:ctrlPr>
              <w:rPr>
                <w:rFonts w:ascii="Cambria Math" w:hAnsi="Cambria Math"/>
                <w:i/>
              </w:rPr>
            </m:ctrlPr>
          </m:sSubPr>
          <m:e>
            <m:r>
              <w:rPr>
                <w:rFonts w:ascii="Cambria Math" w:hAnsi="Cambria Math"/>
              </w:rPr>
              <m:t>Coral cover</m:t>
            </m:r>
          </m:e>
          <m:sub>
            <m:r>
              <w:rPr>
                <w:rFonts w:ascii="Cambria Math" w:hAnsi="Cambria Math"/>
              </w:rPr>
              <m:t>ij</m:t>
            </m:r>
          </m:sub>
        </m:sSub>
      </m:oMath>
      <w:r w:rsidR="00637BBC" w:rsidRPr="00637BBC">
        <w:t xml:space="preserve"> = </w:t>
      </w:r>
      <m:oMath>
        <m:sSub>
          <m:sSubPr>
            <m:ctrlPr>
              <w:rPr>
                <w:rFonts w:ascii="Cambria Math" w:hAnsi="Cambria Math"/>
                <w:i/>
              </w:rPr>
            </m:ctrlPr>
          </m:sSubPr>
          <m:e>
            <m:r>
              <w:rPr>
                <w:rFonts w:ascii="Cambria Math" w:hAnsi="Cambria Math"/>
              </w:rPr>
              <m:t>HC</m:t>
            </m:r>
          </m:e>
          <m:sub>
            <m:r>
              <w:rPr>
                <w:rFonts w:ascii="Cambria Math" w:hAnsi="Cambria Math"/>
              </w:rPr>
              <m:t>ij</m:t>
            </m:r>
          </m:sub>
        </m:sSub>
      </m:oMath>
      <w:r w:rsidR="00637BBC" w:rsidRPr="00637BBC">
        <w:t xml:space="preserve"> + </w:t>
      </w:r>
      <m:oMath>
        <m:sSub>
          <m:sSubPr>
            <m:ctrlPr>
              <w:rPr>
                <w:rFonts w:ascii="Cambria Math" w:hAnsi="Cambria Math"/>
                <w:i/>
              </w:rPr>
            </m:ctrlPr>
          </m:sSubPr>
          <m:e>
            <m:r>
              <w:rPr>
                <w:rFonts w:ascii="Cambria Math" w:hAnsi="Cambria Math"/>
              </w:rPr>
              <m:t>SC</m:t>
            </m:r>
          </m:e>
          <m:sub>
            <m:r>
              <w:rPr>
                <w:rFonts w:ascii="Cambria Math" w:hAnsi="Cambria Math"/>
              </w:rPr>
              <m:t>ij</m:t>
            </m:r>
          </m:sub>
        </m:sSub>
      </m:oMath>
      <w:r w:rsidR="00637BBC" w:rsidRPr="00637BBC">
        <w:t xml:space="preserve"> </w:t>
      </w:r>
    </w:p>
    <w:p w14:paraId="11EA8F65" w14:textId="77777777" w:rsidR="00637BBC" w:rsidRPr="00637BBC" w:rsidRDefault="00637BBC" w:rsidP="00637BBC">
      <w:r w:rsidRPr="00637BBC">
        <w:t xml:space="preserve">Where </w:t>
      </w:r>
      <m:oMath>
        <m:r>
          <w:rPr>
            <w:rFonts w:ascii="Cambria Math" w:hAnsi="Cambria Math"/>
          </w:rPr>
          <m:t>i</m:t>
        </m:r>
      </m:oMath>
      <w:r w:rsidRPr="00637BBC">
        <w:t xml:space="preserve"> = reef and </w:t>
      </w:r>
      <m:oMath>
        <m:r>
          <w:rPr>
            <w:rFonts w:ascii="Cambria Math" w:hAnsi="Cambria Math"/>
          </w:rPr>
          <m:t>j</m:t>
        </m:r>
      </m:oMath>
      <w:r w:rsidRPr="00637BBC">
        <w:t xml:space="preserve"> = time.</w:t>
      </w:r>
    </w:p>
    <w:p w14:paraId="11EA8F66" w14:textId="03FC58CD" w:rsidR="002B46AB" w:rsidRDefault="002B46AB" w:rsidP="002B46AB">
      <w:r>
        <w:t>The threshold values for scoring this metric were based on assessment of coral cover from LTMP data (from 1992), MMP data (from 2005) and surveys from Cape Flattery to the Keppel’s by Sea Research prior to 1998 (Ayling 199</w:t>
      </w:r>
      <w:r w:rsidR="00573FD8">
        <w:t>7</w:t>
      </w:r>
      <w:r>
        <w:t>) which identified a mean of &gt;50% for combined coral cover on inshore reefs. Due to the unlikelihood of coral cover at a particular reef ever reaching 100% the threshold for this indicator (where the score is a maximum of 1) has been set at 75%.</w:t>
      </w:r>
      <w:r w:rsidR="00E75F5C">
        <w:t xml:space="preserve"> </w:t>
      </w:r>
      <w:r>
        <w:t xml:space="preserve">This value is considered to capture the plausible level of coral cover achievable on reefs within the inshore </w:t>
      </w:r>
      <w:r w:rsidR="007612E6">
        <w:t xml:space="preserve">Reef </w:t>
      </w:r>
      <w:r>
        <w:t>and allows a natural break point for the categorisation of coral cover into the 5 reporting bands of the report card. Thus the scoring for the coral cover indicator is scaled linearly from zero when cover is 0% through to 1 when cover is at or above the threshold level of 75% (</w:t>
      </w:r>
      <w:r w:rsidR="00E6123B">
        <w:fldChar w:fldCharType="begin"/>
      </w:r>
      <w:r w:rsidR="00E6123B">
        <w:instrText xml:space="preserve"> REF _Ref491156674 \h </w:instrText>
      </w:r>
      <w:r w:rsidR="00E6123B">
        <w:fldChar w:fldCharType="separate"/>
      </w:r>
      <w:r w:rsidR="00D806F2">
        <w:t xml:space="preserve">Figure </w:t>
      </w:r>
      <w:r w:rsidR="00D806F2">
        <w:rPr>
          <w:noProof/>
        </w:rPr>
        <w:t>3</w:t>
      </w:r>
      <w:r w:rsidR="00E6123B">
        <w:fldChar w:fldCharType="end"/>
      </w:r>
      <w:r>
        <w:t>)</w:t>
      </w:r>
    </w:p>
    <w:p w14:paraId="11EA8F67" w14:textId="77777777" w:rsidR="004B5EED" w:rsidRDefault="004B5EED" w:rsidP="004B5EED"/>
    <w:p w14:paraId="11EA8F68" w14:textId="77777777" w:rsidR="004B5EED" w:rsidRPr="00B80A7D" w:rsidRDefault="004B5EED" w:rsidP="004B5EED">
      <w:r w:rsidRPr="00B80A7D">
        <w:rPr>
          <w:noProof/>
          <w:lang w:val="en-AU" w:eastAsia="en-AU"/>
        </w:rPr>
        <w:drawing>
          <wp:inline distT="0" distB="0" distL="0" distR="0" wp14:anchorId="11EAB255" wp14:editId="1BCB4147">
            <wp:extent cx="3600450" cy="2876550"/>
            <wp:effectExtent l="0" t="0" r="0" b="0"/>
            <wp:docPr id="232" name="Picture 232" descr="Diagram that describes the scoring and categorisation of the Coral Cover Metric" title="Figure 3 Scoring diagram for Coral Cover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600450" cy="2876550"/>
                    </a:xfrm>
                    <a:prstGeom prst="rect">
                      <a:avLst/>
                    </a:prstGeom>
                    <a:noFill/>
                    <a:ln>
                      <a:noFill/>
                    </a:ln>
                  </pic:spPr>
                </pic:pic>
              </a:graphicData>
            </a:graphic>
          </wp:inline>
        </w:drawing>
      </w:r>
    </w:p>
    <w:p w14:paraId="11EA8F69" w14:textId="36EE6E7A" w:rsidR="004B5EED" w:rsidRPr="00B80A7D" w:rsidRDefault="00E6123B" w:rsidP="00F872DF">
      <w:pPr>
        <w:pStyle w:val="Caption"/>
        <w:rPr>
          <w:vanish/>
        </w:rPr>
      </w:pPr>
      <w:bookmarkStart w:id="96" w:name="_Ref491156674"/>
      <w:bookmarkStart w:id="97" w:name="_Toc491846829"/>
      <w:bookmarkStart w:id="98" w:name="_Ref491075450"/>
      <w:bookmarkStart w:id="99" w:name="_Toc437423863"/>
      <w:bookmarkStart w:id="100" w:name="_Toc437424042"/>
      <w:bookmarkStart w:id="101" w:name="_Toc437424315"/>
      <w:bookmarkStart w:id="102" w:name="_Toc437597651"/>
      <w:bookmarkStart w:id="103" w:name="_Toc437599323"/>
      <w:r>
        <w:t xml:space="preserve">Figure </w:t>
      </w:r>
      <w:r>
        <w:fldChar w:fldCharType="begin"/>
      </w:r>
      <w:r>
        <w:instrText xml:space="preserve"> SEQ Figure \* ARABIC </w:instrText>
      </w:r>
      <w:r>
        <w:fldChar w:fldCharType="separate"/>
      </w:r>
      <w:r w:rsidR="00D806F2">
        <w:rPr>
          <w:noProof/>
        </w:rPr>
        <w:t>3</w:t>
      </w:r>
      <w:r>
        <w:fldChar w:fldCharType="end"/>
      </w:r>
      <w:bookmarkEnd w:id="96"/>
      <w:r>
        <w:t xml:space="preserve"> Scoring diagram for the Coral Cover metric.</w:t>
      </w:r>
      <w:bookmarkEnd w:id="97"/>
      <w:r>
        <w:t xml:space="preserve"> </w:t>
      </w:r>
      <w:bookmarkEnd w:id="98"/>
      <w:bookmarkEnd w:id="99"/>
      <w:bookmarkEnd w:id="100"/>
      <w:bookmarkEnd w:id="101"/>
      <w:bookmarkEnd w:id="102"/>
      <w:bookmarkEnd w:id="103"/>
    </w:p>
    <w:p w14:paraId="11EA8F6A" w14:textId="77777777" w:rsidR="004B5EED" w:rsidRPr="00B80A7D" w:rsidRDefault="004B5EED" w:rsidP="004B5EED">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232"/>
        <w:rPr>
          <w:rFonts w:ascii="Arial Narrow" w:eastAsia="SimSun" w:hAnsi="Arial Narrow"/>
          <w:bCs/>
          <w:color w:val="000000" w:themeColor="text1"/>
          <w:sz w:val="20"/>
        </w:rPr>
      </w:pPr>
      <w:bookmarkStart w:id="104" w:name="_Toc437424316"/>
      <w:bookmarkStart w:id="105" w:name="_Toc437432368"/>
      <w:bookmarkStart w:id="106" w:name="_Toc437597652"/>
      <w:r w:rsidRPr="00B80A7D">
        <w:rPr>
          <w:rFonts w:ascii="Arial Narrow" w:eastAsia="SimSun" w:hAnsi="Arial Narrow"/>
          <w:bCs/>
          <w:color w:val="000000" w:themeColor="text1"/>
          <w:sz w:val="20"/>
        </w:rPr>
        <w:t>Numeric scores and associated condition classifications based on observed coral cover are presented.</w:t>
      </w:r>
      <w:bookmarkEnd w:id="104"/>
      <w:bookmarkEnd w:id="105"/>
      <w:bookmarkEnd w:id="106"/>
      <w:r w:rsidRPr="00B80A7D">
        <w:rPr>
          <w:rFonts w:ascii="Arial Narrow" w:eastAsia="SimSun" w:hAnsi="Arial Narrow"/>
          <w:bCs/>
          <w:color w:val="000000" w:themeColor="text1"/>
          <w:sz w:val="20"/>
        </w:rPr>
        <w:t xml:space="preserve"> </w:t>
      </w:r>
    </w:p>
    <w:p w14:paraId="11EA8F6C" w14:textId="309EBDB0" w:rsidR="00637BBC" w:rsidRPr="00637BBC" w:rsidRDefault="00637BBC" w:rsidP="00B9528B">
      <w:pPr>
        <w:pStyle w:val="Heading3"/>
      </w:pPr>
      <w:bookmarkStart w:id="107" w:name="_Toc493153316"/>
      <w:r w:rsidRPr="00637BBC">
        <w:t>4.</w:t>
      </w:r>
      <w:r w:rsidR="000E09B7">
        <w:t>7</w:t>
      </w:r>
      <w:r w:rsidRPr="00637BBC">
        <w:t>.2 Macroalgae metric</w:t>
      </w:r>
      <w:bookmarkEnd w:id="107"/>
    </w:p>
    <w:p w14:paraId="11EA8F6D" w14:textId="514B4527" w:rsidR="00637BBC" w:rsidRPr="00637BBC" w:rsidRDefault="00637BBC" w:rsidP="00637BBC">
      <w:r w:rsidRPr="00637BBC">
        <w:t>In contras</w:t>
      </w:r>
      <w:r w:rsidR="00C74A31">
        <w:t>t to coral cover</w:t>
      </w:r>
      <w:r w:rsidR="00E75F5C">
        <w:t>,</w:t>
      </w:r>
      <w:r w:rsidR="00C74A31">
        <w:t xml:space="preserve"> high</w:t>
      </w:r>
      <w:r w:rsidRPr="00637BBC">
        <w:t xml:space="preserve"> cover</w:t>
      </w:r>
      <w:r w:rsidR="00C74A31">
        <w:t xml:space="preserve"> of macroalgae</w:t>
      </w:r>
      <w:r w:rsidRPr="00637BBC">
        <w:t xml:space="preserve"> on coral reefs is widely accepted as representing a degraded state. As opportunistic colonisers, macroalgae generally out-compete corals, recovering more quickly following physical disturbances. </w:t>
      </w:r>
      <w:r w:rsidR="006C18B9">
        <w:t>M</w:t>
      </w:r>
      <w:r w:rsidRPr="00637BBC">
        <w:t xml:space="preserve">acroalgae have been documented to suppress coral fecundity (Foster </w:t>
      </w:r>
      <w:r w:rsidRPr="00637BBC">
        <w:rPr>
          <w:i/>
        </w:rPr>
        <w:t>et al</w:t>
      </w:r>
      <w:r w:rsidRPr="00637BBC">
        <w:t xml:space="preserve">. 2008), reduce recruitment of hard corals (Birrell </w:t>
      </w:r>
      <w:r w:rsidRPr="00637BBC">
        <w:rPr>
          <w:i/>
        </w:rPr>
        <w:t>et al</w:t>
      </w:r>
      <w:r w:rsidRPr="00637BBC">
        <w:t>. 2008</w:t>
      </w:r>
      <w:r w:rsidR="00DF305A">
        <w:t xml:space="preserve">a, </w:t>
      </w:r>
      <w:r w:rsidRPr="00637BBC">
        <w:t xml:space="preserve">b, Diaz-Pulido </w:t>
      </w:r>
      <w:r w:rsidRPr="00637BBC">
        <w:rPr>
          <w:i/>
        </w:rPr>
        <w:t>et al.</w:t>
      </w:r>
      <w:r w:rsidRPr="00637BBC">
        <w:t xml:space="preserve"> 2010) and diminish the capacity </w:t>
      </w:r>
      <w:r w:rsidR="00C65E63">
        <w:t>for</w:t>
      </w:r>
      <w:r w:rsidRPr="00637BBC">
        <w:t xml:space="preserve"> growth among local coral communities (Fabricius 2005).</w:t>
      </w:r>
      <w:r w:rsidR="00E75F5C">
        <w:t xml:space="preserve"> </w:t>
      </w:r>
      <w:r w:rsidR="00EB40C1" w:rsidRPr="00637BBC">
        <w:t xml:space="preserve">The </w:t>
      </w:r>
      <w:r w:rsidR="00EB40C1">
        <w:t>macroalgae metric</w:t>
      </w:r>
      <w:r w:rsidR="00EB40C1" w:rsidRPr="00637BBC">
        <w:t xml:space="preserve"> consider</w:t>
      </w:r>
      <w:r w:rsidR="00EB40C1">
        <w:t>s</w:t>
      </w:r>
      <w:r w:rsidR="00EB40C1" w:rsidRPr="00637BBC">
        <w:t xml:space="preserve"> the proportional representation of macroalgae </w:t>
      </w:r>
      <w:r w:rsidR="00EB40C1">
        <w:t xml:space="preserve">in the algal community based on cover estimates derived from point intercept transects </w:t>
      </w:r>
      <w:r w:rsidRPr="00637BBC">
        <w:t>and is calculated as;</w:t>
      </w:r>
    </w:p>
    <w:p w14:paraId="11EA8F6E" w14:textId="77777777" w:rsidR="00637BBC" w:rsidRPr="00637BBC" w:rsidRDefault="00EF4C08" w:rsidP="00637BBC">
      <m:oMath>
        <m:sSub>
          <m:sSubPr>
            <m:ctrlPr>
              <w:rPr>
                <w:rFonts w:ascii="Cambria Math" w:hAnsi="Cambria Math"/>
                <w:i/>
              </w:rPr>
            </m:ctrlPr>
          </m:sSubPr>
          <m:e>
            <m:r>
              <w:rPr>
                <w:rFonts w:ascii="Cambria Math" w:hAnsi="Cambria Math"/>
              </w:rPr>
              <m:t>MAproportion</m:t>
            </m:r>
          </m:e>
          <m:sub>
            <m:r>
              <w:rPr>
                <w:rFonts w:ascii="Cambria Math" w:hAnsi="Cambria Math"/>
              </w:rPr>
              <m:t>ij</m:t>
            </m:r>
          </m:sub>
        </m:sSub>
      </m:oMath>
      <w:r w:rsidR="00637BBC" w:rsidRPr="00637BBC">
        <w:t xml:space="preserve"> = </w:t>
      </w:r>
      <m:oMath>
        <m:sSub>
          <m:sSubPr>
            <m:ctrlPr>
              <w:rPr>
                <w:rFonts w:ascii="Cambria Math" w:hAnsi="Cambria Math"/>
                <w:i/>
              </w:rPr>
            </m:ctrlPr>
          </m:sSubPr>
          <m:e>
            <m:r>
              <w:rPr>
                <w:rFonts w:ascii="Cambria Math" w:hAnsi="Cambria Math"/>
              </w:rPr>
              <m:t>MA</m:t>
            </m:r>
          </m:e>
          <m:sub>
            <m:r>
              <w:rPr>
                <w:rFonts w:ascii="Cambria Math" w:hAnsi="Cambria Math"/>
              </w:rPr>
              <m:t>ij</m:t>
            </m:r>
          </m:sub>
        </m:sSub>
      </m:oMath>
      <w:r w:rsidR="00637BBC" w:rsidRPr="00637BBC">
        <w:t xml:space="preserve"> / </w:t>
      </w:r>
      <m:oMath>
        <m:sSub>
          <m:sSubPr>
            <m:ctrlPr>
              <w:rPr>
                <w:rFonts w:ascii="Cambria Math" w:hAnsi="Cambria Math"/>
                <w:i/>
              </w:rPr>
            </m:ctrlPr>
          </m:sSubPr>
          <m:e>
            <m:r>
              <w:rPr>
                <w:rFonts w:ascii="Cambria Math" w:hAnsi="Cambria Math"/>
              </w:rPr>
              <m:t>A</m:t>
            </m:r>
          </m:e>
          <m:sub>
            <m:r>
              <w:rPr>
                <w:rFonts w:ascii="Cambria Math" w:hAnsi="Cambria Math"/>
              </w:rPr>
              <m:t>ij</m:t>
            </m:r>
          </m:sub>
        </m:sSub>
      </m:oMath>
    </w:p>
    <w:p w14:paraId="11EA8F6F" w14:textId="77777777" w:rsidR="00637BBC" w:rsidRPr="00637BBC" w:rsidRDefault="00637BBC" w:rsidP="00637BBC">
      <w:r w:rsidRPr="00637BBC">
        <w:t xml:space="preserve">Where </w:t>
      </w:r>
      <m:oMath>
        <m:r>
          <w:rPr>
            <w:rFonts w:ascii="Cambria Math" w:hAnsi="Cambria Math"/>
          </w:rPr>
          <m:t>A</m:t>
        </m:r>
      </m:oMath>
      <w:r w:rsidRPr="00637BBC">
        <w:t xml:space="preserve">= percent cover of all algae, </w:t>
      </w:r>
      <m:oMath>
        <m:r>
          <w:rPr>
            <w:rFonts w:ascii="Cambria Math" w:hAnsi="Cambria Math"/>
          </w:rPr>
          <m:t>i</m:t>
        </m:r>
      </m:oMath>
      <w:r w:rsidRPr="00637BBC">
        <w:t xml:space="preserve"> = reef, </w:t>
      </w:r>
      <m:oMath>
        <m:r>
          <w:rPr>
            <w:rFonts w:ascii="Cambria Math" w:hAnsi="Cambria Math"/>
          </w:rPr>
          <m:t>j</m:t>
        </m:r>
      </m:oMath>
      <w:r w:rsidRPr="00637BBC">
        <w:t xml:space="preserve"> = time and </w:t>
      </w:r>
      <m:oMath>
        <m:r>
          <w:rPr>
            <w:rFonts w:ascii="Cambria Math" w:hAnsi="Cambria Math"/>
          </w:rPr>
          <m:t>MA</m:t>
        </m:r>
      </m:oMath>
      <w:r w:rsidRPr="00637BBC">
        <w:t xml:space="preserve"> = percent cover of macroalgae.</w:t>
      </w:r>
    </w:p>
    <w:p w14:paraId="11EA8F70" w14:textId="68DF7D0F" w:rsidR="002B46AB" w:rsidRDefault="00EB40C1" w:rsidP="002B46AB">
      <w:r>
        <w:t>Importantly, for the purpose of calculating this metric, the collective term macroalgae defines a broad functional grouping that combines species clearly visible to the naked eye though excluding crustose coralline and fine filamentous or “turf” forms.</w:t>
      </w:r>
      <w:r w:rsidR="00E75F5C">
        <w:t xml:space="preserve"> </w:t>
      </w:r>
      <w:r w:rsidR="00637BBC" w:rsidRPr="00637BBC">
        <w:t>In addition</w:t>
      </w:r>
      <w:r w:rsidR="00130251">
        <w:t>,</w:t>
      </w:r>
      <w:r w:rsidR="00637BBC" w:rsidRPr="00637BBC">
        <w:t xml:space="preserve"> </w:t>
      </w:r>
      <w:r w:rsidR="00C65E63">
        <w:t>as macroalgae show marked differences in abundance across the naturally steep gradient of environmental conditions within the inshore Reef</w:t>
      </w:r>
      <w:r w:rsidR="006C18B9">
        <w:t>,</w:t>
      </w:r>
      <w:r w:rsidR="00C65E63">
        <w:t xml:space="preserve"> </w:t>
      </w:r>
      <w:r w:rsidR="00637BBC" w:rsidRPr="00637BBC">
        <w:t>separate upper and lower thresholds were estimated for each reef and depth</w:t>
      </w:r>
      <w:r w:rsidR="00C65E63">
        <w:t xml:space="preserve"> (</w:t>
      </w:r>
      <w:r w:rsidR="00963B73">
        <w:fldChar w:fldCharType="begin"/>
      </w:r>
      <w:r w:rsidR="00963B73">
        <w:instrText xml:space="preserve"> REF _Ref491159462 \h </w:instrText>
      </w:r>
      <w:r w:rsidR="00963B73">
        <w:fldChar w:fldCharType="separate"/>
      </w:r>
      <w:r w:rsidR="00D806F2">
        <w:t xml:space="preserve">Table A1. </w:t>
      </w:r>
      <w:r w:rsidR="00D806F2">
        <w:rPr>
          <w:noProof/>
        </w:rPr>
        <w:t>1</w:t>
      </w:r>
      <w:r w:rsidR="00963B73">
        <w:fldChar w:fldCharType="end"/>
      </w:r>
      <w:r w:rsidR="00C65E63">
        <w:t>)</w:t>
      </w:r>
      <w:r w:rsidR="005D75C7">
        <w:t xml:space="preserve">. The use of separate thresholds ensures the indicator is sensitive to changes likely to occur at a given reef. The thresholds for each reef were determined based on predicted </w:t>
      </w:r>
      <w:r w:rsidR="005D75C7" w:rsidRPr="005D75C7">
        <w:rPr>
          <w:i/>
        </w:rPr>
        <w:t>MAproportion</w:t>
      </w:r>
      <w:r w:rsidR="005D75C7">
        <w:t xml:space="preserve"> from </w:t>
      </w:r>
      <w:r>
        <w:t>Generalised Boosted Models</w:t>
      </w:r>
      <w:r w:rsidR="005D75C7">
        <w:t xml:space="preserve"> (R</w:t>
      </w:r>
      <w:r>
        <w:t>idgeway 2007</w:t>
      </w:r>
      <w:r w:rsidR="005D75C7">
        <w:t xml:space="preserve">) that included mean </w:t>
      </w:r>
      <w:r w:rsidR="005D75C7" w:rsidRPr="00EB40C1">
        <w:rPr>
          <w:i/>
        </w:rPr>
        <w:t>MAproportion</w:t>
      </w:r>
      <w:r w:rsidR="005D75C7">
        <w:t xml:space="preserve"> over the period 200</w:t>
      </w:r>
      <w:r>
        <w:t>5</w:t>
      </w:r>
      <w:r w:rsidR="005D75C7">
        <w:t>-201</w:t>
      </w:r>
      <w:r>
        <w:t>4</w:t>
      </w:r>
      <w:r w:rsidR="005D75C7">
        <w:t xml:space="preserve"> as the response and</w:t>
      </w:r>
      <w:r w:rsidR="00E75F5C">
        <w:t xml:space="preserve"> </w:t>
      </w:r>
      <w:r w:rsidR="00637BBC" w:rsidRPr="00637BBC">
        <w:t xml:space="preserve">long-term mean </w:t>
      </w:r>
      <w:r w:rsidR="00372F57">
        <w:t xml:space="preserve">chlorophyll </w:t>
      </w:r>
      <w:r w:rsidR="00372F57" w:rsidRPr="00372F57">
        <w:rPr>
          <w:i/>
        </w:rPr>
        <w:t>a</w:t>
      </w:r>
      <w:r w:rsidR="005D75C7">
        <w:t xml:space="preserve"> concentration, suspended sediment concentration, </w:t>
      </w:r>
      <w:r w:rsidR="00E75F5C">
        <w:t xml:space="preserve">and proportion of clay and silt </w:t>
      </w:r>
      <w:r w:rsidR="005D75C7">
        <w:t>sized grains in reefal sediments as covariates</w:t>
      </w:r>
      <w:r w:rsidR="00637BBC" w:rsidRPr="00637BBC">
        <w:t xml:space="preserve"> (</w:t>
      </w:r>
      <w:r w:rsidR="004B5EED">
        <w:t xml:space="preserve">Thompson </w:t>
      </w:r>
      <w:r w:rsidR="004B5EED" w:rsidRPr="00114623">
        <w:rPr>
          <w:i/>
        </w:rPr>
        <w:t>et al</w:t>
      </w:r>
      <w:r w:rsidR="00BA63BC" w:rsidRPr="00114623">
        <w:rPr>
          <w:i/>
        </w:rPr>
        <w:t>.</w:t>
      </w:r>
      <w:r w:rsidR="004B5EED">
        <w:t xml:space="preserve"> 201</w:t>
      </w:r>
      <w:r w:rsidR="00D422F0">
        <w:t>6</w:t>
      </w:r>
      <w:r w:rsidR="00637BBC" w:rsidRPr="00637BBC">
        <w:t xml:space="preserve">). </w:t>
      </w:r>
      <w:r w:rsidR="002B46AB">
        <w:t xml:space="preserve">An additional consideration in setting the upper threshold for </w:t>
      </w:r>
      <w:r w:rsidR="002B46AB">
        <w:rPr>
          <w:i/>
        </w:rPr>
        <w:t>MAproportion</w:t>
      </w:r>
      <w:r w:rsidR="00E75F5C">
        <w:t xml:space="preserve"> wa</w:t>
      </w:r>
      <w:r w:rsidR="002B46AB">
        <w:t xml:space="preserve">s the ecological influence of macroalgae on other indicators of coral community condition. Regression tree analyses that included </w:t>
      </w:r>
      <w:r w:rsidR="002B46AB">
        <w:rPr>
          <w:i/>
        </w:rPr>
        <w:t>MAproportion</w:t>
      </w:r>
      <w:r w:rsidR="002B46AB">
        <w:t xml:space="preserve"> as the predictor variable indicated reduced levels of the indicator metrics juvenile density, coral cover and the rate of change in coral cover at higher levels of </w:t>
      </w:r>
      <w:r w:rsidR="002B46AB">
        <w:rPr>
          <w:i/>
        </w:rPr>
        <w:t>MAproportion</w:t>
      </w:r>
      <w:r w:rsidR="002B46AB">
        <w:t>. These thresholds</w:t>
      </w:r>
      <w:r w:rsidR="00E75F5C">
        <w:t>,</w:t>
      </w:r>
      <w:r w:rsidR="002B46AB">
        <w:t xml:space="preserve"> for an ecological impact</w:t>
      </w:r>
      <w:r w:rsidR="00E75F5C">
        <w:t>,</w:t>
      </w:r>
      <w:r w:rsidR="002B46AB">
        <w:t xml:space="preserve"> serve as potential caps for </w:t>
      </w:r>
      <w:r w:rsidR="002B46AB">
        <w:rPr>
          <w:i/>
        </w:rPr>
        <w:t>MAproportion</w:t>
      </w:r>
      <w:r w:rsidR="002B46AB">
        <w:t xml:space="preserve"> at any given reef. The thresholds for an influence of </w:t>
      </w:r>
      <w:r w:rsidR="002B46AB">
        <w:rPr>
          <w:i/>
        </w:rPr>
        <w:t>MAproportion</w:t>
      </w:r>
      <w:r w:rsidR="002B46AB">
        <w:t xml:space="preserve"> are, however, variable both between indicators and depths. To set caps to the upper bound of </w:t>
      </w:r>
      <w:r w:rsidR="002B46AB">
        <w:rPr>
          <w:i/>
        </w:rPr>
        <w:t>MAproportion</w:t>
      </w:r>
      <w:r w:rsidR="002B46AB">
        <w:t xml:space="preserve"> across all reefs at either 2 m or 5 m depths</w:t>
      </w:r>
      <w:r w:rsidR="006C18B9">
        <w:t>,</w:t>
      </w:r>
      <w:r w:rsidR="002B46AB">
        <w:t xml:space="preserve"> the mean of the thresholds evident for the three indicators was taken</w:t>
      </w:r>
      <w:r w:rsidR="00E75F5C">
        <w:t>,</w:t>
      </w:r>
      <w:r w:rsidR="002B46AB">
        <w:t xml:space="preserve"> resulting in an upper bound cap of 23% at 2 m and a 25% at 5 m. The upper bounds for any reefs with predicted </w:t>
      </w:r>
      <w:r w:rsidR="002B46AB">
        <w:rPr>
          <w:i/>
        </w:rPr>
        <w:t>MAproportion</w:t>
      </w:r>
      <w:r w:rsidR="002B46AB">
        <w:t xml:space="preserve"> higher than these caps were reduced to the cap level.</w:t>
      </w:r>
    </w:p>
    <w:p w14:paraId="11EA8F71" w14:textId="4E72C953" w:rsidR="006554A0" w:rsidRDefault="00637BBC" w:rsidP="006554A0">
      <w:r w:rsidRPr="00637BBC">
        <w:t xml:space="preserve">Scores for </w:t>
      </w:r>
      <w:r w:rsidR="00963B73">
        <w:t xml:space="preserve">Macroalgae metric </w:t>
      </w:r>
      <w:r w:rsidRPr="00637BBC">
        <w:t xml:space="preserve">were scaled linearly from 0 when </w:t>
      </w:r>
      <w:r w:rsidRPr="00637BBC">
        <w:rPr>
          <w:i/>
        </w:rPr>
        <w:t>MAproportion</w:t>
      </w:r>
      <w:r w:rsidRPr="00637BBC">
        <w:t xml:space="preserve"> is at or above the upper threshold through to 1 when </w:t>
      </w:r>
      <w:r w:rsidRPr="00637BBC">
        <w:rPr>
          <w:i/>
        </w:rPr>
        <w:t>MAproportion</w:t>
      </w:r>
      <w:r w:rsidRPr="00637BBC">
        <w:t xml:space="preserve"> is at or below the lower threshold</w:t>
      </w:r>
      <w:r w:rsidR="00963B73">
        <w:t xml:space="preserve"> (</w:t>
      </w:r>
      <w:r w:rsidR="00963B73">
        <w:fldChar w:fldCharType="begin"/>
      </w:r>
      <w:r w:rsidR="00963B73">
        <w:instrText xml:space="preserve"> REF _Ref491159722 \h </w:instrText>
      </w:r>
      <w:r w:rsidR="00963B73">
        <w:fldChar w:fldCharType="separate"/>
      </w:r>
      <w:r w:rsidR="00D806F2">
        <w:t xml:space="preserve">Figure </w:t>
      </w:r>
      <w:r w:rsidR="00D806F2">
        <w:rPr>
          <w:noProof/>
        </w:rPr>
        <w:t>4</w:t>
      </w:r>
      <w:r w:rsidR="00963B73">
        <w:fldChar w:fldCharType="end"/>
      </w:r>
      <w:r w:rsidR="00963B73">
        <w:t>)</w:t>
      </w:r>
      <w:r w:rsidRPr="00637BBC">
        <w:t>.</w:t>
      </w:r>
      <w:r w:rsidR="004B5EED" w:rsidRPr="004B5EED">
        <w:t xml:space="preserve"> </w:t>
      </w:r>
    </w:p>
    <w:p w14:paraId="11EA8F72" w14:textId="77777777" w:rsidR="006554A0" w:rsidRDefault="006554A0" w:rsidP="006554A0">
      <w:pPr>
        <w:keepNext/>
      </w:pPr>
      <w:bookmarkStart w:id="108" w:name="_Toc437423862"/>
      <w:bookmarkStart w:id="109" w:name="_Toc437424041"/>
      <w:bookmarkStart w:id="110" w:name="_Toc437424313"/>
      <w:bookmarkStart w:id="111" w:name="_Toc437597649"/>
      <w:bookmarkStart w:id="112" w:name="_Toc437599322"/>
      <w:r w:rsidRPr="0056633D">
        <w:rPr>
          <w:noProof/>
          <w:color w:val="000000"/>
          <w:lang w:val="en-AU" w:eastAsia="en-AU"/>
        </w:rPr>
        <w:drawing>
          <wp:inline distT="0" distB="0" distL="0" distR="0" wp14:anchorId="11EAB257" wp14:editId="5D63C821">
            <wp:extent cx="3600450" cy="2876550"/>
            <wp:effectExtent l="0" t="0" r="0" b="0"/>
            <wp:docPr id="240" name="Picture 240" descr="Diagram that describes the scoring and categorisation of the Macroalgae metric" title="Figure 4 Scoring diagram for Macroalgae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600450" cy="2876550"/>
                    </a:xfrm>
                    <a:prstGeom prst="rect">
                      <a:avLst/>
                    </a:prstGeom>
                    <a:noFill/>
                    <a:ln>
                      <a:noFill/>
                    </a:ln>
                  </pic:spPr>
                </pic:pic>
              </a:graphicData>
            </a:graphic>
          </wp:inline>
        </w:drawing>
      </w:r>
    </w:p>
    <w:p w14:paraId="11EA8F73" w14:textId="7359C157" w:rsidR="006554A0" w:rsidRPr="0056633D" w:rsidRDefault="00963B73" w:rsidP="00963B73">
      <w:pPr>
        <w:pStyle w:val="Caption"/>
        <w:rPr>
          <w:vanish/>
        </w:rPr>
      </w:pPr>
      <w:bookmarkStart w:id="113" w:name="_Ref491159722"/>
      <w:bookmarkStart w:id="114" w:name="_Toc491846830"/>
      <w:r>
        <w:t xml:space="preserve">Figure </w:t>
      </w:r>
      <w:r>
        <w:fldChar w:fldCharType="begin"/>
      </w:r>
      <w:r>
        <w:instrText xml:space="preserve"> SEQ Figure \* ARABIC </w:instrText>
      </w:r>
      <w:r>
        <w:fldChar w:fldCharType="separate"/>
      </w:r>
      <w:r w:rsidR="00D806F2">
        <w:rPr>
          <w:noProof/>
        </w:rPr>
        <w:t>4</w:t>
      </w:r>
      <w:r>
        <w:fldChar w:fldCharType="end"/>
      </w:r>
      <w:bookmarkEnd w:id="113"/>
      <w:r>
        <w:t xml:space="preserve"> </w:t>
      </w:r>
      <w:r w:rsidRPr="005B5730">
        <w:t>Scoring diagram for the M</w:t>
      </w:r>
      <w:r>
        <w:t>acroalgae metric</w:t>
      </w:r>
      <w:r w:rsidR="006554A0" w:rsidRPr="0056633D">
        <w:t>.</w:t>
      </w:r>
      <w:bookmarkEnd w:id="108"/>
      <w:bookmarkEnd w:id="109"/>
      <w:bookmarkEnd w:id="110"/>
      <w:bookmarkEnd w:id="111"/>
      <w:bookmarkEnd w:id="112"/>
      <w:bookmarkEnd w:id="114"/>
      <w:r w:rsidR="00E75F5C">
        <w:t xml:space="preserve"> </w:t>
      </w:r>
    </w:p>
    <w:p w14:paraId="11EA8F74" w14:textId="77777777" w:rsidR="006554A0" w:rsidRPr="0056633D" w:rsidRDefault="006554A0" w:rsidP="006554A0">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232"/>
        <w:rPr>
          <w:rFonts w:ascii="Arial Narrow" w:eastAsia="SimSun" w:hAnsi="Arial Narrow"/>
          <w:bCs/>
          <w:color w:val="000000" w:themeColor="text1"/>
          <w:sz w:val="20"/>
        </w:rPr>
      </w:pPr>
      <w:r w:rsidRPr="0056633D">
        <w:rPr>
          <w:rFonts w:ascii="Arial Narrow" w:eastAsia="SimSun" w:hAnsi="Arial Narrow"/>
          <w:bCs/>
          <w:color w:val="000000" w:themeColor="text1"/>
          <w:sz w:val="20"/>
        </w:rPr>
        <w:t>Upper and lower threshold values are reef and depth specific. Numeric scores and associated condition classifications are presented</w:t>
      </w:r>
    </w:p>
    <w:p w14:paraId="11EA8F77" w14:textId="49A2604E" w:rsidR="00637BBC" w:rsidRPr="00637BBC" w:rsidRDefault="00637BBC" w:rsidP="00B9528B">
      <w:pPr>
        <w:pStyle w:val="Heading3"/>
      </w:pPr>
      <w:bookmarkStart w:id="115" w:name="_Toc493153317"/>
      <w:r w:rsidRPr="00637BBC">
        <w:t>4.</w:t>
      </w:r>
      <w:r w:rsidR="000E09B7">
        <w:t>7</w:t>
      </w:r>
      <w:r w:rsidRPr="00637BBC">
        <w:t>.3 Density of juvenile hard corals metric</w:t>
      </w:r>
      <w:bookmarkEnd w:id="115"/>
    </w:p>
    <w:p w14:paraId="11EA8F78" w14:textId="4F85913A" w:rsidR="00637BBC" w:rsidRPr="00637BBC" w:rsidRDefault="00637BBC" w:rsidP="00637BBC">
      <w:r w:rsidRPr="00637BBC">
        <w:t xml:space="preserve">For coral communities to recover rapidly from disturbance events requires adequate recruitment of new corals into the population. This </w:t>
      </w:r>
      <w:r w:rsidR="002C5ECA">
        <w:t xml:space="preserve">metric </w:t>
      </w:r>
      <w:r w:rsidRPr="00637BBC">
        <w:t>scores the important recruitment process by targeting corals that have survived the early life stages. With the inclusion of LTMP data into the coral index</w:t>
      </w:r>
      <w:r w:rsidR="00130251">
        <w:t>,</w:t>
      </w:r>
      <w:r w:rsidRPr="00637BBC">
        <w:t xml:space="preserve"> juvenile count data were subset to only include colonies up to </w:t>
      </w:r>
      <w:r w:rsidR="00AA72A3">
        <w:t>5 cm</w:t>
      </w:r>
      <w:r w:rsidRPr="00637BBC">
        <w:t xml:space="preserve"> in diameter as this size class </w:t>
      </w:r>
      <w:r w:rsidR="002C5ECA">
        <w:t>i</w:t>
      </w:r>
      <w:r w:rsidRPr="00637BBC">
        <w:t>s common to both MMP and LTMP sampling. Counts of juvenile hard corals were converted to density per m</w:t>
      </w:r>
      <w:r w:rsidRPr="00637BBC">
        <w:rPr>
          <w:vertAlign w:val="superscript"/>
        </w:rPr>
        <w:t>2</w:t>
      </w:r>
      <w:r w:rsidRPr="00637BBC">
        <w:t xml:space="preserve"> of space available to settlement as;</w:t>
      </w:r>
    </w:p>
    <w:p w14:paraId="11EA8F79" w14:textId="77777777" w:rsidR="00637BBC" w:rsidRPr="00637BBC" w:rsidRDefault="00EF4C08" w:rsidP="00637BBC">
      <m:oMath>
        <m:sSub>
          <m:sSubPr>
            <m:ctrlPr>
              <w:rPr>
                <w:rFonts w:ascii="Cambria Math" w:hAnsi="Cambria Math"/>
                <w:i/>
              </w:rPr>
            </m:ctrlPr>
          </m:sSubPr>
          <m:e>
            <m:r>
              <w:rPr>
                <w:rFonts w:ascii="Cambria Math" w:hAnsi="Cambria Math"/>
              </w:rPr>
              <m:t>Juvenile density</m:t>
            </m:r>
          </m:e>
          <m:sub>
            <m:r>
              <w:rPr>
                <w:rFonts w:ascii="Cambria Math" w:hAnsi="Cambria Math"/>
              </w:rPr>
              <m:t>ij</m:t>
            </m:r>
          </m:sub>
        </m:sSub>
      </m:oMath>
      <w:r w:rsidR="00637BBC" w:rsidRPr="00637BBC">
        <w:t xml:space="preserve"> = </w:t>
      </w:r>
      <m:oMath>
        <m:sSub>
          <m:sSubPr>
            <m:ctrlPr>
              <w:rPr>
                <w:rFonts w:ascii="Cambria Math" w:hAnsi="Cambria Math"/>
                <w:i/>
              </w:rPr>
            </m:ctrlPr>
          </m:sSubPr>
          <m:e>
            <m:r>
              <w:rPr>
                <w:rFonts w:ascii="Cambria Math" w:hAnsi="Cambria Math"/>
              </w:rPr>
              <m:t>J</m:t>
            </m:r>
          </m:e>
          <m:sub>
            <m:r>
              <w:rPr>
                <w:rFonts w:ascii="Cambria Math" w:hAnsi="Cambria Math"/>
              </w:rPr>
              <m:t>ij</m:t>
            </m:r>
          </m:sub>
        </m:sSub>
      </m:oMath>
      <w:r w:rsidR="00637BBC" w:rsidRPr="00637BBC">
        <w:t xml:space="preserve"> / </w:t>
      </w:r>
      <m:oMath>
        <m:sSub>
          <m:sSubPr>
            <m:ctrlPr>
              <w:rPr>
                <w:rFonts w:ascii="Cambria Math" w:hAnsi="Cambria Math"/>
                <w:i/>
              </w:rPr>
            </m:ctrlPr>
          </m:sSubPr>
          <m:e>
            <m:r>
              <w:rPr>
                <w:rFonts w:ascii="Cambria Math" w:hAnsi="Cambria Math"/>
              </w:rPr>
              <m:t>AS</m:t>
            </m:r>
          </m:e>
          <m:sub>
            <m:r>
              <w:rPr>
                <w:rFonts w:ascii="Cambria Math" w:hAnsi="Cambria Math"/>
              </w:rPr>
              <m:t>ij</m:t>
            </m:r>
          </m:sub>
        </m:sSub>
      </m:oMath>
    </w:p>
    <w:p w14:paraId="11EA8F7A" w14:textId="522134B0" w:rsidR="00637BBC" w:rsidRPr="00637BBC" w:rsidRDefault="00637BBC" w:rsidP="00637BBC">
      <w:r w:rsidRPr="00637BBC">
        <w:t xml:space="preserve">Where, </w:t>
      </w:r>
      <m:oMath>
        <m:r>
          <w:rPr>
            <w:rFonts w:ascii="Cambria Math" w:hAnsi="Cambria Math"/>
          </w:rPr>
          <m:t>J</m:t>
        </m:r>
      </m:oMath>
      <w:r w:rsidRPr="00637BBC">
        <w:t xml:space="preserve">= count of juvenile colonies &lt; </w:t>
      </w:r>
      <w:r w:rsidR="00AA72A3">
        <w:t>5 cm</w:t>
      </w:r>
      <w:r w:rsidRPr="00637BBC">
        <w:t xml:space="preserve"> in diameter, </w:t>
      </w:r>
      <m:oMath>
        <m:r>
          <w:rPr>
            <w:rFonts w:ascii="Cambria Math" w:hAnsi="Cambria Math"/>
          </w:rPr>
          <m:t>i</m:t>
        </m:r>
      </m:oMath>
      <w:r w:rsidRPr="00637BBC">
        <w:t xml:space="preserve"> = reef, </w:t>
      </w:r>
      <m:oMath>
        <m:r>
          <w:rPr>
            <w:rFonts w:ascii="Cambria Math" w:hAnsi="Cambria Math"/>
          </w:rPr>
          <m:t>j</m:t>
        </m:r>
      </m:oMath>
      <w:r w:rsidRPr="00637BBC">
        <w:t xml:space="preserve"> = time and </w:t>
      </w:r>
      <m:oMath>
        <m:r>
          <w:rPr>
            <w:rFonts w:ascii="Cambria Math" w:hAnsi="Cambria Math"/>
          </w:rPr>
          <m:t>AS</m:t>
        </m:r>
      </m:oMath>
      <w:r w:rsidRPr="00637BBC">
        <w:t xml:space="preserve"> = area of transect occupied by algae</w:t>
      </w:r>
      <w:r w:rsidR="002C5ECA">
        <w:t xml:space="preserve"> as estimated from the co-located photo point intercept transects</w:t>
      </w:r>
      <w:r w:rsidRPr="00637BBC">
        <w:t>.</w:t>
      </w:r>
    </w:p>
    <w:p w14:paraId="11EA8F7B" w14:textId="4DC4E02A" w:rsidR="004B5EED" w:rsidRPr="004B5EED" w:rsidRDefault="00AE71E4" w:rsidP="004B5EED">
      <w:pPr>
        <w:rPr>
          <w:noProof/>
          <w:lang w:eastAsia="en-AU"/>
        </w:rPr>
      </w:pPr>
      <w:r>
        <w:t>Selection of thresholds for the scoring of this metric was based on the analysis of recovery outcomes for MMP and LTMP reefs up to 2014</w:t>
      </w:r>
      <w:r w:rsidR="00190FE6">
        <w:t xml:space="preserve"> (Thompson </w:t>
      </w:r>
      <w:r w:rsidR="00190FE6" w:rsidRPr="00713F82">
        <w:rPr>
          <w:i/>
        </w:rPr>
        <w:t>et al</w:t>
      </w:r>
      <w:r w:rsidR="00190FE6">
        <w:t>. 2016)</w:t>
      </w:r>
      <w:r>
        <w:t xml:space="preserve">. From these time series </w:t>
      </w:r>
      <w:r w:rsidR="00CA1397">
        <w:t>a</w:t>
      </w:r>
      <w:r>
        <w:t xml:space="preserve"> binomial model was fit</w:t>
      </w:r>
      <w:r w:rsidR="00460389">
        <w:t>ted</w:t>
      </w:r>
      <w:r>
        <w:t xml:space="preserve"> to juvenile densities </w:t>
      </w:r>
      <w:r w:rsidR="00CA1397">
        <w:t>observed at ti</w:t>
      </w:r>
      <w:r w:rsidR="002C5ECA">
        <w:t xml:space="preserve">mes when coral cover was below 10% and </w:t>
      </w:r>
      <w:r>
        <w:t xml:space="preserve">categorised on the basis of recovery rate as </w:t>
      </w:r>
      <w:r w:rsidR="00E36441">
        <w:t xml:space="preserve">being </w:t>
      </w:r>
      <w:r>
        <w:t>either below or above the predicted lower estimate of hard coral cover increase</w:t>
      </w:r>
      <w:r w:rsidR="00E36441">
        <w:t xml:space="preserve"> </w:t>
      </w:r>
      <w:r w:rsidR="002C5ECA">
        <w:t>as estimated by the C</w:t>
      </w:r>
      <w:r>
        <w:t>o</w:t>
      </w:r>
      <w:r w:rsidR="002C5ECA">
        <w:t>ver C</w:t>
      </w:r>
      <w:r>
        <w:t xml:space="preserve">hange indicator described </w:t>
      </w:r>
      <w:r w:rsidR="00190FE6">
        <w:t>below</w:t>
      </w:r>
      <w:r>
        <w:t>. This analysis identified a threshold of 4.6 juveniles per m</w:t>
      </w:r>
      <w:r>
        <w:rPr>
          <w:vertAlign w:val="superscript"/>
        </w:rPr>
        <w:t>-2</w:t>
      </w:r>
      <w:r>
        <w:t xml:space="preserve"> beyond which the probability that coral cover would subsequently increase at predicted rates outweighed the probability of lower than predicted rates of recover</w:t>
      </w:r>
      <w:r w:rsidR="00190FE6">
        <w:t>y</w:t>
      </w:r>
      <w:r>
        <w:t>. Adding some wei</w:t>
      </w:r>
      <w:r w:rsidR="00190FE6">
        <w:t>ght to this result is that it wa</w:t>
      </w:r>
      <w:r w:rsidR="00E36441">
        <w:t>s</w:t>
      </w:r>
      <w:r>
        <w:t xml:space="preserve"> broadly </w:t>
      </w:r>
      <w:r w:rsidR="00E36441">
        <w:t>consistent with the density of 6.3 juveniles per m</w:t>
      </w:r>
      <w:r w:rsidR="00E36441">
        <w:rPr>
          <w:vertAlign w:val="superscript"/>
        </w:rPr>
        <w:t xml:space="preserve">-2 </w:t>
      </w:r>
      <w:r w:rsidR="00E36441">
        <w:t xml:space="preserve">in the </w:t>
      </w:r>
      <w:r w:rsidR="002C5ECA">
        <w:t xml:space="preserve">wider </w:t>
      </w:r>
      <w:r w:rsidR="00E36441">
        <w:t>size range &lt;1</w:t>
      </w:r>
      <w:r w:rsidR="00AA72A3">
        <w:t>0 cm</w:t>
      </w:r>
      <w:r w:rsidR="00E36441">
        <w:t>, necessary for recovery in the Seychelles (</w:t>
      </w:r>
      <w:r>
        <w:t xml:space="preserve">Graham </w:t>
      </w:r>
      <w:r>
        <w:rPr>
          <w:i/>
        </w:rPr>
        <w:t>et al.</w:t>
      </w:r>
      <w:r w:rsidR="00E36441">
        <w:t xml:space="preserve"> </w:t>
      </w:r>
      <w:r>
        <w:t>2015)</w:t>
      </w:r>
      <w:r w:rsidR="00E36441">
        <w:t>.</w:t>
      </w:r>
      <w:r>
        <w:t xml:space="preserve"> </w:t>
      </w:r>
      <w:r w:rsidRPr="002F15D9">
        <w:t>As</w:t>
      </w:r>
      <w:r>
        <w:t xml:space="preserve"> the upper density of juvenile colonies is effectively unbounded, it </w:t>
      </w:r>
      <w:r w:rsidR="00E36441">
        <w:t>was</w:t>
      </w:r>
      <w:r>
        <w:t xml:space="preserve"> desirable to set an upper threshold for scoring purposes. The density at which the probability was &gt; 80% for coral cover to recover at predicted rates was 13 juveniles per m</w:t>
      </w:r>
      <w:r>
        <w:rPr>
          <w:vertAlign w:val="superscript"/>
        </w:rPr>
        <w:t>-2</w:t>
      </w:r>
      <w:r>
        <w:t xml:space="preserve"> and this density was chosen as the upper threshold.</w:t>
      </w:r>
      <w:r w:rsidR="00E75F5C">
        <w:t xml:space="preserve"> </w:t>
      </w:r>
      <w:r w:rsidR="00190FE6">
        <w:t>Based on this analysis</w:t>
      </w:r>
      <w:r w:rsidR="002C5ECA">
        <w:t>,</w:t>
      </w:r>
      <w:r w:rsidR="00190FE6">
        <w:t xml:space="preserve"> this metric was scored as follows; juvenile </w:t>
      </w:r>
      <w:r w:rsidR="00637BBC" w:rsidRPr="00637BBC">
        <w:t xml:space="preserve">density was scaled linearly from 0 at a density of </w:t>
      </w:r>
      <w:r w:rsidR="00190FE6">
        <w:t>0</w:t>
      </w:r>
      <w:r w:rsidR="00637BBC" w:rsidRPr="00637BBC">
        <w:t xml:space="preserve"> through to 0.4 at a density of 4.</w:t>
      </w:r>
      <w:r w:rsidR="005D3598">
        <w:t>6</w:t>
      </w:r>
      <w:r w:rsidR="00637BBC" w:rsidRPr="00637BBC">
        <w:t xml:space="preserve"> colonies m</w:t>
      </w:r>
      <w:r w:rsidR="00637BBC" w:rsidRPr="00637BBC">
        <w:rPr>
          <w:vertAlign w:val="superscript"/>
        </w:rPr>
        <w:t>-2</w:t>
      </w:r>
      <w:r w:rsidR="00637BBC" w:rsidRPr="00637BBC">
        <w:t xml:space="preserve"> then linearly though to a score of 1 when the density was 13 colonies per m</w:t>
      </w:r>
      <w:r w:rsidR="00637BBC" w:rsidRPr="00637BBC">
        <w:rPr>
          <w:vertAlign w:val="superscript"/>
        </w:rPr>
        <w:t>-2</w:t>
      </w:r>
      <w:r w:rsidR="00637BBC" w:rsidRPr="00637BBC">
        <w:t xml:space="preserve"> or above</w:t>
      </w:r>
      <w:r w:rsidR="00963B73">
        <w:t xml:space="preserve"> (</w:t>
      </w:r>
      <w:r w:rsidR="00963B73">
        <w:fldChar w:fldCharType="begin"/>
      </w:r>
      <w:r w:rsidR="00963B73">
        <w:instrText xml:space="preserve"> REF _Ref491159829 \h </w:instrText>
      </w:r>
      <w:r w:rsidR="00963B73">
        <w:fldChar w:fldCharType="separate"/>
      </w:r>
      <w:r w:rsidR="00D806F2">
        <w:t xml:space="preserve">Figure </w:t>
      </w:r>
      <w:r w:rsidR="00D806F2">
        <w:rPr>
          <w:noProof/>
        </w:rPr>
        <w:t>5</w:t>
      </w:r>
      <w:r w:rsidR="00963B73">
        <w:fldChar w:fldCharType="end"/>
      </w:r>
      <w:r w:rsidR="00963B73">
        <w:t>)</w:t>
      </w:r>
      <w:r w:rsidR="00637BBC" w:rsidRPr="00637BBC">
        <w:t>.</w:t>
      </w:r>
      <w:r w:rsidR="00E75F5C">
        <w:t xml:space="preserve"> </w:t>
      </w:r>
    </w:p>
    <w:p w14:paraId="11EA8F7C" w14:textId="77777777" w:rsidR="004B5EED" w:rsidRPr="004B5EED" w:rsidRDefault="004B5EED" w:rsidP="004B5EED">
      <w:pPr>
        <w:spacing w:after="0"/>
        <w:jc w:val="left"/>
      </w:pPr>
      <w:r w:rsidRPr="004B5EED">
        <w:rPr>
          <w:noProof/>
          <w:lang w:val="en-AU" w:eastAsia="en-AU"/>
        </w:rPr>
        <w:drawing>
          <wp:inline distT="0" distB="0" distL="0" distR="0" wp14:anchorId="11EAB259" wp14:editId="6D5573F6">
            <wp:extent cx="3596640" cy="2880360"/>
            <wp:effectExtent l="0" t="0" r="3810" b="0"/>
            <wp:docPr id="239" name="Picture 239" descr="Diagram that describes the scoring and categorisation of the Juvenile Metric" title="Figure 5 Scoring diagram for Juvenile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596640" cy="2880360"/>
                    </a:xfrm>
                    <a:prstGeom prst="rect">
                      <a:avLst/>
                    </a:prstGeom>
                    <a:noFill/>
                    <a:ln>
                      <a:noFill/>
                    </a:ln>
                  </pic:spPr>
                </pic:pic>
              </a:graphicData>
            </a:graphic>
          </wp:inline>
        </w:drawing>
      </w:r>
    </w:p>
    <w:p w14:paraId="11EA8F7D" w14:textId="73A91C34" w:rsidR="004B5EED" w:rsidRPr="004B5EED" w:rsidRDefault="00963B73" w:rsidP="00963B73">
      <w:pPr>
        <w:pStyle w:val="Caption"/>
        <w:rPr>
          <w:bCs/>
          <w:color w:val="000000" w:themeColor="text1"/>
        </w:rPr>
      </w:pPr>
      <w:bookmarkStart w:id="116" w:name="_Ref491159829"/>
      <w:bookmarkStart w:id="117" w:name="_Toc491846831"/>
      <w:r>
        <w:t xml:space="preserve">Figure </w:t>
      </w:r>
      <w:r>
        <w:fldChar w:fldCharType="begin"/>
      </w:r>
      <w:r>
        <w:instrText xml:space="preserve"> SEQ Figure \* ARABIC </w:instrText>
      </w:r>
      <w:r>
        <w:fldChar w:fldCharType="separate"/>
      </w:r>
      <w:r w:rsidR="00D806F2">
        <w:rPr>
          <w:noProof/>
        </w:rPr>
        <w:t>5</w:t>
      </w:r>
      <w:r>
        <w:fldChar w:fldCharType="end"/>
      </w:r>
      <w:bookmarkEnd w:id="116"/>
      <w:r>
        <w:t xml:space="preserve"> Scoring diagram for the Juvenile metric</w:t>
      </w:r>
      <w:r w:rsidR="004B5EED" w:rsidRPr="004B5EED">
        <w:t>.</w:t>
      </w:r>
      <w:r w:rsidR="004B5EED" w:rsidRPr="004B5EED">
        <w:rPr>
          <w:bCs/>
          <w:color w:val="000000" w:themeColor="text1"/>
        </w:rPr>
        <w:t xml:space="preserve"> Numeric scores and associated condition classifications are presented.</w:t>
      </w:r>
      <w:bookmarkEnd w:id="117"/>
    </w:p>
    <w:p w14:paraId="11EA8F7F" w14:textId="7946EA7D" w:rsidR="00637BBC" w:rsidRPr="00B32D09" w:rsidRDefault="00637BBC" w:rsidP="00B9528B">
      <w:pPr>
        <w:pStyle w:val="Heading3"/>
      </w:pPr>
      <w:bookmarkStart w:id="118" w:name="_Toc493153318"/>
      <w:r w:rsidRPr="00F109C3">
        <w:rPr>
          <w:color w:val="000000" w:themeColor="text1"/>
        </w:rPr>
        <w:t>4.</w:t>
      </w:r>
      <w:r w:rsidR="000E09B7">
        <w:rPr>
          <w:color w:val="000000" w:themeColor="text1"/>
        </w:rPr>
        <w:t>7</w:t>
      </w:r>
      <w:r w:rsidRPr="00F109C3">
        <w:rPr>
          <w:color w:val="000000" w:themeColor="text1"/>
        </w:rPr>
        <w:t xml:space="preserve">.4 </w:t>
      </w:r>
      <w:r w:rsidR="00F872DF">
        <w:t>C</w:t>
      </w:r>
      <w:r w:rsidRPr="00B32D09">
        <w:t xml:space="preserve">over </w:t>
      </w:r>
      <w:r w:rsidR="00296011">
        <w:t>C</w:t>
      </w:r>
      <w:r w:rsidR="00F872DF">
        <w:t xml:space="preserve">hange </w:t>
      </w:r>
      <w:r w:rsidRPr="00B32D09">
        <w:t>metric</w:t>
      </w:r>
      <w:bookmarkEnd w:id="118"/>
    </w:p>
    <w:p w14:paraId="11EA8F80" w14:textId="4ECB5D92" w:rsidR="005C6813" w:rsidRDefault="00637BBC" w:rsidP="005C6813">
      <w:pPr>
        <w:autoSpaceDE w:val="0"/>
        <w:autoSpaceDN w:val="0"/>
        <w:adjustRightInd w:val="0"/>
      </w:pPr>
      <w:r w:rsidRPr="00B32D09">
        <w:t xml:space="preserve">A second avenue for recovery of coral communities is the growth of corals during periods free from acute disturbance. Chronic pressures associated with water quality may suppress the rate that coral cover increases and </w:t>
      </w:r>
      <w:r w:rsidR="00460389">
        <w:t>contribute to</w:t>
      </w:r>
      <w:r w:rsidR="00460389" w:rsidRPr="00B32D09">
        <w:t xml:space="preserve"> </w:t>
      </w:r>
      <w:r w:rsidRPr="00B32D09">
        <w:t xml:space="preserve">a lack of resilience. The change in coral cover indicator score is derived from the comparison of the observed change in coral cover between two visits and </w:t>
      </w:r>
      <w:r w:rsidR="00E36441">
        <w:t>the</w:t>
      </w:r>
      <w:r w:rsidR="00966C86">
        <w:t xml:space="preserve"> change in cover predicted by Gompertz growth equations parameterised from time-series of coral cover available on inshore reefs up until 2007</w:t>
      </w:r>
      <w:r w:rsidR="007C392B">
        <w:t>. Gompertz equations</w:t>
      </w:r>
      <w:r w:rsidRPr="00B32D09">
        <w:t xml:space="preserve"> were </w:t>
      </w:r>
      <w:r w:rsidR="007C392B">
        <w:t>parameterised</w:t>
      </w:r>
      <w:r w:rsidRPr="00B32D09">
        <w:t xml:space="preserve"> separately for the fast growing corals of the family Acroporidae and the slower growing combined grouping of all other hard corals</w:t>
      </w:r>
      <w:r w:rsidR="007C392B">
        <w:t xml:space="preserve"> at each of </w:t>
      </w:r>
      <w:r w:rsidR="005C6813">
        <w:t>2</w:t>
      </w:r>
      <w:r w:rsidR="007C392B">
        <w:t xml:space="preserve"> </w:t>
      </w:r>
      <w:r w:rsidR="005C6813">
        <w:t>m and 5</w:t>
      </w:r>
      <w:r w:rsidR="007C392B">
        <w:t xml:space="preserve"> </w:t>
      </w:r>
      <w:r w:rsidR="005C6813">
        <w:t>m depths. Years in which disturbance events occurred at particular reefs</w:t>
      </w:r>
      <w:r w:rsidR="007C392B">
        <w:t xml:space="preserve"> preclude</w:t>
      </w:r>
      <w:r w:rsidR="00E36441">
        <w:t xml:space="preserve"> the estimation of this indicator as there is no expectation for increase in such situations.</w:t>
      </w:r>
      <w:r w:rsidR="005C6813">
        <w:t xml:space="preserve"> </w:t>
      </w:r>
      <w:r w:rsidR="005C6813">
        <w:rPr>
          <w:rFonts w:cs="LMSansQuot8-Regular"/>
        </w:rPr>
        <w:t xml:space="preserve">A Bayesian framework was used to permit propagation of uncertainty through the predictions of expected coral cover increase </w:t>
      </w:r>
      <w:r w:rsidR="00763920">
        <w:rPr>
          <w:rFonts w:cs="LMSansQuot8-Regular"/>
        </w:rPr>
        <w:t>from</w:t>
      </w:r>
      <w:r w:rsidR="005C6813">
        <w:rPr>
          <w:rFonts w:cs="LMSansQuot8-Regular"/>
        </w:rPr>
        <w:t xml:space="preserve"> the two separately predicted coral types. </w:t>
      </w:r>
    </w:p>
    <w:p w14:paraId="11EA8F81" w14:textId="77777777" w:rsidR="005C6813" w:rsidRDefault="005C6813" w:rsidP="005C6813">
      <w:pPr>
        <w:autoSpaceDE w:val="0"/>
        <w:autoSpaceDN w:val="0"/>
        <w:adjustRightInd w:val="0"/>
      </w:pPr>
    </w:p>
    <w:p w14:paraId="11EA8F82" w14:textId="77777777" w:rsidR="005C6813" w:rsidRDefault="005C6813" w:rsidP="005C6813">
      <w:pPr>
        <w:autoSpaceDE w:val="0"/>
        <w:autoSpaceDN w:val="0"/>
        <w:adjustRightInd w:val="0"/>
        <w:rPr>
          <w:rFonts w:eastAsiaTheme="minorEastAsia"/>
        </w:rPr>
      </w:pPr>
      <w:r>
        <w:tab/>
      </w:r>
      <m:oMath>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sSub>
                  <m:sSubPr>
                    <m:ctrlPr>
                      <w:rPr>
                        <w:rFonts w:ascii="Cambria Math" w:hAnsi="Cambria Math"/>
                        <w:i/>
                      </w:rPr>
                    </m:ctrlPr>
                  </m:sSubPr>
                  <m:e>
                    <m:r>
                      <w:rPr>
                        <w:rFonts w:ascii="Cambria Math" w:hAnsi="Cambria Math"/>
                      </w:rPr>
                      <m:t>Acr</m:t>
                    </m:r>
                  </m:e>
                  <m:sub>
                    <m:r>
                      <w:rPr>
                        <w:rFonts w:ascii="Cambria Math" w:hAnsi="Cambria Math"/>
                      </w:rPr>
                      <m:t>it</m:t>
                    </m:r>
                  </m:sub>
                </m:sSub>
              </m:e>
            </m:d>
          </m:e>
        </m:func>
        <m:r>
          <m:rPr>
            <m:scr m:val="script"/>
          </m:rPr>
          <w:rPr>
            <w:rFonts w:ascii="Cambria Math" w:hAnsi="Cambria Math"/>
          </w:rPr>
          <m:t xml:space="preserve"> ~ N(</m:t>
        </m:r>
        <m:sSub>
          <m:sSubPr>
            <m:ctrlPr>
              <w:rPr>
                <w:rFonts w:ascii="Cambria Math" w:hAnsi="Cambria Math"/>
                <w:i/>
              </w:rPr>
            </m:ctrlPr>
          </m:sSubPr>
          <m:e>
            <m:r>
              <w:rPr>
                <w:rFonts w:ascii="Cambria Math" w:hAnsi="Cambria Math"/>
              </w:rPr>
              <m:t>μ</m:t>
            </m:r>
          </m:e>
          <m:sub>
            <m:r>
              <w:rPr>
                <w:rFonts w:ascii="Cambria Math" w:hAnsi="Cambria Math"/>
              </w:rPr>
              <m:t>it</m:t>
            </m:r>
          </m:sub>
        </m:sSub>
        <m:r>
          <w:rPr>
            <w:rFonts w:ascii="Cambria Math" w:hAnsi="Cambria Math"/>
          </w:rPr>
          <m:t>,</m:t>
        </m:r>
        <m:sSup>
          <m:sSupPr>
            <m:ctrlPr>
              <w:rPr>
                <w:rFonts w:ascii="Cambria Math" w:hAnsi="Cambria Math"/>
                <w:i/>
              </w:rPr>
            </m:ctrlPr>
          </m:sSupPr>
          <m:e>
            <m:r>
              <w:rPr>
                <w:rFonts w:ascii="Cambria Math" w:hAnsi="Cambria Math"/>
              </w:rPr>
              <m:t>σ</m:t>
            </m:r>
          </m:e>
          <m:sup>
            <m:r>
              <w:rPr>
                <w:rFonts w:ascii="Cambria Math" w:hAnsi="Cambria Math"/>
              </w:rPr>
              <m:t>2</m:t>
            </m:r>
          </m:sup>
        </m:sSup>
        <m:r>
          <w:rPr>
            <w:rFonts w:ascii="Cambria Math" w:hAnsi="Cambria Math"/>
          </w:rPr>
          <m:t>)</m:t>
        </m:r>
      </m:oMath>
    </w:p>
    <w:p w14:paraId="11EA8F83" w14:textId="2B7A6817" w:rsidR="005C6813" w:rsidRDefault="005C6813" w:rsidP="005C6813">
      <w:pPr>
        <w:autoSpaceDE w:val="0"/>
        <w:autoSpaceDN w:val="0"/>
        <w:adjustRightInd w:val="0"/>
        <w:rPr>
          <w:rFonts w:eastAsiaTheme="minorEastAsia"/>
        </w:rPr>
      </w:pPr>
      <w:r>
        <w:rPr>
          <w:rFonts w:eastAsiaTheme="minorEastAsia"/>
        </w:rPr>
        <w:tab/>
      </w:r>
      <w:r w:rsidR="00E75F5C">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hAnsi="Cambria Math"/>
              </w:rPr>
              <m:t>it</m:t>
            </m:r>
          </m:sub>
        </m:sSub>
        <m:r>
          <w:rPr>
            <w:rFonts w:ascii="Cambria Math" w:eastAsiaTheme="minorEastAsia" w:hAnsi="Cambria Math"/>
          </w:rPr>
          <m:t>=v</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r>
          <w:rPr>
            <w:rFonts w:ascii="Cambria Math" w:eastAsiaTheme="minorEastAsia" w:hAnsi="Cambria Math"/>
          </w:rPr>
          <m:t>+</m:t>
        </m:r>
        <m:func>
          <m:funcPr>
            <m:ctrlPr>
              <w:rPr>
                <w:rFonts w:ascii="Cambria Math" w:eastAsiaTheme="minorEastAsia" w:hAnsi="Cambria Math"/>
                <w:i/>
              </w:rPr>
            </m:ctrlPr>
          </m:funcPr>
          <m:fName>
            <m:r>
              <m:rPr>
                <m:sty m:val="p"/>
              </m:rPr>
              <w:rPr>
                <w:rFonts w:ascii="Cambria Math" w:eastAsiaTheme="minorEastAsia" w:hAnsi="Cambria Math"/>
              </w:rPr>
              <m:t>ln</m:t>
            </m:r>
          </m:fName>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it-1</m:t>
                    </m:r>
                  </m:sub>
                </m:sSub>
              </m:e>
            </m:d>
          </m:e>
        </m:func>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v</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num>
              <m:den>
                <m:func>
                  <m:funcPr>
                    <m:ctrlPr>
                      <w:rPr>
                        <w:rFonts w:ascii="Cambria Math" w:eastAsiaTheme="minorEastAsia" w:hAnsi="Cambria Math"/>
                      </w:rPr>
                    </m:ctrlPr>
                  </m:funcPr>
                  <m:fName>
                    <m:r>
                      <m:rPr>
                        <m:sty m:val="p"/>
                      </m:rPr>
                      <w:rPr>
                        <w:rFonts w:ascii="Cambria Math" w:eastAsiaTheme="minorEastAsia" w:hAnsi="Cambria Math"/>
                      </w:rPr>
                      <m:t>ln</m:t>
                    </m:r>
                    <m:ctrlPr>
                      <w:rPr>
                        <w:rFonts w:ascii="Cambria Math" w:eastAsiaTheme="minorEastAsia" w:hAnsi="Cambria Math"/>
                        <w:i/>
                      </w:rPr>
                    </m:ctrlPr>
                  </m:fName>
                  <m:e>
                    <m:d>
                      <m:dPr>
                        <m:ctrlPr>
                          <w:rPr>
                            <w:rFonts w:ascii="Cambria Math" w:eastAsiaTheme="minorEastAsia" w:hAnsi="Cambria Math"/>
                            <w:i/>
                          </w:rPr>
                        </m:ctrlPr>
                      </m:dPr>
                      <m:e>
                        <m:r>
                          <w:rPr>
                            <w:rFonts w:ascii="Cambria Math" w:eastAsiaTheme="minorEastAsia" w:hAnsi="Cambria Math"/>
                          </w:rPr>
                          <m:t>est</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i</m:t>
                            </m:r>
                          </m:sub>
                        </m:sSub>
                      </m:e>
                    </m:d>
                  </m:e>
                </m:func>
              </m:den>
            </m:f>
          </m:e>
        </m:d>
        <m:r>
          <w:rPr>
            <w:rFonts w:ascii="Cambria Math" w:eastAsiaTheme="minorEastAsia" w:hAnsi="Cambria Math"/>
          </w:rPr>
          <m:t>*</m:t>
        </m:r>
        <m:r>
          <m:rPr>
            <m:sty m:val="p"/>
          </m:rPr>
          <w:rPr>
            <w:rFonts w:ascii="Cambria Math" w:eastAsiaTheme="minorEastAsia" w:hAnsi="Cambria Math"/>
          </w:rPr>
          <m:t>ln⁡</m:t>
        </m:r>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it-1</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OthC</m:t>
            </m:r>
          </m:e>
          <m:sub>
            <m:r>
              <w:rPr>
                <w:rFonts w:ascii="Cambria Math" w:eastAsiaTheme="minorEastAsia" w:hAnsi="Cambria Math"/>
              </w:rPr>
              <m:t>it-1</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Sc</m:t>
            </m:r>
          </m:e>
          <m:sub>
            <m:r>
              <w:rPr>
                <w:rFonts w:ascii="Cambria Math" w:eastAsiaTheme="minorEastAsia" w:hAnsi="Cambria Math"/>
              </w:rPr>
              <m:t>it-1</m:t>
            </m:r>
          </m:sub>
        </m:sSub>
        <m:r>
          <w:rPr>
            <w:rFonts w:ascii="Cambria Math" w:eastAsiaTheme="minorEastAsia" w:hAnsi="Cambria Math"/>
          </w:rPr>
          <m:t>)</m:t>
        </m:r>
      </m:oMath>
    </w:p>
    <w:p w14:paraId="11EA8F84" w14:textId="21F2A09D" w:rsidR="005C6813" w:rsidRDefault="005C6813" w:rsidP="005C6813">
      <w:pPr>
        <w:autoSpaceDE w:val="0"/>
        <w:autoSpaceDN w:val="0"/>
        <w:adjustRightInd w:val="0"/>
        <w:rPr>
          <w:rFonts w:eastAsiaTheme="minorEastAsia"/>
        </w:rPr>
      </w:pPr>
      <w:r>
        <w:rPr>
          <w:rFonts w:eastAsiaTheme="minorEastAsia"/>
        </w:rPr>
        <w:tab/>
      </w:r>
      <w:r w:rsidR="00E75F5C">
        <w:rPr>
          <w:rFonts w:eastAsiaTheme="minorEastAsia"/>
        </w:rPr>
        <w:t xml:space="preserve">   </w:t>
      </w:r>
      <w:r>
        <w:rPr>
          <w:rFonts w:eastAsiaTheme="minorEastAsia"/>
        </w:rPr>
        <w:t xml:space="preserve"> </w:t>
      </w:r>
      <m:oMath>
        <m:r>
          <w:rPr>
            <w:rFonts w:ascii="Cambria Math" w:eastAsiaTheme="minorEastAsia" w:hAnsi="Cambria Math"/>
          </w:rPr>
          <m:t>v</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r>
          <w:rPr>
            <w:rFonts w:ascii="Cambria Math" w:eastAsiaTheme="minorEastAsia" w:hAnsi="Cambria Math"/>
          </w:rPr>
          <m:t xml:space="preserve">= α+ </m:t>
        </m:r>
        <m:nary>
          <m:naryPr>
            <m:chr m:val="∑"/>
            <m:limLoc m:val="undOvr"/>
            <m:ctrlPr>
              <w:rPr>
                <w:rFonts w:ascii="Cambria Math" w:eastAsiaTheme="minorEastAsia" w:hAnsi="Cambria Math"/>
                <w:i/>
              </w:rPr>
            </m:ctrlPr>
          </m:naryPr>
          <m:sub>
            <m:r>
              <w:rPr>
                <w:rFonts w:ascii="Cambria Math" w:eastAsiaTheme="minorEastAsia" w:hAnsi="Cambria Math"/>
              </w:rPr>
              <m:t>j=0</m:t>
            </m:r>
          </m:sub>
          <m:sup>
            <m:r>
              <w:rPr>
                <w:rFonts w:ascii="Cambria Math" w:eastAsiaTheme="minorEastAsia" w:hAnsi="Cambria Math"/>
              </w:rPr>
              <m:t>J</m:t>
            </m:r>
          </m:sup>
          <m:e>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j</m:t>
                </m:r>
              </m:sub>
            </m:sSub>
            <m:sSub>
              <m:sSubPr>
                <m:ctrlPr>
                  <w:rPr>
                    <w:rFonts w:ascii="Cambria Math" w:eastAsiaTheme="minorEastAsia" w:hAnsi="Cambria Math"/>
                    <w:i/>
                  </w:rPr>
                </m:ctrlPr>
              </m:sSubPr>
              <m:e>
                <m:r>
                  <w:rPr>
                    <w:rFonts w:ascii="Cambria Math" w:eastAsiaTheme="minorEastAsia" w:hAnsi="Cambria Math"/>
                  </w:rPr>
                  <m:t>Region</m:t>
                </m:r>
              </m:e>
              <m:sub>
                <m:r>
                  <w:rPr>
                    <w:rFonts w:ascii="Cambria Math" w:eastAsiaTheme="minorEastAsia" w:hAnsi="Cambria Math"/>
                  </w:rPr>
                  <m:t>i</m:t>
                </m:r>
              </m:sub>
            </m:sSub>
          </m:e>
        </m:nary>
        <m:nary>
          <m:naryPr>
            <m:chr m:val="∑"/>
            <m:limLoc m:val="undOvr"/>
            <m:ctrlPr>
              <w:rPr>
                <w:rFonts w:ascii="Cambria Math" w:eastAsiaTheme="minorEastAsia" w:hAnsi="Cambria Math"/>
                <w:i/>
              </w:rPr>
            </m:ctrlPr>
          </m:naryPr>
          <m:sub>
            <m:r>
              <w:rPr>
                <w:rFonts w:ascii="Cambria Math" w:eastAsiaTheme="minorEastAsia" w:hAnsi="Cambria Math"/>
              </w:rPr>
              <m:t>k=0</m:t>
            </m:r>
          </m:sub>
          <m:sup>
            <m:r>
              <w:rPr>
                <w:rFonts w:ascii="Cambria Math" w:eastAsiaTheme="minorEastAsia" w:hAnsi="Cambria Math"/>
              </w:rPr>
              <m:t>K</m:t>
            </m:r>
          </m:sup>
          <m:e>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k</m:t>
                </m:r>
              </m:sub>
            </m:sSub>
            <m:sSub>
              <m:sSubPr>
                <m:ctrlPr>
                  <w:rPr>
                    <w:rFonts w:ascii="Cambria Math" w:eastAsiaTheme="minorEastAsia" w:hAnsi="Cambria Math"/>
                    <w:i/>
                  </w:rPr>
                </m:ctrlPr>
              </m:sSubPr>
              <m:e>
                <m:r>
                  <w:rPr>
                    <w:rFonts w:ascii="Cambria Math" w:eastAsiaTheme="minorEastAsia" w:hAnsi="Cambria Math"/>
                  </w:rPr>
                  <m:t>Reef</m:t>
                </m:r>
              </m:e>
              <m:sub>
                <m:r>
                  <w:rPr>
                    <w:rFonts w:ascii="Cambria Math" w:eastAsiaTheme="minorEastAsia" w:hAnsi="Cambria Math"/>
                  </w:rPr>
                  <m:t>i</m:t>
                </m:r>
              </m:sub>
            </m:sSub>
          </m:e>
        </m:nary>
      </m:oMath>
    </w:p>
    <w:p w14:paraId="11EA8F85" w14:textId="77777777" w:rsidR="005C6813" w:rsidRDefault="005C6813" w:rsidP="005C6813">
      <w:pPr>
        <w:autoSpaceDE w:val="0"/>
        <w:autoSpaceDN w:val="0"/>
        <w:adjustRightInd w:val="0"/>
        <w:rPr>
          <w:rFonts w:eastAsiaTheme="minorEastAsia"/>
        </w:rPr>
      </w:pPr>
      <w:r>
        <w:rPr>
          <w:rFonts w:eastAsiaTheme="minorEastAsia"/>
        </w:rPr>
        <w:tab/>
      </w:r>
      <w:r>
        <w:rPr>
          <w:rFonts w:eastAsiaTheme="minorEastAsia"/>
        </w:rPr>
        <w:tab/>
      </w:r>
      <m:oMath>
        <m:r>
          <w:rPr>
            <w:rFonts w:ascii="Cambria Math" w:eastAsiaTheme="minorEastAsia" w:hAnsi="Cambria Math"/>
          </w:rPr>
          <m:t xml:space="preserve">α ~ </m:t>
        </m:r>
        <m:r>
          <m:rPr>
            <m:scr m:val="script"/>
          </m:rPr>
          <w:rPr>
            <w:rFonts w:ascii="Cambria Math" w:eastAsiaTheme="minorEastAsia" w:hAnsi="Cambria Math"/>
          </w:rPr>
          <m:t>N</m:t>
        </m:r>
        <m:r>
          <w:rPr>
            <w:rFonts w:ascii="Cambria Math" w:eastAsiaTheme="minorEastAsia" w:hAnsi="Cambria Math"/>
          </w:rPr>
          <m:t>(0,</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6</m:t>
            </m:r>
          </m:sup>
        </m:sSup>
        <m:r>
          <w:rPr>
            <w:rFonts w:ascii="Cambria Math" w:eastAsiaTheme="minorEastAsia" w:hAnsi="Cambria Math"/>
          </w:rPr>
          <m:t>)</m:t>
        </m:r>
      </m:oMath>
    </w:p>
    <w:p w14:paraId="11EA8F86" w14:textId="54323F67" w:rsidR="005C6813" w:rsidRDefault="005C6813" w:rsidP="005C6813">
      <w:pPr>
        <w:autoSpaceDE w:val="0"/>
        <w:autoSpaceDN w:val="0"/>
        <w:adjustRightInd w:val="0"/>
        <w:rPr>
          <w:rFonts w:eastAsiaTheme="minorEastAsia"/>
        </w:rPr>
      </w:pPr>
      <w:r>
        <w:rPr>
          <w:rFonts w:eastAsiaTheme="minorEastAsia"/>
        </w:rPr>
        <w:tab/>
      </w:r>
      <w:r w:rsidR="00E75F5C">
        <w:rPr>
          <w:rFonts w:eastAsiaTheme="minorEastAsia"/>
        </w:rPr>
        <w:t xml:space="preserve">      </w:t>
      </w:r>
      <w:r>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j</m:t>
            </m:r>
          </m:sub>
        </m:sSub>
        <m:r>
          <m:rPr>
            <m:scr m:val="script"/>
          </m:rPr>
          <w:rPr>
            <w:rFonts w:ascii="Cambria Math" w:eastAsiaTheme="minorEastAsia" w:hAnsi="Cambria Math"/>
          </w:rPr>
          <m:t xml:space="preserve"> ~ N</m:t>
        </m:r>
        <m:r>
          <w:rPr>
            <w:rFonts w:ascii="Cambria Math" w:eastAsiaTheme="minorEastAsia" w:hAnsi="Cambria Math"/>
          </w:rPr>
          <m:t xml:space="preserve">(0, </m:t>
        </m:r>
        <m:sSubSup>
          <m:sSubSupPr>
            <m:ctrlPr>
              <w:rPr>
                <w:rFonts w:ascii="Cambria Math" w:eastAsiaTheme="minorEastAsia" w:hAnsi="Cambria Math"/>
                <w:i/>
              </w:rPr>
            </m:ctrlPr>
          </m:sSubSupPr>
          <m:e>
            <m:r>
              <w:rPr>
                <w:rFonts w:ascii="Cambria Math" w:eastAsiaTheme="minorEastAsia" w:hAnsi="Cambria Math"/>
              </w:rPr>
              <m:t>σ</m:t>
            </m:r>
          </m:e>
          <m:sub>
            <m:r>
              <w:rPr>
                <w:rFonts w:ascii="Cambria Math" w:eastAsiaTheme="minorEastAsia" w:hAnsi="Cambria Math"/>
              </w:rPr>
              <m:t>Region</m:t>
            </m:r>
          </m:sub>
          <m:sup>
            <m:r>
              <w:rPr>
                <w:rFonts w:ascii="Cambria Math" w:eastAsiaTheme="minorEastAsia" w:hAnsi="Cambria Math"/>
              </w:rPr>
              <m:t>2</m:t>
            </m:r>
          </m:sup>
        </m:sSubSup>
        <m:r>
          <w:rPr>
            <w:rFonts w:ascii="Cambria Math" w:eastAsiaTheme="minorEastAsia" w:hAnsi="Cambria Math"/>
          </w:rPr>
          <m:t>)</m:t>
        </m:r>
      </m:oMath>
    </w:p>
    <w:p w14:paraId="11EA8F87" w14:textId="020DCCF3" w:rsidR="005C6813" w:rsidRDefault="005C6813" w:rsidP="005C6813">
      <w:pPr>
        <w:autoSpaceDE w:val="0"/>
        <w:autoSpaceDN w:val="0"/>
        <w:adjustRightInd w:val="0"/>
      </w:pPr>
      <w:r>
        <w:rPr>
          <w:rFonts w:eastAsiaTheme="minorEastAsia"/>
        </w:rPr>
        <w:tab/>
      </w:r>
      <w:r w:rsidR="00E75F5C">
        <w:rPr>
          <w:rFonts w:eastAsiaTheme="minorEastAsia"/>
        </w:rPr>
        <w:t xml:space="preserve">      </w:t>
      </w:r>
      <w:r>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k</m:t>
            </m:r>
          </m:sub>
        </m:sSub>
        <m:r>
          <m:rPr>
            <m:scr m:val="script"/>
          </m:rPr>
          <w:rPr>
            <w:rFonts w:ascii="Cambria Math" w:eastAsiaTheme="minorEastAsia" w:hAnsi="Cambria Math"/>
          </w:rPr>
          <m:t xml:space="preserve"> ~ N</m:t>
        </m:r>
        <m:r>
          <w:rPr>
            <w:rFonts w:ascii="Cambria Math" w:eastAsiaTheme="minorEastAsia" w:hAnsi="Cambria Math"/>
          </w:rPr>
          <m:t xml:space="preserve">(0, </m:t>
        </m:r>
        <m:sSubSup>
          <m:sSubSupPr>
            <m:ctrlPr>
              <w:rPr>
                <w:rFonts w:ascii="Cambria Math" w:eastAsiaTheme="minorEastAsia" w:hAnsi="Cambria Math"/>
                <w:i/>
              </w:rPr>
            </m:ctrlPr>
          </m:sSubSupPr>
          <m:e>
            <m:r>
              <w:rPr>
                <w:rFonts w:ascii="Cambria Math" w:eastAsiaTheme="minorEastAsia" w:hAnsi="Cambria Math"/>
              </w:rPr>
              <m:t>σ</m:t>
            </m:r>
          </m:e>
          <m:sub>
            <m:r>
              <w:rPr>
                <w:rFonts w:ascii="Cambria Math" w:eastAsiaTheme="minorEastAsia" w:hAnsi="Cambria Math"/>
              </w:rPr>
              <m:t>Reef</m:t>
            </m:r>
          </m:sub>
          <m:sup>
            <m:r>
              <w:rPr>
                <w:rFonts w:ascii="Cambria Math" w:eastAsiaTheme="minorEastAsia" w:hAnsi="Cambria Math"/>
              </w:rPr>
              <m:t>2</m:t>
            </m:r>
          </m:sup>
        </m:sSubSup>
        <m:r>
          <w:rPr>
            <w:rFonts w:ascii="Cambria Math" w:eastAsiaTheme="minorEastAsia" w:hAnsi="Cambria Math"/>
          </w:rPr>
          <m:t>)</m:t>
        </m:r>
      </m:oMath>
      <w:r>
        <w:rPr>
          <w:rFonts w:eastAsiaTheme="minorEastAsia"/>
        </w:rPr>
        <w:t xml:space="preserve"> </w:t>
      </w:r>
    </w:p>
    <w:p w14:paraId="11EA8F88" w14:textId="77777777" w:rsidR="005C6813" w:rsidRDefault="00EF4C08" w:rsidP="005C6813">
      <w:pPr>
        <w:autoSpaceDE w:val="0"/>
        <w:autoSpaceDN w:val="0"/>
        <w:adjustRightInd w:val="0"/>
        <w:rPr>
          <w:rFonts w:eastAsiaTheme="minorEastAsia"/>
        </w:rPr>
      </w:pPr>
      <m:oMathPara>
        <m:oMathParaPr>
          <m:jc m:val="left"/>
        </m:oMathParaPr>
        <m:oMath>
          <m:sSup>
            <m:sSupPr>
              <m:ctrlPr>
                <w:rPr>
                  <w:rFonts w:ascii="Cambria Math" w:hAnsi="Cambria Math"/>
                  <w:i/>
                </w:rPr>
              </m:ctrlPr>
            </m:sSupPr>
            <m:e>
              <m:r>
                <w:rPr>
                  <w:rFonts w:ascii="Cambria Math" w:hAnsi="Cambria Math"/>
                </w:rPr>
                <m:t>σ</m:t>
              </m:r>
            </m:e>
            <m:sup>
              <m:r>
                <w:rPr>
                  <w:rFonts w:ascii="Cambria Math" w:hAnsi="Cambria Math"/>
                </w:rPr>
                <m:t>2</m:t>
              </m:r>
            </m:sup>
          </m:sSup>
          <m:r>
            <w:rPr>
              <w:rFonts w:ascii="Cambria Math" w:hAnsi="Cambria Math"/>
            </w:rPr>
            <m:t>,</m:t>
          </m:r>
          <m:sSubSup>
            <m:sSubSupPr>
              <m:ctrlPr>
                <w:rPr>
                  <w:rFonts w:ascii="Cambria Math" w:hAnsi="Cambria Math"/>
                  <w:i/>
                </w:rPr>
              </m:ctrlPr>
            </m:sSubSupPr>
            <m:e>
              <m:r>
                <w:rPr>
                  <w:rFonts w:ascii="Cambria Math" w:hAnsi="Cambria Math"/>
                </w:rPr>
                <m:t>σ</m:t>
              </m:r>
            </m:e>
            <m:sub>
              <m:r>
                <w:rPr>
                  <w:rFonts w:ascii="Cambria Math" w:hAnsi="Cambria Math"/>
                </w:rPr>
                <m:t>Region</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σ</m:t>
              </m:r>
            </m:e>
            <m:sub>
              <m:r>
                <w:rPr>
                  <w:rFonts w:ascii="Cambria Math" w:hAnsi="Cambria Math"/>
                </w:rPr>
                <m:t>Reef</m:t>
              </m:r>
            </m:sub>
            <m:sup>
              <m:r>
                <w:rPr>
                  <w:rFonts w:ascii="Cambria Math" w:hAnsi="Cambria Math"/>
                </w:rPr>
                <m:t>2</m:t>
              </m:r>
            </m:sup>
          </m:sSubSup>
          <m:r>
            <m:rPr>
              <m:scr m:val="script"/>
            </m:rPr>
            <w:rPr>
              <w:rFonts w:ascii="Cambria Math" w:hAnsi="Cambria Math"/>
            </w:rPr>
            <m:t>= U</m:t>
          </m:r>
          <m:r>
            <w:rPr>
              <w:rFonts w:ascii="Cambria Math" w:hAnsi="Cambria Math"/>
            </w:rPr>
            <m:t>(0,100)</m:t>
          </m:r>
        </m:oMath>
      </m:oMathPara>
    </w:p>
    <w:p w14:paraId="11EA8F89" w14:textId="44D89076" w:rsidR="005C6813" w:rsidRDefault="005C6813" w:rsidP="005C6813">
      <w:pPr>
        <w:autoSpaceDE w:val="0"/>
        <w:autoSpaceDN w:val="0"/>
        <w:adjustRightInd w:val="0"/>
        <w:rPr>
          <w:rFonts w:eastAsiaTheme="minorEastAsia"/>
        </w:rPr>
      </w:pPr>
      <w:r>
        <w:rPr>
          <w:rFonts w:eastAsiaTheme="minorEastAsia"/>
        </w:rPr>
        <w:tab/>
      </w:r>
      <w:r w:rsidR="00E75F5C">
        <w:rPr>
          <w:rFonts w:eastAsiaTheme="minorEastAsia"/>
        </w:rPr>
        <w:t xml:space="preserve">    </w:t>
      </w:r>
      <w:r>
        <w:rPr>
          <w:rFonts w:eastAsiaTheme="minorEastAsia"/>
        </w:rPr>
        <w:t xml:space="preserve"> </w:t>
      </w:r>
      <m:oMath>
        <m:r>
          <w:rPr>
            <w:rFonts w:ascii="Cambria Math" w:eastAsiaTheme="minorEastAsia" w:hAnsi="Cambria Math"/>
          </w:rPr>
          <m:t>rAcr=v</m:t>
        </m:r>
        <m:sSub>
          <m:sSubPr>
            <m:ctrlPr>
              <w:rPr>
                <w:rFonts w:ascii="Cambria Math" w:eastAsiaTheme="minorEastAsia" w:hAnsi="Cambria Math"/>
                <w:i/>
              </w:rPr>
            </m:ctrlPr>
          </m:sSubPr>
          <m:e>
            <m:bar>
              <m:barPr>
                <m:pos m:val="top"/>
                <m:ctrlPr>
                  <w:rPr>
                    <w:rFonts w:ascii="Cambria Math" w:eastAsiaTheme="minorEastAsia" w:hAnsi="Cambria Math"/>
                    <w:i/>
                  </w:rPr>
                </m:ctrlPr>
              </m:barPr>
              <m:e>
                <m:r>
                  <w:rPr>
                    <w:rFonts w:ascii="Cambria Math" w:hAnsi="Cambria Math"/>
                  </w:rPr>
                  <m:t>A</m:t>
                </m:r>
              </m:e>
            </m:bar>
            <m:r>
              <w:rPr>
                <w:rFonts w:ascii="Cambria Math" w:eastAsiaTheme="minorEastAsia" w:hAnsi="Cambria Math"/>
              </w:rPr>
              <m:t>cr</m:t>
            </m:r>
          </m:e>
          <m:sub>
            <m:r>
              <w:rPr>
                <w:rFonts w:ascii="Cambria Math" w:eastAsiaTheme="minorEastAsia" w:hAnsi="Cambria Math"/>
              </w:rPr>
              <m:t>i</m:t>
            </m:r>
          </m:sub>
        </m:sSub>
      </m:oMath>
    </w:p>
    <w:p w14:paraId="11EA8F8A" w14:textId="77777777" w:rsidR="005C6813" w:rsidRDefault="005C6813" w:rsidP="005C6813">
      <w:pPr>
        <w:autoSpaceDE w:val="0"/>
        <w:autoSpaceDN w:val="0"/>
        <w:adjustRightInd w:val="0"/>
        <w:rPr>
          <w:rFonts w:eastAsiaTheme="minorEastAsia"/>
        </w:rPr>
      </w:pPr>
    </w:p>
    <w:p w14:paraId="11EA8F8B" w14:textId="60942939" w:rsidR="005C6813" w:rsidRDefault="005C6813" w:rsidP="005C6813">
      <w:pPr>
        <w:autoSpaceDE w:val="0"/>
        <w:autoSpaceDN w:val="0"/>
        <w:adjustRightInd w:val="0"/>
        <w:rPr>
          <w:rFonts w:eastAsiaTheme="minorEastAsia"/>
        </w:rPr>
      </w:pPr>
      <w:r>
        <w:rPr>
          <w:rFonts w:eastAsiaTheme="minorEastAsia"/>
        </w:rPr>
        <w:t xml:space="preserve">Where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OthC</m:t>
            </m:r>
          </m:e>
          <m:sub>
            <m:r>
              <w:rPr>
                <w:rFonts w:ascii="Cambria Math" w:eastAsiaTheme="minorEastAsia" w:hAnsi="Cambria Math"/>
              </w:rPr>
              <m:t>it</m:t>
            </m:r>
          </m:sub>
        </m:sSub>
      </m:oMath>
      <w:r>
        <w:rPr>
          <w:rFonts w:eastAsiaTheme="minorEastAsia"/>
        </w:rPr>
        <w:t xml:space="preserve"> and </w:t>
      </w:r>
      <m:oMath>
        <m:sSub>
          <m:sSubPr>
            <m:ctrlPr>
              <w:rPr>
                <w:rFonts w:ascii="Cambria Math" w:eastAsiaTheme="minorEastAsia" w:hAnsi="Cambria Math"/>
                <w:i/>
              </w:rPr>
            </m:ctrlPr>
          </m:sSubPr>
          <m:e>
            <m:r>
              <w:rPr>
                <w:rFonts w:ascii="Cambria Math" w:eastAsiaTheme="minorEastAsia" w:hAnsi="Cambria Math"/>
              </w:rPr>
              <m:t>Sc</m:t>
            </m:r>
          </m:e>
          <m:sub>
            <m:r>
              <w:rPr>
                <w:rFonts w:ascii="Cambria Math" w:eastAsiaTheme="minorEastAsia" w:hAnsi="Cambria Math"/>
              </w:rPr>
              <m:t>it</m:t>
            </m:r>
          </m:sub>
        </m:sSub>
      </m:oMath>
      <w:r>
        <w:rPr>
          <w:rFonts w:eastAsiaTheme="minorEastAsia"/>
        </w:rPr>
        <w:t xml:space="preserve"> are the cover of Acroporidae coral, other hard coral and soft coral respectively at a given reef at time (</w:t>
      </w:r>
      <m:oMath>
        <m:r>
          <w:rPr>
            <w:rFonts w:ascii="Cambria Math" w:eastAsiaTheme="minorEastAsia" w:hAnsi="Cambria Math"/>
          </w:rPr>
          <m:t>t</m:t>
        </m:r>
      </m:oMath>
      <w:r>
        <w:rPr>
          <w:rFonts w:eastAsiaTheme="minorEastAsia"/>
        </w:rPr>
        <w:t>)</w:t>
      </w:r>
      <w:r>
        <w:rPr>
          <w:rFonts w:eastAsiaTheme="minorEastAsia"/>
          <w:i/>
        </w:rPr>
        <w:t xml:space="preserve">. </w:t>
      </w:r>
      <m:oMath>
        <m:r>
          <w:rPr>
            <w:rFonts w:ascii="Cambria Math" w:eastAsiaTheme="minorEastAsia" w:hAnsi="Cambria Math"/>
          </w:rPr>
          <m:t>eskK</m:t>
        </m:r>
      </m:oMath>
      <w:r>
        <w:rPr>
          <w:rFonts w:eastAsiaTheme="minorEastAsia"/>
          <w:i/>
        </w:rPr>
        <w:t xml:space="preserve"> </w:t>
      </w:r>
      <w:r>
        <w:rPr>
          <w:rFonts w:eastAsiaTheme="minorEastAsia"/>
        </w:rPr>
        <w:t xml:space="preserve">is the community size at equilibrium (100) and </w:t>
      </w:r>
      <m:oMath>
        <m:r>
          <w:rPr>
            <w:rFonts w:ascii="Cambria Math" w:eastAsiaTheme="minorEastAsia" w:hAnsi="Cambria Math"/>
          </w:rPr>
          <m:t>rAcr</m:t>
        </m:r>
      </m:oMath>
      <w:r>
        <w:rPr>
          <w:rFonts w:eastAsiaTheme="minorEastAsia"/>
        </w:rPr>
        <w:t xml:space="preserve"> is the rate of increase (growth rate) in percent cover of Acroporidae coral. Varying effects of Region and Reef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j</m:t>
            </m:r>
          </m:sub>
        </m:sSub>
      </m:oMath>
      <w:r>
        <w:rPr>
          <w:rFonts w:eastAsiaTheme="minorEastAsia"/>
        </w:rPr>
        <w:t xml:space="preserve"> and </w:t>
      </w:r>
      <m:oMath>
        <m:sSub>
          <m:sSubPr>
            <m:ctrlPr>
              <w:rPr>
                <w:rFonts w:ascii="Cambria Math" w:eastAsiaTheme="minorEastAsia" w:hAnsi="Cambria Math"/>
                <w:i/>
              </w:rPr>
            </m:ctrlPr>
          </m:sSubPr>
          <m:e>
            <m:r>
              <w:rPr>
                <w:rFonts w:ascii="Cambria Math" w:eastAsiaTheme="minorEastAsia" w:hAnsi="Cambria Math"/>
              </w:rPr>
              <m:t>Υ</m:t>
            </m:r>
          </m:e>
          <m:sub>
            <m:r>
              <w:rPr>
                <w:rFonts w:ascii="Cambria Math" w:eastAsiaTheme="minorEastAsia" w:hAnsi="Cambria Math"/>
              </w:rPr>
              <m:t>k</m:t>
            </m:r>
          </m:sub>
        </m:sSub>
      </m:oMath>
      <w:r>
        <w:rPr>
          <w:rFonts w:eastAsiaTheme="minorEastAsia"/>
        </w:rPr>
        <w:t xml:space="preserve"> respectively) were also incorporated to account for spatial autocorrelation. Model coefficients associated with the intercept, Region and Reef (</w:t>
      </w:r>
      <m:oMath>
        <m:sSub>
          <m:sSubPr>
            <m:ctrlPr>
              <w:rPr>
                <w:rFonts w:ascii="Cambria Math" w:eastAsiaTheme="minorEastAsia" w:hAnsi="Cambria Math"/>
                <w:i/>
              </w:rPr>
            </m:ctrlPr>
          </m:sSubPr>
          <m:e>
            <m:r>
              <w:rPr>
                <w:rFonts w:ascii="Cambria Math" w:eastAsiaTheme="minorEastAsia" w:hAnsi="Cambria Math"/>
              </w:rPr>
              <m:t>α</m:t>
            </m:r>
          </m:e>
          <m:sub>
            <m:r>
              <w:rPr>
                <w:rFonts w:ascii="Cambria Math" w:eastAsiaTheme="minorEastAsia" w:hAnsi="Cambria Math"/>
              </w:rPr>
              <m:t>i</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j</m:t>
            </m:r>
          </m:sub>
        </m:sSub>
      </m:oMath>
      <w:r>
        <w:rPr>
          <w:rFonts w:eastAsiaTheme="minorEastAsia"/>
        </w:rPr>
        <w:t xml:space="preserve"> and </w:t>
      </w:r>
      <m:oMath>
        <m:sSub>
          <m:sSubPr>
            <m:ctrlPr>
              <w:rPr>
                <w:rFonts w:ascii="Cambria Math" w:eastAsiaTheme="minorEastAsia" w:hAnsi="Cambria Math"/>
                <w:i/>
              </w:rPr>
            </m:ctrlPr>
          </m:sSubPr>
          <m:e>
            <m:r>
              <w:rPr>
                <w:rFonts w:ascii="Cambria Math" w:eastAsiaTheme="minorEastAsia" w:hAnsi="Cambria Math"/>
              </w:rPr>
              <m:t>Υ</m:t>
            </m:r>
          </m:e>
          <m:sub>
            <m:r>
              <w:rPr>
                <w:rFonts w:ascii="Cambria Math" w:eastAsiaTheme="minorEastAsia" w:hAnsi="Cambria Math"/>
              </w:rPr>
              <m:t>k</m:t>
            </m:r>
          </m:sub>
        </m:sSub>
      </m:oMath>
      <w:r>
        <w:rPr>
          <w:rFonts w:eastAsiaTheme="minorEastAsia"/>
        </w:rPr>
        <w:t>) all had we</w:t>
      </w:r>
      <w:r w:rsidR="00763920">
        <w:rPr>
          <w:rFonts w:eastAsiaTheme="minorEastAsia"/>
        </w:rPr>
        <w:t>a</w:t>
      </w:r>
      <w:r>
        <w:rPr>
          <w:rFonts w:eastAsiaTheme="minorEastAsia"/>
        </w:rPr>
        <w:t xml:space="preserve">kly informative </w:t>
      </w:r>
      <w:r w:rsidR="00B32D09">
        <w:rPr>
          <w:rFonts w:eastAsiaTheme="minorEastAsia"/>
        </w:rPr>
        <w:t>Gaussian</w:t>
      </w:r>
      <w:r>
        <w:rPr>
          <w:rFonts w:eastAsiaTheme="minorEastAsia"/>
        </w:rPr>
        <w:t xml:space="preserve"> priors, the latter two with model standard deviation). The overall rate of coral </w:t>
      </w:r>
      <w:r w:rsidR="007C392B">
        <w:rPr>
          <w:rFonts w:eastAsiaTheme="minorEastAsia"/>
        </w:rPr>
        <w:t>growth</w:t>
      </w:r>
      <m:oMath>
        <m:r>
          <w:rPr>
            <w:rFonts w:ascii="Cambria Math" w:eastAsiaTheme="minorEastAsia" w:hAnsi="Cambria Math"/>
          </w:rPr>
          <m:t xml:space="preserve"> rAcr</m:t>
        </m:r>
      </m:oMath>
      <w:r w:rsidR="00DA2FBB">
        <w:rPr>
          <w:rFonts w:eastAsiaTheme="minorEastAsia"/>
        </w:rPr>
        <w:t>,</w:t>
      </w:r>
      <w:r>
        <w:rPr>
          <w:rFonts w:eastAsiaTheme="minorEastAsia"/>
        </w:rPr>
        <w:t xml:space="preserve"> constituted the mean of the individual posterior rates of increase</w:t>
      </w:r>
      <w:r w:rsidR="00DA2FBB">
        <w:rPr>
          <w:rFonts w:eastAsiaTheme="minorEastAsia"/>
        </w:rPr>
        <w:t xml:space="preserve"> </w:t>
      </w:r>
      <w:r w:rsidR="007C392B">
        <w:rPr>
          <w:rFonts w:eastAsiaTheme="minorEastAsia"/>
        </w:rPr>
        <w:t>f</w:t>
      </w:r>
      <w:r w:rsidR="00DA2FBB">
        <w:rPr>
          <w:rFonts w:eastAsiaTheme="minorEastAsia"/>
        </w:rPr>
        <w:t xml:space="preserve">or </w:t>
      </w:r>
      <m:oMath>
        <m:sSub>
          <m:sSubPr>
            <m:ctrlPr>
              <w:rPr>
                <w:rFonts w:ascii="Cambria Math" w:eastAsiaTheme="minorEastAsia" w:hAnsi="Cambria Math"/>
                <w:i/>
              </w:rPr>
            </m:ctrlPr>
          </m:sSubPr>
          <m:e>
            <m:r>
              <w:rPr>
                <w:rFonts w:ascii="Cambria Math" w:eastAsiaTheme="minorEastAsia" w:hAnsi="Cambria Math"/>
              </w:rPr>
              <m:t>vAcr</m:t>
            </m:r>
          </m:e>
          <m:sub>
            <m:r>
              <w:rPr>
                <w:rFonts w:ascii="Cambria Math" w:eastAsiaTheme="minorEastAsia" w:hAnsi="Cambria Math"/>
              </w:rPr>
              <m:t>i</m:t>
            </m:r>
          </m:sub>
        </m:sSub>
      </m:oMath>
      <w:r w:rsidR="00AC172E">
        <w:rPr>
          <w:rFonts w:eastAsiaTheme="minorEastAsia"/>
        </w:rPr>
        <w:t xml:space="preserve"> </w:t>
      </w:r>
      <w:r>
        <w:rPr>
          <w:rFonts w:eastAsiaTheme="minorEastAsia"/>
        </w:rPr>
        <w:t>.</w:t>
      </w:r>
    </w:p>
    <w:p w14:paraId="1857CB5E" w14:textId="4C1C51A3" w:rsidR="00966C86" w:rsidRDefault="00966C86" w:rsidP="005C6813">
      <w:pPr>
        <w:autoSpaceDE w:val="0"/>
        <w:autoSpaceDN w:val="0"/>
        <w:adjustRightInd w:val="0"/>
        <w:rPr>
          <w:rFonts w:eastAsiaTheme="minorEastAsia"/>
        </w:rPr>
      </w:pPr>
      <w:r>
        <w:rPr>
          <w:rFonts w:eastAsiaTheme="minorEastAsia"/>
        </w:rPr>
        <w:t xml:space="preserve">As model predictions relate to annual changes </w:t>
      </w:r>
      <w:r w:rsidR="00AC172E">
        <w:rPr>
          <w:rFonts w:eastAsiaTheme="minorEastAsia"/>
        </w:rPr>
        <w:t>in coral cover, observed cover wa</w:t>
      </w:r>
      <w:r>
        <w:rPr>
          <w:rFonts w:eastAsiaTheme="minorEastAsia"/>
        </w:rPr>
        <w:t xml:space="preserve">s adjusted to an </w:t>
      </w:r>
      <w:r w:rsidR="00AC172E">
        <w:rPr>
          <w:rFonts w:eastAsiaTheme="minorEastAsia"/>
        </w:rPr>
        <w:t xml:space="preserve">estimated </w:t>
      </w:r>
      <w:r w:rsidR="009A4B6F">
        <w:rPr>
          <w:rFonts w:eastAsiaTheme="minorEastAsia"/>
        </w:rPr>
        <w:t>annual</w:t>
      </w:r>
      <w:r>
        <w:rPr>
          <w:rFonts w:eastAsiaTheme="minorEastAsia"/>
        </w:rPr>
        <w:t xml:space="preserve"> change since the previous observation </w:t>
      </w:r>
      <w:r w:rsidR="009A4B6F">
        <w:rPr>
          <w:rFonts w:eastAsiaTheme="minorEastAsia"/>
        </w:rPr>
        <w:t>(</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adj</m:t>
            </m:r>
          </m:sub>
        </m:sSub>
      </m:oMath>
      <w:r w:rsidR="009A4B6F">
        <w:rPr>
          <w:rFonts w:eastAsiaTheme="minorEastAsia"/>
        </w:rPr>
        <w:t xml:space="preserve">) </w:t>
      </w:r>
      <w:r>
        <w:rPr>
          <w:rFonts w:eastAsiaTheme="minorEastAsia"/>
        </w:rPr>
        <w:t>prior to comparison to modelled estimates</w:t>
      </w:r>
      <w:r w:rsidR="009A4B6F">
        <w:rPr>
          <w:rFonts w:eastAsiaTheme="minorEastAsia"/>
        </w:rPr>
        <w:t xml:space="preserve">. </w:t>
      </w:r>
      <w:r w:rsidR="007C392B">
        <w:rPr>
          <w:rFonts w:eastAsiaTheme="minorEastAsia"/>
        </w:rPr>
        <w:t>A</w:t>
      </w:r>
      <w:r w:rsidR="009A4B6F">
        <w:rPr>
          <w:rFonts w:eastAsiaTheme="minorEastAsia"/>
        </w:rPr>
        <w:t>djusted values</w:t>
      </w:r>
      <w:r w:rsidR="007C392B">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adj</m:t>
            </m:r>
          </m:sub>
        </m:sSub>
        <m:r>
          <w:rPr>
            <w:rFonts w:ascii="Cambria Math" w:eastAsiaTheme="minorEastAsia" w:hAnsi="Cambria Math"/>
          </w:rPr>
          <m:t>,</m:t>
        </m:r>
      </m:oMath>
      <w:r w:rsidR="009A4B6F">
        <w:rPr>
          <w:rFonts w:eastAsiaTheme="minorEastAsia"/>
        </w:rPr>
        <w:t xml:space="preserve"> where estimated as per the following</w:t>
      </w:r>
      <w:r>
        <w:rPr>
          <w:rFonts w:eastAsiaTheme="minorEastAsia"/>
        </w:rPr>
        <w:t xml:space="preserve"> formula</w:t>
      </w:r>
    </w:p>
    <w:p w14:paraId="741B41C8" w14:textId="3D96CB84" w:rsidR="00966C86" w:rsidRDefault="00EF4C08" w:rsidP="005C6813">
      <w:pPr>
        <w:autoSpaceDE w:val="0"/>
        <w:autoSpaceDN w:val="0"/>
        <w:adjustRightInd w:val="0"/>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adj</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i-1</m:t>
              </m:r>
            </m:sub>
          </m:sSub>
          <m:r>
            <w:rPr>
              <w:rFonts w:ascii="Cambria Math" w:eastAsiaTheme="minorEastAsia" w:hAnsi="Cambria Math"/>
            </w:rPr>
            <m:t>)*(365/(days between samples)</m:t>
          </m:r>
        </m:oMath>
      </m:oMathPara>
    </w:p>
    <w:p w14:paraId="07C8B5B6" w14:textId="29862FB1" w:rsidR="009A4B6F" w:rsidRDefault="009A4B6F" w:rsidP="005C6813">
      <w:pPr>
        <w:autoSpaceDE w:val="0"/>
        <w:autoSpaceDN w:val="0"/>
        <w:adjustRightInd w:val="0"/>
        <w:rPr>
          <w:rFonts w:eastAsiaTheme="minorEastAsia"/>
        </w:rPr>
      </w:pPr>
      <w:r>
        <w:rPr>
          <w:rFonts w:eastAsiaTheme="minorEastAsia"/>
        </w:rPr>
        <w:t xml:space="preserve">Where cover declined no adjustment was made and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adj</m:t>
            </m:r>
          </m:sub>
        </m:sSub>
      </m:oMath>
      <w:r>
        <w:rPr>
          <w:rFonts w:eastAsiaTheme="minorEastAsia"/>
        </w:rPr>
        <w:t xml:space="preserve"> assumed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oMath>
      <w:r w:rsidR="00B32D09">
        <w:rPr>
          <w:rFonts w:eastAsiaTheme="minorEastAsia"/>
        </w:rPr>
        <w:t xml:space="preserve"> </w:t>
      </w:r>
      <w:r>
        <w:rPr>
          <w:rFonts w:eastAsiaTheme="minorEastAsia"/>
        </w:rPr>
        <w:t>. For the 2015 report card</w:t>
      </w:r>
      <w:r w:rsidR="00FE4667">
        <w:rPr>
          <w:rFonts w:eastAsiaTheme="minorEastAsia"/>
        </w:rPr>
        <w:t>,</w:t>
      </w:r>
      <w:r>
        <w:rPr>
          <w:rFonts w:eastAsiaTheme="minorEastAsia"/>
        </w:rPr>
        <w:t xml:space="preserve"> declines in cover we adjusted as for increases</w:t>
      </w:r>
      <w:r w:rsidR="00FE4667">
        <w:rPr>
          <w:rFonts w:eastAsiaTheme="minorEastAsia"/>
        </w:rPr>
        <w:t>. For the 2016 report card all scores for this indicator were back calculated using this revised method</w:t>
      </w:r>
      <w:r>
        <w:rPr>
          <w:rFonts w:eastAsiaTheme="minorEastAsia"/>
        </w:rPr>
        <w:t xml:space="preserve">. </w:t>
      </w:r>
    </w:p>
    <w:p w14:paraId="3B69F8FB" w14:textId="48D2DC11" w:rsidR="00AC172E" w:rsidRDefault="00AC172E" w:rsidP="00FE4667">
      <w:pPr>
        <w:autoSpaceDE w:val="0"/>
        <w:autoSpaceDN w:val="0"/>
        <w:adjustRightInd w:val="0"/>
      </w:pPr>
      <w:r>
        <w:rPr>
          <w:rFonts w:cs="LMSansQuot8-Regular"/>
        </w:rPr>
        <w:t>Note</w:t>
      </w:r>
      <w:r>
        <w:t>, the above formulae apply to the family Acroporidae (</w:t>
      </w:r>
      <w:r>
        <w:rPr>
          <w:i/>
        </w:rPr>
        <w:t>Acr</w:t>
      </w:r>
      <w:r>
        <w:t>) and have the same form as those applied for Other Corals (</w:t>
      </w:r>
      <w:r>
        <w:rPr>
          <w:i/>
        </w:rPr>
        <w:t>OthC</w:t>
      </w:r>
      <w:r>
        <w:t xml:space="preserve">) if these terms are exchanged where they appear in the equations. </w:t>
      </w:r>
    </w:p>
    <w:p w14:paraId="6F7E4A20" w14:textId="6DB9E19F" w:rsidR="00FE4667" w:rsidRPr="00FE4667" w:rsidRDefault="00FE4667" w:rsidP="00FE4667">
      <w:pPr>
        <w:pStyle w:val="NormalWeb"/>
        <w:spacing w:before="0" w:beforeAutospacing="0" w:after="120" w:afterAutospacing="0"/>
        <w:rPr>
          <w:rFonts w:ascii="Arial" w:hAnsi="Arial" w:cs="Arial"/>
          <w:color w:val="000000"/>
          <w:sz w:val="22"/>
          <w:szCs w:val="22"/>
        </w:rPr>
      </w:pPr>
      <w:r w:rsidRPr="00FE4667">
        <w:rPr>
          <w:rFonts w:ascii="Arial" w:hAnsi="Arial" w:cs="Arial"/>
          <w:color w:val="000000"/>
          <w:sz w:val="22"/>
          <w:szCs w:val="22"/>
        </w:rPr>
        <w:t>Gompertz models were fitted in a Bayesian framework to facilitate combining growth rates and associated unc</w:t>
      </w:r>
      <w:r>
        <w:rPr>
          <w:rFonts w:ascii="Arial" w:hAnsi="Arial" w:cs="Arial"/>
          <w:color w:val="000000"/>
          <w:sz w:val="22"/>
          <w:szCs w:val="22"/>
        </w:rPr>
        <w:t>ertainties</w:t>
      </w:r>
      <w:r w:rsidRPr="00FE4667">
        <w:rPr>
          <w:rFonts w:ascii="Arial" w:hAnsi="Arial" w:cs="Arial"/>
          <w:color w:val="000000"/>
          <w:sz w:val="22"/>
          <w:szCs w:val="22"/>
        </w:rPr>
        <w:t> across models.</w:t>
      </w:r>
      <w:r w:rsidR="00E75F5C">
        <w:rPr>
          <w:rFonts w:ascii="Arial" w:hAnsi="Arial" w:cs="Arial"/>
          <w:color w:val="000000"/>
          <w:sz w:val="22"/>
          <w:szCs w:val="22"/>
        </w:rPr>
        <w:t xml:space="preserve"> </w:t>
      </w:r>
      <w:r w:rsidRPr="00FE4667">
        <w:rPr>
          <w:rFonts w:ascii="Arial" w:hAnsi="Arial" w:cs="Arial"/>
          <w:color w:val="000000"/>
          <w:sz w:val="22"/>
          <w:szCs w:val="22"/>
        </w:rPr>
        <w:t xml:space="preserve"> A total of 20,000 MCMC sampling interactions across three chains with a warm up of 10,000 and thinned to every fifth observation resulted in well mixed samples from stable and converged posteriors (all rhat values less than 1.02). </w:t>
      </w:r>
    </w:p>
    <w:p w14:paraId="5AEE8FDB" w14:textId="77777777" w:rsidR="00FE4667" w:rsidRPr="00FE4667" w:rsidRDefault="00FE4667" w:rsidP="00FE4667">
      <w:pPr>
        <w:pStyle w:val="NormalWeb"/>
        <w:spacing w:before="0" w:beforeAutospacing="0" w:after="120" w:afterAutospacing="0"/>
        <w:rPr>
          <w:rFonts w:ascii="Arial" w:hAnsi="Arial" w:cs="Arial"/>
          <w:color w:val="000000"/>
          <w:sz w:val="22"/>
          <w:szCs w:val="22"/>
        </w:rPr>
      </w:pPr>
      <w:r w:rsidRPr="00FE4667">
        <w:rPr>
          <w:rFonts w:ascii="Arial" w:hAnsi="Arial" w:cs="Arial"/>
          <w:color w:val="000000"/>
          <w:sz w:val="22"/>
          <w:szCs w:val="22"/>
        </w:rPr>
        <w:t>The posteriors of Acroporidae predicted cover and Other Coral predicted cover were combined into posterior predictions of total coral cover from which the mean, median and 95% Highest Probability Density (HPD) intervals were calculated.</w:t>
      </w:r>
    </w:p>
    <w:p w14:paraId="11EA8F8C" w14:textId="04C1761D" w:rsidR="00B32D09" w:rsidRDefault="009A4B6F" w:rsidP="005C6813">
      <w:pPr>
        <w:autoSpaceDE w:val="0"/>
        <w:autoSpaceDN w:val="0"/>
        <w:adjustRightInd w:val="0"/>
        <w:rPr>
          <w:rFonts w:eastAsiaTheme="minorEastAsia"/>
        </w:rPr>
      </w:pPr>
      <w:r>
        <w:rPr>
          <w:rFonts w:eastAsiaTheme="minorEastAsia"/>
        </w:rPr>
        <w:t xml:space="preserve">As changes </w:t>
      </w:r>
      <w:r w:rsidR="00B32D09">
        <w:rPr>
          <w:rFonts w:eastAsiaTheme="minorEastAsia"/>
        </w:rPr>
        <w:t>in coral cover from one year to the next are relatively small</w:t>
      </w:r>
      <w:r w:rsidR="00FE4667">
        <w:rPr>
          <w:rFonts w:eastAsiaTheme="minorEastAsia"/>
        </w:rPr>
        <w:t>,</w:t>
      </w:r>
      <w:r w:rsidR="00B32D09">
        <w:rPr>
          <w:rFonts w:eastAsiaTheme="minorEastAsia"/>
        </w:rPr>
        <w:t xml:space="preserve"> and in light of the biennial sampling design</w:t>
      </w:r>
      <w:r w:rsidR="00FE4667">
        <w:rPr>
          <w:rFonts w:eastAsiaTheme="minorEastAsia"/>
        </w:rPr>
        <w:t>,</w:t>
      </w:r>
      <w:r w:rsidR="00B32D09">
        <w:rPr>
          <w:rFonts w:eastAsiaTheme="minorEastAsia"/>
        </w:rPr>
        <w:t xml:space="preserve"> the indicator value is averaged over consecutive surveys constituting a potential mean rate of increase over a four year period, when no disturbances have occurred.</w:t>
      </w:r>
    </w:p>
    <w:p w14:paraId="11EA8F8D" w14:textId="5834C9EE" w:rsidR="00B32D09" w:rsidRDefault="00B32D09" w:rsidP="00B32D09">
      <w:r>
        <w:t>To convert this indicator to a metric th</w:t>
      </w:r>
      <w:r w:rsidR="00FE4667">
        <w:t>e following process was applied</w:t>
      </w:r>
      <w:r>
        <w:t xml:space="preserve">: </w:t>
      </w:r>
    </w:p>
    <w:p w14:paraId="65D537E3" w14:textId="77777777" w:rsidR="00FE4667" w:rsidRDefault="004B5EED" w:rsidP="00976100">
      <w:pPr>
        <w:pStyle w:val="ListParagraph"/>
        <w:numPr>
          <w:ilvl w:val="0"/>
          <w:numId w:val="24"/>
        </w:numPr>
        <w:autoSpaceDE w:val="0"/>
        <w:autoSpaceDN w:val="0"/>
        <w:adjustRightInd w:val="0"/>
        <w:ind w:left="714" w:hanging="357"/>
      </w:pPr>
      <w:r w:rsidRPr="00B32D09">
        <w:t>If coral cover decline</w:t>
      </w:r>
      <w:r w:rsidR="00B32D09">
        <w:t>d between surveys</w:t>
      </w:r>
      <w:r w:rsidRPr="00B32D09">
        <w:t xml:space="preserve">, a score of 0 </w:t>
      </w:r>
      <w:r w:rsidR="00B32D09">
        <w:t>wa</w:t>
      </w:r>
      <w:r w:rsidRPr="00B32D09">
        <w:t>s applied.</w:t>
      </w:r>
    </w:p>
    <w:p w14:paraId="3D2A05F1" w14:textId="77777777" w:rsidR="00FE4667" w:rsidRDefault="004B5EED" w:rsidP="00976100">
      <w:pPr>
        <w:pStyle w:val="ListParagraph"/>
        <w:numPr>
          <w:ilvl w:val="0"/>
          <w:numId w:val="24"/>
        </w:numPr>
        <w:autoSpaceDE w:val="0"/>
        <w:autoSpaceDN w:val="0"/>
        <w:adjustRightInd w:val="0"/>
        <w:ind w:left="714" w:hanging="357"/>
      </w:pPr>
      <w:r w:rsidRPr="00FE4667">
        <w:t xml:space="preserve">If cover change </w:t>
      </w:r>
      <w:r w:rsidR="00B32D09" w:rsidRPr="00FE4667">
        <w:t>was</w:t>
      </w:r>
      <w:r w:rsidRPr="00FE4667">
        <w:t xml:space="preserve"> between 0 and the lower </w:t>
      </w:r>
      <w:r w:rsidR="00FE4667" w:rsidRPr="00FE4667">
        <w:t>HPD</w:t>
      </w:r>
      <w:r w:rsidRPr="00FE4667">
        <w:t xml:space="preserve"> interval</w:t>
      </w:r>
      <w:r w:rsidR="00B32D09" w:rsidRPr="00FE4667">
        <w:t xml:space="preserve"> of predicted </w:t>
      </w:r>
      <w:r w:rsidR="00FE4667" w:rsidRPr="00FE4667">
        <w:t xml:space="preserve">total cover </w:t>
      </w:r>
      <w:r w:rsidR="00B32D09" w:rsidRPr="00FE4667">
        <w:t>change</w:t>
      </w:r>
      <w:r w:rsidRPr="00FE4667">
        <w:t xml:space="preserve">, scores </w:t>
      </w:r>
      <w:r w:rsidR="00B32D09" w:rsidRPr="00FE4667">
        <w:t>we</w:t>
      </w:r>
      <w:r w:rsidRPr="00FE4667">
        <w:t>re scaled to between 0.1 when no change was observed through to 0.4 when change was equal to the lower interval of the predicted change.</w:t>
      </w:r>
    </w:p>
    <w:p w14:paraId="69827CBE" w14:textId="77777777" w:rsidR="00FE4667" w:rsidRDefault="004B5EED" w:rsidP="00976100">
      <w:pPr>
        <w:pStyle w:val="ListParagraph"/>
        <w:numPr>
          <w:ilvl w:val="0"/>
          <w:numId w:val="24"/>
        </w:numPr>
        <w:autoSpaceDE w:val="0"/>
        <w:autoSpaceDN w:val="0"/>
        <w:adjustRightInd w:val="0"/>
        <w:ind w:left="714" w:hanging="357"/>
      </w:pPr>
      <w:r w:rsidRPr="00FE4667">
        <w:t xml:space="preserve">If cover change was within the </w:t>
      </w:r>
      <w:r w:rsidR="00FE4667" w:rsidRPr="00FE4667">
        <w:t>upper and lower HPD</w:t>
      </w:r>
      <w:r w:rsidRPr="00FE4667">
        <w:t xml:space="preserve"> intervals </w:t>
      </w:r>
      <w:r w:rsidR="00B32D09" w:rsidRPr="00FE4667">
        <w:t xml:space="preserve">of the predicted change </w:t>
      </w:r>
      <w:r w:rsidRPr="00FE4667">
        <w:t xml:space="preserve">the score was scaled from 0.4 at the lower interval through to 0.6 at the upper interval. </w:t>
      </w:r>
    </w:p>
    <w:p w14:paraId="5E020F43" w14:textId="77777777" w:rsidR="00FE4667" w:rsidRDefault="004B5EED" w:rsidP="00976100">
      <w:pPr>
        <w:pStyle w:val="ListParagraph"/>
        <w:numPr>
          <w:ilvl w:val="0"/>
          <w:numId w:val="24"/>
        </w:numPr>
        <w:autoSpaceDE w:val="0"/>
        <w:autoSpaceDN w:val="0"/>
        <w:adjustRightInd w:val="0"/>
        <w:ind w:left="714" w:hanging="357"/>
      </w:pPr>
      <w:r w:rsidRPr="00FE4667">
        <w:t xml:space="preserve">If cover change was greater than the upper </w:t>
      </w:r>
      <w:r w:rsidR="00FE4667" w:rsidRPr="00FE4667">
        <w:t>HPD</w:t>
      </w:r>
      <w:r w:rsidRPr="00FE4667">
        <w:t xml:space="preserve"> interval </w:t>
      </w:r>
      <w:r w:rsidR="00B32D09" w:rsidRPr="00FE4667">
        <w:t>of predicted change</w:t>
      </w:r>
      <w:r w:rsidR="00FE4667" w:rsidRPr="00FE4667">
        <w:t>,</w:t>
      </w:r>
      <w:r w:rsidR="00B32D09" w:rsidRPr="00FE4667">
        <w:t xml:space="preserve"> </w:t>
      </w:r>
      <w:r w:rsidRPr="00FE4667">
        <w:t>though less than double the upper interval, scores where scaled from 0.6 at the upper interval to 0.9 at double the upper interval.</w:t>
      </w:r>
    </w:p>
    <w:p w14:paraId="11EA8F92" w14:textId="10106ABD" w:rsidR="004B5EED" w:rsidRPr="00FE4667" w:rsidRDefault="004B5EED" w:rsidP="00976100">
      <w:pPr>
        <w:pStyle w:val="ListParagraph"/>
        <w:numPr>
          <w:ilvl w:val="0"/>
          <w:numId w:val="24"/>
        </w:numPr>
        <w:autoSpaceDE w:val="0"/>
        <w:autoSpaceDN w:val="0"/>
        <w:adjustRightInd w:val="0"/>
        <w:ind w:left="714" w:hanging="357"/>
      </w:pPr>
      <w:r w:rsidRPr="00FE4667">
        <w:t xml:space="preserve">If change was greater than double the upper </w:t>
      </w:r>
      <w:r w:rsidR="00FE4667" w:rsidRPr="00FE4667">
        <w:t>HPD</w:t>
      </w:r>
      <w:r w:rsidRPr="00FE4667">
        <w:t xml:space="preserve"> interval, a score of 1 was applied.</w:t>
      </w:r>
    </w:p>
    <w:p w14:paraId="11EA8F93" w14:textId="77777777" w:rsidR="004B5EED" w:rsidRPr="0056633D" w:rsidRDefault="004B5EED" w:rsidP="004B5EED">
      <w:pPr>
        <w:autoSpaceDE w:val="0"/>
        <w:autoSpaceDN w:val="0"/>
        <w:adjustRightInd w:val="0"/>
      </w:pPr>
    </w:p>
    <w:p w14:paraId="11EA8F94" w14:textId="77777777" w:rsidR="004B5EED" w:rsidRPr="0056633D" w:rsidRDefault="004B5EED" w:rsidP="004B5EED">
      <w:pPr>
        <w:keepNext/>
        <w:autoSpaceDE w:val="0"/>
        <w:autoSpaceDN w:val="0"/>
        <w:adjustRightInd w:val="0"/>
      </w:pPr>
      <w:r w:rsidRPr="0056633D">
        <w:rPr>
          <w:noProof/>
          <w:lang w:val="en-AU" w:eastAsia="en-AU"/>
        </w:rPr>
        <w:drawing>
          <wp:inline distT="0" distB="0" distL="0" distR="0" wp14:anchorId="11EAB25B" wp14:editId="7E2430F2">
            <wp:extent cx="3600450" cy="3238500"/>
            <wp:effectExtent l="0" t="0" r="0" b="0"/>
            <wp:docPr id="237" name="Picture 237" descr="Diagram that describes the scoring and categorisation of the Cover Change metric" title="Figure 6 Scoring diagram for the Cover Change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600450" cy="3238500"/>
                    </a:xfrm>
                    <a:prstGeom prst="rect">
                      <a:avLst/>
                    </a:prstGeom>
                    <a:noFill/>
                    <a:ln>
                      <a:noFill/>
                    </a:ln>
                  </pic:spPr>
                </pic:pic>
              </a:graphicData>
            </a:graphic>
          </wp:inline>
        </w:drawing>
      </w:r>
    </w:p>
    <w:p w14:paraId="6113D2B1" w14:textId="0BB2EFD4" w:rsidR="00963B73" w:rsidRDefault="00963B73" w:rsidP="00963B73">
      <w:pPr>
        <w:pStyle w:val="Caption"/>
      </w:pPr>
      <w:bookmarkStart w:id="119" w:name="_Toc491846832"/>
      <w:bookmarkStart w:id="120" w:name="_Toc437423864"/>
      <w:bookmarkStart w:id="121" w:name="_Toc437424043"/>
      <w:bookmarkStart w:id="122" w:name="_Toc437424317"/>
      <w:bookmarkStart w:id="123" w:name="_Toc437597653"/>
      <w:bookmarkStart w:id="124" w:name="_Toc437599324"/>
      <w:r>
        <w:t xml:space="preserve">Figure </w:t>
      </w:r>
      <w:r>
        <w:fldChar w:fldCharType="begin"/>
      </w:r>
      <w:r>
        <w:instrText xml:space="preserve"> SEQ Figure \* ARABIC </w:instrText>
      </w:r>
      <w:r>
        <w:fldChar w:fldCharType="separate"/>
      </w:r>
      <w:r w:rsidR="00D806F2">
        <w:rPr>
          <w:noProof/>
        </w:rPr>
        <w:t>6</w:t>
      </w:r>
      <w:r>
        <w:fldChar w:fldCharType="end"/>
      </w:r>
      <w:r>
        <w:t xml:space="preserve"> </w:t>
      </w:r>
      <w:r w:rsidRPr="00865C5B">
        <w:t>Scoring diagram for Cover Change metric</w:t>
      </w:r>
      <w:bookmarkEnd w:id="119"/>
    </w:p>
    <w:p w14:paraId="11EA8F98" w14:textId="6454C002" w:rsidR="00637BBC" w:rsidRPr="00637BBC" w:rsidRDefault="00637BBC" w:rsidP="00B9528B">
      <w:pPr>
        <w:pStyle w:val="Heading3"/>
      </w:pPr>
      <w:bookmarkStart w:id="125" w:name="_Toc493153319"/>
      <w:bookmarkEnd w:id="120"/>
      <w:bookmarkEnd w:id="121"/>
      <w:bookmarkEnd w:id="122"/>
      <w:bookmarkEnd w:id="123"/>
      <w:bookmarkEnd w:id="124"/>
      <w:r w:rsidRPr="00637BBC">
        <w:t>4.</w:t>
      </w:r>
      <w:r w:rsidR="000E09B7">
        <w:t>7</w:t>
      </w:r>
      <w:r w:rsidR="00963B73">
        <w:t>.5 Community C</w:t>
      </w:r>
      <w:r w:rsidRPr="00637BBC">
        <w:t>omposition metric</w:t>
      </w:r>
      <w:bookmarkEnd w:id="125"/>
    </w:p>
    <w:p w14:paraId="11EA8F99" w14:textId="722AA6DD" w:rsidR="000B3897" w:rsidRDefault="000B3897" w:rsidP="000B3897">
      <w:pPr>
        <w:rPr>
          <w:rFonts w:cs="Arial"/>
        </w:rPr>
      </w:pPr>
      <w:r>
        <w:rPr>
          <w:rFonts w:cs="Arial"/>
        </w:rPr>
        <w:t xml:space="preserve">The coral communities monitored by the </w:t>
      </w:r>
      <w:r w:rsidR="006C18B9">
        <w:rPr>
          <w:rFonts w:cs="Arial"/>
        </w:rPr>
        <w:t>MMP</w:t>
      </w:r>
      <w:r>
        <w:rPr>
          <w:rFonts w:cs="Arial"/>
        </w:rPr>
        <w:t xml:space="preserve"> vary considerably in the relative composition of coral species (Uthicke </w:t>
      </w:r>
      <w:r>
        <w:rPr>
          <w:rFonts w:cs="Arial"/>
          <w:i/>
        </w:rPr>
        <w:t>et al</w:t>
      </w:r>
      <w:r>
        <w:rPr>
          <w:rFonts w:cs="Arial"/>
        </w:rPr>
        <w:t xml:space="preserve">. 2010, Thompson </w:t>
      </w:r>
      <w:r w:rsidRPr="00F81AB9">
        <w:rPr>
          <w:rFonts w:cs="Arial"/>
          <w:i/>
        </w:rPr>
        <w:t>et al.</w:t>
      </w:r>
      <w:r w:rsidR="00FC7695">
        <w:rPr>
          <w:rFonts w:cs="Arial"/>
        </w:rPr>
        <w:t xml:space="preserve"> 2014b</w:t>
      </w:r>
      <w:r>
        <w:rPr>
          <w:rFonts w:cs="Arial"/>
        </w:rPr>
        <w:t xml:space="preserve">). As demonstrated by Uthicke </w:t>
      </w:r>
      <w:r>
        <w:rPr>
          <w:rFonts w:cs="Arial"/>
          <w:i/>
        </w:rPr>
        <w:t>et al</w:t>
      </w:r>
      <w:r>
        <w:rPr>
          <w:rFonts w:cs="Arial"/>
        </w:rPr>
        <w:t xml:space="preserve">. (2010) and Fabricius </w:t>
      </w:r>
      <w:r w:rsidRPr="00FA06C2">
        <w:rPr>
          <w:rFonts w:cs="Arial"/>
          <w:i/>
        </w:rPr>
        <w:t>et al.</w:t>
      </w:r>
      <w:r>
        <w:rPr>
          <w:rFonts w:cs="Arial"/>
        </w:rPr>
        <w:t xml:space="preserve"> (2012), some of this variability can be attributed to differences in environmental conditions between locations, which implies selection for certain species based on the environmental conditions experienced. Coral communities respond to environmental conditions in a variety of ways. Most noticeably they respond to acute shifts in conditions such as exposure to substantially reduced salinity (van Woesik 1991, Berkelmans </w:t>
      </w:r>
      <w:r>
        <w:rPr>
          <w:rFonts w:cs="Arial"/>
          <w:i/>
        </w:rPr>
        <w:t>et al</w:t>
      </w:r>
      <w:r>
        <w:rPr>
          <w:rFonts w:cs="Arial"/>
        </w:rPr>
        <w:t xml:space="preserve">. 2012), deviations from normal temperature (Hoegh-Guldberg 1999) or hydrodynamic conditions (cyclones); all of which result in reductions in coral cover as susceptible species are killed. In contrast, the increased loads of sediments and nutrients entering the Reef as a result of land use practices in the adjacent catchments (Waters </w:t>
      </w:r>
      <w:r>
        <w:rPr>
          <w:rFonts w:cs="Arial"/>
          <w:i/>
        </w:rPr>
        <w:t>et al</w:t>
      </w:r>
      <w:r>
        <w:rPr>
          <w:rFonts w:cs="Arial"/>
        </w:rPr>
        <w:t>. 2014) may include a combination of acute conditions associated with flood events and then chronic change in conditions as pollutants are cycled through the system. Chronic change in conditions</w:t>
      </w:r>
      <w:r w:rsidR="002C5ECA">
        <w:rPr>
          <w:rFonts w:cs="Arial"/>
        </w:rPr>
        <w:t>,</w:t>
      </w:r>
      <w:r>
        <w:rPr>
          <w:rFonts w:cs="Arial"/>
        </w:rPr>
        <w:t xml:space="preserve"> </w:t>
      </w:r>
      <w:r w:rsidR="000C7063">
        <w:rPr>
          <w:rFonts w:cs="Arial"/>
        </w:rPr>
        <w:t>such as elevated turbidity or nutrient levels</w:t>
      </w:r>
      <w:r w:rsidR="002C5ECA">
        <w:rPr>
          <w:rFonts w:cs="Arial"/>
        </w:rPr>
        <w:t>,</w:t>
      </w:r>
      <w:r w:rsidR="000C7063">
        <w:rPr>
          <w:rFonts w:cs="Arial"/>
        </w:rPr>
        <w:t xml:space="preserve"> </w:t>
      </w:r>
      <w:r>
        <w:rPr>
          <w:rFonts w:cs="Arial"/>
        </w:rPr>
        <w:t>could provide a longer period of selective pressures as environmental conditions disproportionately favour recruitment and survival of species tolerant to those conditions.</w:t>
      </w:r>
    </w:p>
    <w:p w14:paraId="11EA8F9A" w14:textId="4DE02343" w:rsidR="00637BBC" w:rsidRPr="00637BBC" w:rsidRDefault="00637BBC" w:rsidP="00637BBC">
      <w:r w:rsidRPr="00637BBC">
        <w:t>This metric compares the composition of hard coral communities</w:t>
      </w:r>
      <w:r w:rsidR="000B3897">
        <w:t xml:space="preserve"> at each reef</w:t>
      </w:r>
      <w:r w:rsidRPr="00637BBC">
        <w:t xml:space="preserve"> to a baseline composition </w:t>
      </w:r>
      <w:r w:rsidR="000B3897">
        <w:t xml:space="preserve">at that reef </w:t>
      </w:r>
      <w:r w:rsidRPr="00637BBC">
        <w:t>and interprets any observed change as being representative of communities expected under improved or worsened water quality. The basis of the metric is the scaling of cover for con</w:t>
      </w:r>
      <w:r w:rsidR="002C5ECA">
        <w:t>stituent genera (subset to life-</w:t>
      </w:r>
      <w:r w:rsidRPr="00637BBC">
        <w:t xml:space="preserve">forms for the abundant genera </w:t>
      </w:r>
      <w:r w:rsidRPr="00637BBC">
        <w:rPr>
          <w:i/>
        </w:rPr>
        <w:t>Acropora</w:t>
      </w:r>
      <w:r w:rsidRPr="00637BBC">
        <w:t xml:space="preserve"> and </w:t>
      </w:r>
      <w:r w:rsidRPr="00637BBC">
        <w:rPr>
          <w:i/>
        </w:rPr>
        <w:t>Porites</w:t>
      </w:r>
      <w:r w:rsidRPr="00637BBC">
        <w:t xml:space="preserve">) by weightings that correspond to the distribution of each genus along a gradient of turbidity and </w:t>
      </w:r>
      <w:r w:rsidR="002C5ECA">
        <w:t>Chl</w:t>
      </w:r>
      <w:r w:rsidR="00372F57">
        <w:t xml:space="preserve"> </w:t>
      </w:r>
      <w:r w:rsidR="00372F57" w:rsidRPr="00372F57">
        <w:rPr>
          <w:i/>
        </w:rPr>
        <w:t>a</w:t>
      </w:r>
      <w:r w:rsidRPr="00637BBC">
        <w:t xml:space="preserve"> concentration </w:t>
      </w:r>
      <w:r w:rsidR="000B3897">
        <w:t xml:space="preserve">as determined by </w:t>
      </w:r>
      <w:r w:rsidR="000B3897">
        <w:rPr>
          <w:rFonts w:cs="Arial"/>
        </w:rPr>
        <w:t>Canonical Analysis of Principal Coordinates (partial CAP; Anderson &amp; Willis 2003) applied to MMP data</w:t>
      </w:r>
      <w:r w:rsidRPr="00637BBC">
        <w:t xml:space="preserve"> (Thompson </w:t>
      </w:r>
      <w:r w:rsidRPr="00637BBC">
        <w:rPr>
          <w:i/>
        </w:rPr>
        <w:t>et al.</w:t>
      </w:r>
      <w:r w:rsidRPr="00637BBC">
        <w:t xml:space="preserve"> </w:t>
      </w:r>
      <w:r w:rsidR="00250FFF">
        <w:t>2014</w:t>
      </w:r>
      <w:r w:rsidR="00FC7695">
        <w:t>b</w:t>
      </w:r>
      <w:r w:rsidRPr="00637BBC">
        <w:t>,</w:t>
      </w:r>
      <w:r w:rsidR="00D6497E">
        <w:t xml:space="preserve"> </w:t>
      </w:r>
      <w:r w:rsidR="00D6497E">
        <w:fldChar w:fldCharType="begin"/>
      </w:r>
      <w:r w:rsidR="00D6497E">
        <w:instrText xml:space="preserve"> REF _Ref491160057 \h </w:instrText>
      </w:r>
      <w:r w:rsidR="00D6497E">
        <w:fldChar w:fldCharType="separate"/>
      </w:r>
      <w:r w:rsidR="00D806F2">
        <w:t xml:space="preserve">Table A1. </w:t>
      </w:r>
      <w:r w:rsidR="00D806F2">
        <w:rPr>
          <w:noProof/>
        </w:rPr>
        <w:t>2</w:t>
      </w:r>
      <w:r w:rsidR="00D6497E">
        <w:fldChar w:fldCharType="end"/>
      </w:r>
      <w:r w:rsidRPr="00637BBC">
        <w:t>) as:</w:t>
      </w:r>
    </w:p>
    <w:p w14:paraId="11EA8F9B" w14:textId="77777777" w:rsidR="00637BBC" w:rsidRPr="00637BBC" w:rsidRDefault="00EF4C08" w:rsidP="00637BBC">
      <m:oMathPara>
        <m:oMath>
          <m:sSub>
            <m:sSubPr>
              <m:ctrlPr>
                <w:rPr>
                  <w:rFonts w:ascii="Cambria Math" w:hAnsi="Cambria Math"/>
                  <w:i/>
                  <w:lang w:val="en-AU"/>
                </w:rPr>
              </m:ctrlPr>
            </m:sSubPr>
            <m:e>
              <m:r>
                <w:rPr>
                  <w:rFonts w:ascii="Cambria Math" w:hAnsi="Cambria Math"/>
                </w:rPr>
                <m:t>C</m:t>
              </m:r>
            </m:e>
            <m:sub>
              <m:r>
                <w:rPr>
                  <w:rFonts w:ascii="Cambria Math" w:hAnsi="Cambria Math"/>
                </w:rPr>
                <m:t>t</m:t>
              </m:r>
            </m:sub>
          </m:sSub>
          <m:r>
            <w:rPr>
              <w:rFonts w:ascii="Cambria Math" w:hAnsi="Cambria Math"/>
            </w:rPr>
            <m:t xml:space="preserve">= </m:t>
          </m:r>
          <m:nary>
            <m:naryPr>
              <m:chr m:val="∑"/>
              <m:limLoc m:val="undOvr"/>
              <m:ctrlPr>
                <w:rPr>
                  <w:rFonts w:ascii="Cambria Math" w:hAnsi="Cambria Math"/>
                  <w:i/>
                  <w:lang w:val="en-AU"/>
                </w:rPr>
              </m:ctrlPr>
            </m:naryPr>
            <m:sub>
              <m:r>
                <w:rPr>
                  <w:rFonts w:ascii="Cambria Math" w:hAnsi="Cambria Math"/>
                </w:rPr>
                <m:t>i=1</m:t>
              </m:r>
            </m:sub>
            <m:sup>
              <m:r>
                <w:rPr>
                  <w:rFonts w:ascii="Cambria Math" w:hAnsi="Cambria Math"/>
                </w:rPr>
                <m:t>n</m:t>
              </m:r>
            </m:sup>
            <m:e>
              <m:sSub>
                <m:sSubPr>
                  <m:ctrlPr>
                    <w:rPr>
                      <w:rFonts w:ascii="Cambria Math" w:hAnsi="Cambria Math"/>
                      <w:i/>
                      <w:lang w:val="en-AU"/>
                    </w:rPr>
                  </m:ctrlPr>
                </m:sSubPr>
                <m:e>
                  <m:r>
                    <w:rPr>
                      <w:rFonts w:ascii="Cambria Math" w:hAnsi="Cambria Math"/>
                    </w:rPr>
                    <m:t>H</m:t>
                  </m:r>
                </m:e>
                <m:sub>
                  <m:r>
                    <w:rPr>
                      <w:rFonts w:ascii="Cambria Math" w:hAnsi="Cambria Math"/>
                    </w:rPr>
                    <m:t>it</m:t>
                  </m:r>
                </m:sub>
              </m:sSub>
              <m:r>
                <w:rPr>
                  <w:rFonts w:ascii="Cambria Math" w:hAnsi="Cambria Math"/>
                </w:rPr>
                <m:t>*</m:t>
              </m:r>
              <m:sSub>
                <m:sSubPr>
                  <m:ctrlPr>
                    <w:rPr>
                      <w:rFonts w:ascii="Cambria Math" w:hAnsi="Cambria Math"/>
                      <w:i/>
                      <w:lang w:val="en-AU"/>
                    </w:rPr>
                  </m:ctrlPr>
                </m:sSubPr>
                <m:e>
                  <m:r>
                    <w:rPr>
                      <w:rFonts w:ascii="Cambria Math" w:hAnsi="Cambria Math"/>
                    </w:rPr>
                    <m:t>G</m:t>
                  </m:r>
                </m:e>
                <m:sub>
                  <m:r>
                    <w:rPr>
                      <w:rFonts w:ascii="Cambria Math" w:hAnsi="Cambria Math"/>
                    </w:rPr>
                    <m:t>i</m:t>
                  </m:r>
                </m:sub>
              </m:sSub>
            </m:e>
          </m:nary>
        </m:oMath>
      </m:oMathPara>
    </w:p>
    <w:p w14:paraId="11EA8F9C" w14:textId="77777777" w:rsidR="00637BBC" w:rsidRPr="00637BBC" w:rsidRDefault="00637BBC" w:rsidP="00637BBC">
      <w:r w:rsidRPr="00637BBC">
        <w:t>Where</w:t>
      </w:r>
      <w:r w:rsidRPr="00637BBC">
        <w:tab/>
        <w:t xml:space="preserve"> </w:t>
      </w:r>
      <m:oMath>
        <m:sSub>
          <m:sSubPr>
            <m:ctrlPr>
              <w:rPr>
                <w:rFonts w:ascii="Cambria Math" w:hAnsi="Cambria Math"/>
                <w:i/>
                <w:lang w:val="en-AU"/>
              </w:rPr>
            </m:ctrlPr>
          </m:sSubPr>
          <m:e>
            <m:r>
              <w:rPr>
                <w:rFonts w:ascii="Cambria Math" w:hAnsi="Cambria Math"/>
              </w:rPr>
              <m:t>C</m:t>
            </m:r>
          </m:e>
          <m:sub>
            <m:r>
              <w:rPr>
                <w:rFonts w:ascii="Cambria Math" w:hAnsi="Cambria Math"/>
              </w:rPr>
              <m:t>t</m:t>
            </m:r>
          </m:sub>
        </m:sSub>
      </m:oMath>
      <w:r w:rsidRPr="00637BBC">
        <w:t xml:space="preserve"> = the community composition location on along the water quality gradient at time </w:t>
      </w:r>
      <m:oMath>
        <m:r>
          <w:rPr>
            <w:rFonts w:ascii="Cambria Math" w:hAnsi="Cambria Math"/>
          </w:rPr>
          <m:t>t</m:t>
        </m:r>
      </m:oMath>
      <w:r w:rsidRPr="00637BBC">
        <w:t xml:space="preserve">, </w:t>
      </w:r>
    </w:p>
    <w:p w14:paraId="11EA8F9D" w14:textId="77777777" w:rsidR="00637BBC" w:rsidRPr="00637BBC" w:rsidRDefault="00637BBC" w:rsidP="00637BBC">
      <w:r w:rsidRPr="00637BBC">
        <w:tab/>
      </w:r>
      <m:oMath>
        <m:sSub>
          <m:sSubPr>
            <m:ctrlPr>
              <w:rPr>
                <w:rFonts w:ascii="Cambria Math" w:hAnsi="Cambria Math"/>
                <w:i/>
                <w:lang w:val="en-AU"/>
              </w:rPr>
            </m:ctrlPr>
          </m:sSubPr>
          <m:e>
            <m:r>
              <w:rPr>
                <w:rFonts w:ascii="Cambria Math" w:hAnsi="Cambria Math"/>
              </w:rPr>
              <m:t>H</m:t>
            </m:r>
          </m:e>
          <m:sub>
            <m:r>
              <w:rPr>
                <w:rFonts w:ascii="Cambria Math" w:hAnsi="Cambria Math"/>
              </w:rPr>
              <m:t>it</m:t>
            </m:r>
          </m:sub>
        </m:sSub>
      </m:oMath>
      <w:r w:rsidRPr="00637BBC">
        <w:t xml:space="preserve"> = the Hellinger transformed cover of genus </w:t>
      </w:r>
      <m:oMath>
        <m:r>
          <w:rPr>
            <w:rFonts w:ascii="Cambria Math" w:hAnsi="Cambria Math"/>
          </w:rPr>
          <m:t>i</m:t>
        </m:r>
      </m:oMath>
      <w:r w:rsidRPr="00637BBC">
        <w:t xml:space="preserve"> at time </w:t>
      </w:r>
      <m:oMath>
        <m:r>
          <w:rPr>
            <w:rFonts w:ascii="Cambria Math" w:hAnsi="Cambria Math"/>
          </w:rPr>
          <m:t>t</m:t>
        </m:r>
      </m:oMath>
      <w:r w:rsidRPr="00637BBC">
        <w:t>, and</w:t>
      </w:r>
    </w:p>
    <w:p w14:paraId="11EA8F9E" w14:textId="0EF8B890" w:rsidR="00637BBC" w:rsidRPr="00637BBC" w:rsidRDefault="00637BBC" w:rsidP="00637BBC">
      <w:r w:rsidRPr="00637BBC">
        <w:tab/>
      </w:r>
      <m:oMath>
        <m:sSub>
          <m:sSubPr>
            <m:ctrlPr>
              <w:rPr>
                <w:rFonts w:ascii="Cambria Math" w:hAnsi="Cambria Math"/>
                <w:i/>
                <w:lang w:val="en-AU"/>
              </w:rPr>
            </m:ctrlPr>
          </m:sSubPr>
          <m:e>
            <m:r>
              <w:rPr>
                <w:rFonts w:ascii="Cambria Math" w:hAnsi="Cambria Math"/>
              </w:rPr>
              <m:t>G</m:t>
            </m:r>
          </m:e>
          <m:sub>
            <m:r>
              <w:rPr>
                <w:rFonts w:ascii="Cambria Math" w:hAnsi="Cambria Math"/>
              </w:rPr>
              <m:t>i</m:t>
            </m:r>
          </m:sub>
        </m:sSub>
      </m:oMath>
      <w:r w:rsidRPr="00637BBC">
        <w:t xml:space="preserve"> = the score for genus </w:t>
      </w:r>
      <m:oMath>
        <m:r>
          <w:rPr>
            <w:rFonts w:ascii="Cambria Math" w:hAnsi="Cambria Math"/>
          </w:rPr>
          <m:t>i</m:t>
        </m:r>
      </m:oMath>
      <w:r w:rsidRPr="00637BBC">
        <w:t xml:space="preserve"> taken from</w:t>
      </w:r>
      <w:r w:rsidR="00963B73">
        <w:t xml:space="preserve"> </w:t>
      </w:r>
      <w:r w:rsidR="00963B73">
        <w:fldChar w:fldCharType="begin"/>
      </w:r>
      <w:r w:rsidR="00963B73">
        <w:instrText xml:space="preserve"> REF _Ref491160057 \h </w:instrText>
      </w:r>
      <w:r w:rsidR="00963B73">
        <w:fldChar w:fldCharType="separate"/>
      </w:r>
      <w:r w:rsidR="00D806F2">
        <w:t xml:space="preserve">Table A1. </w:t>
      </w:r>
      <w:r w:rsidR="00D806F2">
        <w:rPr>
          <w:noProof/>
        </w:rPr>
        <w:t>2</w:t>
      </w:r>
      <w:r w:rsidR="00963B73">
        <w:fldChar w:fldCharType="end"/>
      </w:r>
      <w:r w:rsidR="005F51F9">
        <w:t>.</w:t>
      </w:r>
    </w:p>
    <w:p w14:paraId="11EA8F9F" w14:textId="7949000F" w:rsidR="00637BBC" w:rsidRDefault="00637BBC" w:rsidP="00637BBC">
      <w:r w:rsidRPr="00637BBC">
        <w:t xml:space="preserve">Indicator metric scores are assigned based on the location of </w:t>
      </w:r>
      <m:oMath>
        <m:sSub>
          <m:sSubPr>
            <m:ctrlPr>
              <w:rPr>
                <w:rFonts w:ascii="Cambria Math" w:hAnsi="Cambria Math"/>
                <w:i/>
                <w:lang w:val="en-AU"/>
              </w:rPr>
            </m:ctrlPr>
          </m:sSubPr>
          <m:e>
            <m:r>
              <w:rPr>
                <w:rFonts w:ascii="Cambria Math" w:hAnsi="Cambria Math"/>
              </w:rPr>
              <m:t>C</m:t>
            </m:r>
          </m:e>
          <m:sub>
            <m:r>
              <w:rPr>
                <w:rFonts w:ascii="Cambria Math" w:hAnsi="Cambria Math"/>
              </w:rPr>
              <m:t>t</m:t>
            </m:r>
          </m:sub>
        </m:sSub>
      </m:oMath>
      <w:r w:rsidRPr="00637BBC">
        <w:t xml:space="preserve"> for the year of interest relative to a community specific baseline. The baseline for each community is</w:t>
      </w:r>
      <w:r w:rsidR="000B3897">
        <w:t xml:space="preserve"> bounded by</w:t>
      </w:r>
      <w:r w:rsidRPr="00637BBC">
        <w:t xml:space="preserve"> the 95% confidence intervals about the mean </w:t>
      </w:r>
      <m:oMath>
        <m:sSub>
          <m:sSubPr>
            <m:ctrlPr>
              <w:rPr>
                <w:rFonts w:ascii="Cambria Math" w:hAnsi="Cambria Math"/>
                <w:i/>
                <w:lang w:val="en-AU"/>
              </w:rPr>
            </m:ctrlPr>
          </m:sSubPr>
          <m:e>
            <m:r>
              <w:rPr>
                <w:rFonts w:ascii="Cambria Math" w:hAnsi="Cambria Math"/>
              </w:rPr>
              <m:t>C</m:t>
            </m:r>
          </m:e>
          <m:sub>
            <m:r>
              <w:rPr>
                <w:rFonts w:ascii="Cambria Math" w:hAnsi="Cambria Math"/>
              </w:rPr>
              <m:t>t</m:t>
            </m:r>
          </m:sub>
        </m:sSub>
      </m:oMath>
      <w:r w:rsidRPr="00637BBC">
        <w:t xml:space="preserve"> from the first five years of observations of the community at each reef and depth. The scoring of the metric is categorical being 0.5 when </w:t>
      </w:r>
      <m:oMath>
        <m:sSub>
          <m:sSubPr>
            <m:ctrlPr>
              <w:rPr>
                <w:rFonts w:ascii="Cambria Math" w:hAnsi="Cambria Math"/>
                <w:i/>
                <w:lang w:val="en-AU"/>
              </w:rPr>
            </m:ctrlPr>
          </m:sSubPr>
          <m:e>
            <m:r>
              <w:rPr>
                <w:rFonts w:ascii="Cambria Math" w:hAnsi="Cambria Math"/>
              </w:rPr>
              <m:t>C</m:t>
            </m:r>
          </m:e>
          <m:sub>
            <m:r>
              <w:rPr>
                <w:rFonts w:ascii="Cambria Math" w:hAnsi="Cambria Math"/>
              </w:rPr>
              <m:t>t</m:t>
            </m:r>
          </m:sub>
        </m:sSub>
      </m:oMath>
      <w:r w:rsidRPr="00637BBC">
        <w:t xml:space="preserve"> falls within the 95% confidence intervals for the location, 1 if beyond the confidence interval in a direction toward communities representative of</w:t>
      </w:r>
      <w:r w:rsidR="006554A0">
        <w:t xml:space="preserve"> low</w:t>
      </w:r>
      <w:r w:rsidR="00FA70E2">
        <w:t>er</w:t>
      </w:r>
      <w:r w:rsidR="006554A0">
        <w:t xml:space="preserve"> turbidity and </w:t>
      </w:r>
      <w:r w:rsidR="00FA70E2">
        <w:t xml:space="preserve">Chl </w:t>
      </w:r>
      <w:r w:rsidR="00372F57" w:rsidRPr="00372F57">
        <w:rPr>
          <w:i/>
        </w:rPr>
        <w:t>a</w:t>
      </w:r>
      <w:r w:rsidR="006554A0">
        <w:t xml:space="preserve"> concentrations,</w:t>
      </w:r>
      <w:r w:rsidRPr="00637BBC">
        <w:t xml:space="preserve"> and 0 if beyond the confidence interval in the direction of communities representative of higher turbidity and </w:t>
      </w:r>
      <w:r w:rsidR="00FA70E2">
        <w:t>Chl</w:t>
      </w:r>
      <w:r w:rsidR="00372F57">
        <w:t xml:space="preserve"> </w:t>
      </w:r>
      <w:r w:rsidR="00372F57" w:rsidRPr="00372F57">
        <w:rPr>
          <w:i/>
        </w:rPr>
        <w:t>a</w:t>
      </w:r>
      <w:r w:rsidRPr="00637BBC">
        <w:t xml:space="preserve"> concentrations</w:t>
      </w:r>
      <w:r w:rsidR="000B3897">
        <w:t xml:space="preserve"> </w:t>
      </w:r>
      <w:r w:rsidR="005F51F9">
        <w:t>(</w:t>
      </w:r>
      <w:r w:rsidR="00963B73">
        <w:fldChar w:fldCharType="begin"/>
      </w:r>
      <w:r w:rsidR="00963B73">
        <w:instrText xml:space="preserve"> REF _Ref491160011 \h </w:instrText>
      </w:r>
      <w:r w:rsidR="00963B73">
        <w:fldChar w:fldCharType="separate"/>
      </w:r>
      <w:r w:rsidR="00D806F2">
        <w:t xml:space="preserve">Figure </w:t>
      </w:r>
      <w:r w:rsidR="00D806F2">
        <w:rPr>
          <w:noProof/>
        </w:rPr>
        <w:t>7</w:t>
      </w:r>
      <w:r w:rsidR="00963B73">
        <w:fldChar w:fldCharType="end"/>
      </w:r>
      <w:r w:rsidR="005F51F9">
        <w:t>)</w:t>
      </w:r>
      <w:r w:rsidRPr="00637BBC">
        <w:t>.</w:t>
      </w:r>
    </w:p>
    <w:p w14:paraId="11EA8FA0" w14:textId="77777777" w:rsidR="00567382" w:rsidRPr="00567382" w:rsidRDefault="006554A0" w:rsidP="00567382">
      <w:pPr>
        <w:spacing w:after="0"/>
        <w:jc w:val="left"/>
        <w:rPr>
          <w:rFonts w:cs="Arial"/>
        </w:rPr>
      </w:pPr>
      <w:r w:rsidRPr="00911C5B">
        <w:rPr>
          <w:rFonts w:cs="Arial"/>
          <w:noProof/>
          <w:lang w:val="en-AU" w:eastAsia="en-AU"/>
        </w:rPr>
        <w:drawing>
          <wp:inline distT="0" distB="0" distL="0" distR="0" wp14:anchorId="11EAB25D" wp14:editId="58C186B9">
            <wp:extent cx="3599695" cy="2877318"/>
            <wp:effectExtent l="0" t="0" r="1270" b="0"/>
            <wp:docPr id="242" name="Picture 242" descr="Diagram that describes the scoring and categorisation of the composition metric" title="Figure 7 Scoring diagram for the Composition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osition_scoring.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599695" cy="2877318"/>
                    </a:xfrm>
                    <a:prstGeom prst="rect">
                      <a:avLst/>
                    </a:prstGeom>
                  </pic:spPr>
                </pic:pic>
              </a:graphicData>
            </a:graphic>
          </wp:inline>
        </w:drawing>
      </w:r>
    </w:p>
    <w:p w14:paraId="11EA8FA1" w14:textId="16062F74" w:rsidR="006554A0" w:rsidRDefault="00963B73" w:rsidP="00963B73">
      <w:pPr>
        <w:pStyle w:val="Caption"/>
      </w:pPr>
      <w:bookmarkStart w:id="126" w:name="_Ref491160011"/>
      <w:bookmarkStart w:id="127" w:name="_Ref469727808"/>
      <w:bookmarkStart w:id="128" w:name="_Toc491846833"/>
      <w:r>
        <w:t xml:space="preserve">Figure </w:t>
      </w:r>
      <w:r>
        <w:fldChar w:fldCharType="begin"/>
      </w:r>
      <w:r>
        <w:instrText xml:space="preserve"> SEQ Figure \* ARABIC </w:instrText>
      </w:r>
      <w:r>
        <w:fldChar w:fldCharType="separate"/>
      </w:r>
      <w:r w:rsidR="00D806F2">
        <w:rPr>
          <w:noProof/>
        </w:rPr>
        <w:t>7</w:t>
      </w:r>
      <w:r>
        <w:fldChar w:fldCharType="end"/>
      </w:r>
      <w:bookmarkEnd w:id="126"/>
      <w:r>
        <w:t xml:space="preserve"> </w:t>
      </w:r>
      <w:r w:rsidRPr="00756CEF">
        <w:t>Scoring diagram for Community Composition metric</w:t>
      </w:r>
      <w:bookmarkEnd w:id="127"/>
      <w:bookmarkEnd w:id="128"/>
    </w:p>
    <w:p w14:paraId="11EA8FA3" w14:textId="2A203F03" w:rsidR="009D299C" w:rsidRPr="009F052E" w:rsidRDefault="00F109C3" w:rsidP="00B9528B">
      <w:pPr>
        <w:pStyle w:val="Heading3"/>
      </w:pPr>
      <w:bookmarkStart w:id="129" w:name="_Toc493153320"/>
      <w:r>
        <w:t>4.</w:t>
      </w:r>
      <w:r w:rsidR="000E09B7">
        <w:t>7.</w:t>
      </w:r>
      <w:r>
        <w:t xml:space="preserve">6 </w:t>
      </w:r>
      <w:r w:rsidR="00C83247">
        <w:t>A</w:t>
      </w:r>
      <w:r w:rsidR="009D299C" w:rsidRPr="009F052E">
        <w:t>ggregating indicator scores to regional scale assessments</w:t>
      </w:r>
      <w:bookmarkEnd w:id="129"/>
      <w:r w:rsidR="009D299C" w:rsidRPr="009F052E">
        <w:t xml:space="preserve"> </w:t>
      </w:r>
    </w:p>
    <w:p w14:paraId="11EA8FA4" w14:textId="77777777" w:rsidR="009D299C" w:rsidRPr="009F052E" w:rsidRDefault="009D299C" w:rsidP="009D299C">
      <w:pPr>
        <w:spacing w:after="100" w:afterAutospacing="1"/>
        <w:jc w:val="left"/>
      </w:pPr>
      <w:r w:rsidRPr="009F052E">
        <w:t xml:space="preserve">In aggregating scores for various indicators into a single index uncertainty should be considered. The degree of uncertainty in an index score derived for any spatial scale of interest will include uncertainty across multiple levels: from basic observational error, the relevance of thresholds and then variation in scores for different indicators or communities being assessed. </w:t>
      </w:r>
    </w:p>
    <w:p w14:paraId="11EA8FA5" w14:textId="20096933" w:rsidR="009D299C" w:rsidRPr="009F052E" w:rsidRDefault="009D299C" w:rsidP="009D299C">
      <w:pPr>
        <w:spacing w:after="100" w:afterAutospacing="1"/>
        <w:jc w:val="left"/>
        <w:rPr>
          <w:rFonts w:cs="LMSansQuot8-Regular"/>
        </w:rPr>
      </w:pPr>
      <w:r w:rsidRPr="009F052E">
        <w:t xml:space="preserve">In order to derive report card scores for </w:t>
      </w:r>
      <w:r w:rsidR="005825BB">
        <w:t>r</w:t>
      </w:r>
      <w:r w:rsidRPr="009F052E">
        <w:t>egions that propagated uncertainty through the double hierarchical aggregation of indicators and then reefs a bootstrapping method was adopted. Firstly, for each indicator a distribution of 10,000 observations was created by resampling (with replacement) from the observed scores for all reef and depth combinations within the Region. For the Wet Tropics where there are three sub-regions an additional step involved the adding together of the three 10,000 strong distributions for each indicator from each sub-region and resampling the resulting distributions (with replacement) 10,000 times to derive a single 10,000 strong distribution for each indicator at the regional scale.</w:t>
      </w:r>
      <w:r w:rsidR="00E75F5C">
        <w:t xml:space="preserve"> </w:t>
      </w:r>
      <w:r w:rsidRPr="009F052E">
        <w:t xml:space="preserve">Secondly these 5 resulting distributions </w:t>
      </w:r>
      <w:r w:rsidR="00FA70E2" w:rsidRPr="009F052E">
        <w:t xml:space="preserve">(one for each indicator) </w:t>
      </w:r>
      <w:r w:rsidR="00FA70E2">
        <w:t>w</w:t>
      </w:r>
      <w:r w:rsidRPr="009F052E">
        <w:t>ere added together and collectively resampled 10,000 times (with replacement) to derive a single distribution comprising 10,000 scores.</w:t>
      </w:r>
      <w:r w:rsidR="00E75F5C">
        <w:t xml:space="preserve"> </w:t>
      </w:r>
      <w:r w:rsidRPr="009F052E">
        <w:rPr>
          <w:rFonts w:cs="LMSansQuot8-Regular"/>
        </w:rPr>
        <w:t>Importantly, the large number of resamples ensures that the distributions accurately reflect the underlying data distributions and yet comprise a known number of items independent of the original input sizes. This ensures that all inputs have equal weights and aggregations are not biased towards inputs with more data (for example, all reefs and sub-regions contribute equally to region level aggregations despite the</w:t>
      </w:r>
      <w:r w:rsidR="00E15CCC">
        <w:rPr>
          <w:rFonts w:cs="LMSansQuot8-Regular"/>
        </w:rPr>
        <w:t>ir</w:t>
      </w:r>
      <w:r w:rsidRPr="009F052E">
        <w:rPr>
          <w:rFonts w:cs="LMSansQuot8-Regular"/>
        </w:rPr>
        <w:t xml:space="preserve"> being more reefs in some sub-regions than others</w:t>
      </w:r>
      <w:r w:rsidR="00E15CCC">
        <w:rPr>
          <w:rFonts w:cs="LMSansQuot8-Regular"/>
        </w:rPr>
        <w:t>)</w:t>
      </w:r>
      <w:r w:rsidRPr="009F052E">
        <w:rPr>
          <w:rFonts w:cs="LMSansQuot8-Regular"/>
        </w:rPr>
        <w:t>.</w:t>
      </w:r>
    </w:p>
    <w:p w14:paraId="11EA8FA6" w14:textId="6EDF895D" w:rsidR="009D299C" w:rsidRPr="009F052E" w:rsidRDefault="009D299C" w:rsidP="009D299C">
      <w:pPr>
        <w:autoSpaceDE w:val="0"/>
        <w:autoSpaceDN w:val="0"/>
        <w:adjustRightInd w:val="0"/>
        <w:spacing w:after="100" w:afterAutospacing="1"/>
        <w:jc w:val="left"/>
        <w:rPr>
          <w:rFonts w:cs="LMSansQuot8-Regular"/>
        </w:rPr>
      </w:pPr>
      <w:r w:rsidRPr="009F052E">
        <w:rPr>
          <w:rFonts w:cs="LMSansQuot8-Regular"/>
        </w:rPr>
        <w:t xml:space="preserve">The mean of the resulting distribution for the </w:t>
      </w:r>
      <w:r w:rsidR="000B3897">
        <w:rPr>
          <w:rFonts w:cs="LMSansQuot8-Regular"/>
        </w:rPr>
        <w:t>(</w:t>
      </w:r>
      <w:r w:rsidRPr="009F052E">
        <w:rPr>
          <w:rFonts w:cs="LMSansQuot8-Regular"/>
        </w:rPr>
        <w:t>s</w:t>
      </w:r>
      <w:r w:rsidR="000B3897">
        <w:rPr>
          <w:rFonts w:cs="LMSansQuot8-Regular"/>
        </w:rPr>
        <w:t>ub)-</w:t>
      </w:r>
      <w:r w:rsidR="005825BB">
        <w:rPr>
          <w:rFonts w:cs="LMSansQuot8-Regular"/>
        </w:rPr>
        <w:t>r</w:t>
      </w:r>
      <w:r w:rsidRPr="009F052E">
        <w:rPr>
          <w:rFonts w:cs="LMSansQuot8-Regular"/>
        </w:rPr>
        <w:t>egion was taken as the coral health index score. Confidence intervals are typically based on estimates of precision (such as standard error) rather than variance. Precision is itself an estimate of repeatability - in the case of precision of a mean; it is an estimate of the variance of repeated means. Hence, we can estimate precision by repeatedly resampling from the distribution and each time calculating a mean. However, the more times the distribution is resampled, the more means are generated and thus the lower the variance of means.</w:t>
      </w:r>
    </w:p>
    <w:p w14:paraId="11EA8FA7" w14:textId="67DC5BDC" w:rsidR="009D299C" w:rsidRPr="009F052E" w:rsidRDefault="009D299C" w:rsidP="009D299C">
      <w:pPr>
        <w:autoSpaceDE w:val="0"/>
        <w:autoSpaceDN w:val="0"/>
        <w:adjustRightInd w:val="0"/>
        <w:spacing w:after="100" w:afterAutospacing="1"/>
        <w:jc w:val="left"/>
        <w:rPr>
          <w:rFonts w:cs="LMSansQuot8-Regular"/>
        </w:rPr>
      </w:pPr>
      <w:r w:rsidRPr="009F052E">
        <w:rPr>
          <w:rFonts w:cs="LMSansQuot8-Regular"/>
        </w:rPr>
        <w:t>To generate estimates of precision (and thus confidence intervals) appropriate for the sc</w:t>
      </w:r>
      <w:r w:rsidR="00FA70E2">
        <w:rPr>
          <w:rFonts w:cs="LMSansQuot8-Regular"/>
        </w:rPr>
        <w:t>ale of the sampling design, it wa</w:t>
      </w:r>
      <w:r w:rsidRPr="009F052E">
        <w:rPr>
          <w:rFonts w:cs="LMSansQuot8-Regular"/>
        </w:rPr>
        <w:t>s necessary to resample the distribution once for every original input (e.g. resample in proportion to the original sample size). This sample size is calculated by tabulating the number of unique items in the distribution (</w:t>
      </w:r>
      <w:r w:rsidRPr="009F052E">
        <w:rPr>
          <w:rFonts w:cs="CMSSI10"/>
          <w:i/>
          <w:iCs/>
        </w:rPr>
        <w:t>t</w:t>
      </w:r>
      <w:r w:rsidRPr="009F052E">
        <w:rPr>
          <w:rFonts w:cs="LMSansQuot8-Regular"/>
        </w:rPr>
        <w:t>) and then summing the division of the tabulated values by their minimum.</w:t>
      </w:r>
    </w:p>
    <w:p w14:paraId="11EA8FA8" w14:textId="77777777" w:rsidR="009D299C" w:rsidRPr="009F052E" w:rsidRDefault="009D299C" w:rsidP="009D299C">
      <w:pPr>
        <w:spacing w:after="0"/>
        <w:jc w:val="left"/>
        <w:rPr>
          <w:rFonts w:cs="LMSansQuot8-Regular"/>
        </w:rPr>
      </w:pPr>
      <m:oMathPara>
        <m:oMath>
          <m:r>
            <w:rPr>
              <w:rFonts w:ascii="Cambria Math" w:hAnsi="Cambria Math" w:cs="LMSansQuot8-Regular"/>
            </w:rPr>
            <m:t xml:space="preserve">n= </m:t>
          </m:r>
          <m:nary>
            <m:naryPr>
              <m:chr m:val="∑"/>
              <m:limLoc m:val="undOvr"/>
              <m:subHide m:val="1"/>
              <m:supHide m:val="1"/>
              <m:ctrlPr>
                <w:rPr>
                  <w:rFonts w:ascii="Cambria Math" w:hAnsi="Cambria Math" w:cs="LMSansQuot8-Regular"/>
                  <w:i/>
                </w:rPr>
              </m:ctrlPr>
            </m:naryPr>
            <m:sub/>
            <m:sup/>
            <m:e>
              <m:f>
                <m:fPr>
                  <m:ctrlPr>
                    <w:rPr>
                      <w:rFonts w:ascii="Cambria Math" w:hAnsi="Cambria Math" w:cs="LMSansQuot8-Regular"/>
                      <w:i/>
                    </w:rPr>
                  </m:ctrlPr>
                </m:fPr>
                <m:num>
                  <m:r>
                    <w:rPr>
                      <w:rFonts w:ascii="Cambria Math" w:hAnsi="Cambria Math" w:cs="LMSansQuot8-Regular"/>
                    </w:rPr>
                    <m:t>t</m:t>
                  </m:r>
                </m:num>
                <m:den>
                  <m:r>
                    <m:rPr>
                      <m:sty m:val="p"/>
                    </m:rPr>
                    <w:rPr>
                      <w:rFonts w:ascii="Cambria Math" w:hAnsi="Cambria Math" w:cs="LMSansQuot8-Regular"/>
                    </w:rPr>
                    <m:t>min⁡</m:t>
                  </m:r>
                  <m:r>
                    <w:rPr>
                      <w:rFonts w:ascii="Cambria Math" w:hAnsi="Cambria Math" w:cs="LMSansQuot8-Regular"/>
                    </w:rPr>
                    <m:t>(t)</m:t>
                  </m:r>
                </m:den>
              </m:f>
            </m:e>
          </m:nary>
        </m:oMath>
      </m:oMathPara>
    </w:p>
    <w:p w14:paraId="11EA8FA9" w14:textId="77777777" w:rsidR="009D299C" w:rsidRDefault="009D299C" w:rsidP="009D299C">
      <w:pPr>
        <w:spacing w:after="0"/>
        <w:jc w:val="left"/>
        <w:rPr>
          <w:rFonts w:cs="LMSansQuot8-Regular"/>
        </w:rPr>
      </w:pPr>
      <w:r w:rsidRPr="009F052E">
        <w:rPr>
          <w:rFonts w:cs="LMSansQuot8-Regular"/>
        </w:rPr>
        <w:t>Confidence intervals were thence calculated as the 95% quantiles of repeated means.</w:t>
      </w:r>
    </w:p>
    <w:p w14:paraId="11EA8FAA" w14:textId="77777777" w:rsidR="009D45B4" w:rsidRPr="009F052E" w:rsidRDefault="009D45B4" w:rsidP="009D299C">
      <w:pPr>
        <w:spacing w:after="0"/>
        <w:jc w:val="left"/>
      </w:pPr>
    </w:p>
    <w:p w14:paraId="11EA8FAB" w14:textId="77777777" w:rsidR="009D299C" w:rsidRPr="009D45B4" w:rsidRDefault="009D299C" w:rsidP="009D299C">
      <w:pPr>
        <w:autoSpaceDE w:val="0"/>
        <w:autoSpaceDN w:val="0"/>
        <w:adjustRightInd w:val="0"/>
        <w:spacing w:after="0"/>
        <w:jc w:val="left"/>
        <w:rPr>
          <w:rFonts w:cs="Arial"/>
          <w:color w:val="000000"/>
          <w:szCs w:val="22"/>
          <w:lang w:eastAsia="en-GB"/>
        </w:rPr>
      </w:pPr>
      <w:r w:rsidRPr="009D45B4">
        <w:rPr>
          <w:rFonts w:cs="Arial"/>
          <w:color w:val="000000"/>
          <w:szCs w:val="22"/>
          <w:lang w:eastAsia="en-GB"/>
        </w:rPr>
        <w:t>Lastly index scores were converted to qualitative assessments by converting to a five point rating and colour scheme with scores of:</w:t>
      </w:r>
    </w:p>
    <w:p w14:paraId="11EA8FAC" w14:textId="77777777" w:rsidR="009D299C" w:rsidRPr="009D45B4" w:rsidRDefault="009D299C" w:rsidP="009D299C">
      <w:pPr>
        <w:numPr>
          <w:ilvl w:val="0"/>
          <w:numId w:val="26"/>
        </w:numPr>
        <w:autoSpaceDE w:val="0"/>
        <w:autoSpaceDN w:val="0"/>
        <w:adjustRightInd w:val="0"/>
        <w:spacing w:after="30"/>
        <w:jc w:val="left"/>
        <w:rPr>
          <w:rFonts w:cs="Arial"/>
          <w:color w:val="000000"/>
          <w:szCs w:val="22"/>
          <w:lang w:eastAsia="en-GB"/>
        </w:rPr>
      </w:pPr>
      <w:r w:rsidRPr="009D45B4">
        <w:rPr>
          <w:rFonts w:cs="Arial"/>
          <w:color w:val="000000"/>
          <w:szCs w:val="22"/>
          <w:lang w:eastAsia="en-GB"/>
        </w:rPr>
        <w:t xml:space="preserve">0 to 0.2 were rated as ‘very poor’ and coloured red </w:t>
      </w:r>
    </w:p>
    <w:p w14:paraId="11EA8FAD" w14:textId="77777777" w:rsidR="009D299C" w:rsidRPr="009D45B4" w:rsidRDefault="009D299C" w:rsidP="009D299C">
      <w:pPr>
        <w:numPr>
          <w:ilvl w:val="0"/>
          <w:numId w:val="26"/>
        </w:numPr>
        <w:autoSpaceDE w:val="0"/>
        <w:autoSpaceDN w:val="0"/>
        <w:adjustRightInd w:val="0"/>
        <w:spacing w:after="30"/>
        <w:jc w:val="left"/>
        <w:rPr>
          <w:rFonts w:cs="Arial"/>
          <w:color w:val="000000"/>
          <w:szCs w:val="22"/>
          <w:lang w:eastAsia="en-GB"/>
        </w:rPr>
      </w:pPr>
      <w:r w:rsidRPr="009D45B4">
        <w:rPr>
          <w:rFonts w:cs="Arial"/>
          <w:color w:val="000000"/>
          <w:szCs w:val="22"/>
          <w:lang w:eastAsia="en-GB"/>
        </w:rPr>
        <w:t xml:space="preserve">&gt;0.2 to 0.4 were rated as ‘poor’ and coloured orange </w:t>
      </w:r>
    </w:p>
    <w:p w14:paraId="11EA8FAE" w14:textId="77777777" w:rsidR="009D299C" w:rsidRPr="009D45B4" w:rsidRDefault="009D299C" w:rsidP="009D299C">
      <w:pPr>
        <w:numPr>
          <w:ilvl w:val="0"/>
          <w:numId w:val="26"/>
        </w:numPr>
        <w:autoSpaceDE w:val="0"/>
        <w:autoSpaceDN w:val="0"/>
        <w:adjustRightInd w:val="0"/>
        <w:spacing w:after="30"/>
        <w:jc w:val="left"/>
        <w:rPr>
          <w:rFonts w:cs="Arial"/>
          <w:color w:val="000000"/>
          <w:szCs w:val="22"/>
          <w:lang w:eastAsia="en-GB"/>
        </w:rPr>
      </w:pPr>
      <w:r w:rsidRPr="009D45B4">
        <w:rPr>
          <w:rFonts w:cs="Arial"/>
          <w:color w:val="000000"/>
          <w:szCs w:val="22"/>
          <w:lang w:eastAsia="en-GB"/>
        </w:rPr>
        <w:t xml:space="preserve">&gt;0.4 to 0.6 were rated as ‘moderate’ and coloured yellow </w:t>
      </w:r>
    </w:p>
    <w:p w14:paraId="11EA8FAF" w14:textId="77777777" w:rsidR="009D299C" w:rsidRPr="009D45B4" w:rsidRDefault="009D299C" w:rsidP="009D299C">
      <w:pPr>
        <w:numPr>
          <w:ilvl w:val="0"/>
          <w:numId w:val="26"/>
        </w:numPr>
        <w:autoSpaceDE w:val="0"/>
        <w:autoSpaceDN w:val="0"/>
        <w:adjustRightInd w:val="0"/>
        <w:spacing w:after="30"/>
        <w:jc w:val="left"/>
        <w:rPr>
          <w:rFonts w:cs="Arial"/>
          <w:color w:val="000000"/>
          <w:szCs w:val="22"/>
          <w:lang w:eastAsia="en-GB"/>
        </w:rPr>
      </w:pPr>
      <w:r w:rsidRPr="009D45B4">
        <w:rPr>
          <w:rFonts w:cs="Arial"/>
          <w:color w:val="000000"/>
          <w:szCs w:val="22"/>
          <w:lang w:eastAsia="en-GB"/>
        </w:rPr>
        <w:t xml:space="preserve">&gt;0.6 to 0.8 were rated as ‘good’, and coloured light green </w:t>
      </w:r>
    </w:p>
    <w:p w14:paraId="11EA8FB0" w14:textId="77777777" w:rsidR="009D299C" w:rsidRPr="009D45B4" w:rsidRDefault="009D299C" w:rsidP="009D299C">
      <w:pPr>
        <w:numPr>
          <w:ilvl w:val="0"/>
          <w:numId w:val="26"/>
        </w:numPr>
        <w:autoSpaceDE w:val="0"/>
        <w:autoSpaceDN w:val="0"/>
        <w:adjustRightInd w:val="0"/>
        <w:spacing w:after="0"/>
        <w:jc w:val="left"/>
        <w:rPr>
          <w:rFonts w:cs="Arial"/>
          <w:color w:val="000000"/>
          <w:szCs w:val="22"/>
          <w:lang w:eastAsia="en-GB"/>
        </w:rPr>
      </w:pPr>
      <w:r w:rsidRPr="009D45B4">
        <w:rPr>
          <w:rFonts w:cs="Arial"/>
          <w:color w:val="000000"/>
          <w:szCs w:val="22"/>
          <w:lang w:eastAsia="en-GB"/>
        </w:rPr>
        <w:t xml:space="preserve">&gt;0.8 were rated as ‘very good’ and coloured dark green. </w:t>
      </w:r>
    </w:p>
    <w:p w14:paraId="11EA8FB1" w14:textId="77777777" w:rsidR="009D299C" w:rsidRPr="009D45B4" w:rsidRDefault="009D299C" w:rsidP="000B3897">
      <w:pPr>
        <w:rPr>
          <w:rFonts w:cs="Arial"/>
        </w:rPr>
      </w:pPr>
    </w:p>
    <w:p w14:paraId="11EA8FB2" w14:textId="2306716C" w:rsidR="009D299C" w:rsidRPr="00F2665A" w:rsidRDefault="009D299C" w:rsidP="009D299C">
      <w:pPr>
        <w:spacing w:after="0"/>
        <w:jc w:val="left"/>
      </w:pPr>
      <w:r w:rsidRPr="00F2665A">
        <w:t>The indicators and the associated thresholds and scoring system utilised is summarised in</w:t>
      </w:r>
      <w:r w:rsidR="00D6497E">
        <w:t xml:space="preserve"> </w:t>
      </w:r>
      <w:r w:rsidR="00D6497E">
        <w:fldChar w:fldCharType="begin"/>
      </w:r>
      <w:r w:rsidR="00D6497E">
        <w:instrText xml:space="preserve"> REF _Ref491160202 \h </w:instrText>
      </w:r>
      <w:r w:rsidR="00D6497E">
        <w:fldChar w:fldCharType="separate"/>
      </w:r>
      <w:r w:rsidR="00D806F2">
        <w:t xml:space="preserve">Table </w:t>
      </w:r>
      <w:r w:rsidR="00D806F2">
        <w:rPr>
          <w:noProof/>
        </w:rPr>
        <w:t>6</w:t>
      </w:r>
      <w:r w:rsidR="00D6497E">
        <w:fldChar w:fldCharType="end"/>
      </w:r>
      <w:r w:rsidRPr="00F2665A">
        <w:t xml:space="preserve">. </w:t>
      </w:r>
      <w:r>
        <w:t>We note that</w:t>
      </w:r>
      <w:r w:rsidRPr="00F2665A">
        <w:t xml:space="preserve"> the community composition indicator is likely to respond over longer time frames than the other indicators due to the inertia in community composition imposed by long lived coral species.</w:t>
      </w:r>
    </w:p>
    <w:p w14:paraId="11EA8FB3" w14:textId="77777777" w:rsidR="009D299C" w:rsidRPr="00F2665A" w:rsidRDefault="009D299C" w:rsidP="009D299C">
      <w:pPr>
        <w:spacing w:after="0"/>
        <w:jc w:val="left"/>
      </w:pPr>
    </w:p>
    <w:p w14:paraId="74447ABC" w14:textId="52D60A7A" w:rsidR="00D6497E" w:rsidRDefault="00D6497E" w:rsidP="00D6497E">
      <w:pPr>
        <w:pStyle w:val="Caption"/>
      </w:pPr>
      <w:bookmarkStart w:id="130" w:name="_Ref491160202"/>
      <w:bookmarkStart w:id="131" w:name="_Toc491847025"/>
      <w:bookmarkStart w:id="132" w:name="_Ref469727560"/>
      <w:r>
        <w:t xml:space="preserve">Table </w:t>
      </w:r>
      <w:r>
        <w:fldChar w:fldCharType="begin"/>
      </w:r>
      <w:r>
        <w:instrText xml:space="preserve"> SEQ Table \* ARABIC </w:instrText>
      </w:r>
      <w:r>
        <w:fldChar w:fldCharType="separate"/>
      </w:r>
      <w:r w:rsidR="00D806F2">
        <w:rPr>
          <w:noProof/>
        </w:rPr>
        <w:t>6</w:t>
      </w:r>
      <w:r>
        <w:fldChar w:fldCharType="end"/>
      </w:r>
      <w:bookmarkEnd w:id="130"/>
      <w:r>
        <w:t xml:space="preserve"> </w:t>
      </w:r>
      <w:r w:rsidRPr="00293046">
        <w:t>Threshold values for the assessment of coral reef condition and resilience indicators.</w:t>
      </w:r>
      <w:bookmarkEnd w:id="131"/>
    </w:p>
    <w:tbl>
      <w:tblPr>
        <w:tblW w:w="9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Pr>
      <w:tblGrid>
        <w:gridCol w:w="2609"/>
        <w:gridCol w:w="2410"/>
        <w:gridCol w:w="4110"/>
      </w:tblGrid>
      <w:tr w:rsidR="009D299C" w14:paraId="11EA8FBA" w14:textId="77777777" w:rsidTr="00D72A37">
        <w:tc>
          <w:tcPr>
            <w:tcW w:w="2609" w:type="dxa"/>
            <w:shd w:val="clear" w:color="auto" w:fill="E6E6E6"/>
            <w:noWrap/>
            <w:tcMar>
              <w:left w:w="57" w:type="dxa"/>
              <w:right w:w="57" w:type="dxa"/>
            </w:tcMar>
          </w:tcPr>
          <w:bookmarkEnd w:id="132"/>
          <w:p w14:paraId="11EA8FB7" w14:textId="77777777" w:rsidR="009D299C" w:rsidRDefault="009D299C" w:rsidP="00D72A37">
            <w:pPr>
              <w:tabs>
                <w:tab w:val="left" w:pos="1152"/>
                <w:tab w:val="right" w:leader="dot" w:pos="8640"/>
              </w:tabs>
              <w:spacing w:before="100" w:beforeAutospacing="1" w:after="100" w:afterAutospacing="1"/>
              <w:contextualSpacing/>
              <w:jc w:val="left"/>
              <w:rPr>
                <w:rFonts w:ascii="Arial Narrow" w:hAnsi="Arial Narrow"/>
                <w:b/>
                <w:sz w:val="20"/>
              </w:rPr>
            </w:pPr>
            <w:r>
              <w:rPr>
                <w:rFonts w:ascii="Arial Narrow" w:hAnsi="Arial Narrow"/>
                <w:b/>
                <w:sz w:val="20"/>
              </w:rPr>
              <w:t>Community attribute</w:t>
            </w:r>
          </w:p>
        </w:tc>
        <w:tc>
          <w:tcPr>
            <w:tcW w:w="2410" w:type="dxa"/>
            <w:shd w:val="clear" w:color="auto" w:fill="E6E6E6"/>
            <w:noWrap/>
            <w:tcMar>
              <w:left w:w="57" w:type="dxa"/>
              <w:right w:w="57" w:type="dxa"/>
            </w:tcMar>
          </w:tcPr>
          <w:p w14:paraId="11EA8FB8" w14:textId="77777777" w:rsidR="009D299C" w:rsidRDefault="009D299C" w:rsidP="00D72A37">
            <w:pPr>
              <w:tabs>
                <w:tab w:val="left" w:pos="1152"/>
                <w:tab w:val="right" w:leader="dot" w:pos="8640"/>
              </w:tabs>
              <w:spacing w:before="100" w:beforeAutospacing="1" w:after="100" w:afterAutospacing="1"/>
              <w:contextualSpacing/>
              <w:jc w:val="left"/>
              <w:rPr>
                <w:rFonts w:ascii="Arial Narrow" w:hAnsi="Arial Narrow"/>
                <w:b/>
                <w:sz w:val="20"/>
              </w:rPr>
            </w:pPr>
            <w:r>
              <w:rPr>
                <w:rFonts w:ascii="Arial Narrow" w:hAnsi="Arial Narrow"/>
                <w:b/>
                <w:sz w:val="20"/>
              </w:rPr>
              <w:t>Score</w:t>
            </w:r>
          </w:p>
        </w:tc>
        <w:tc>
          <w:tcPr>
            <w:tcW w:w="4110" w:type="dxa"/>
            <w:shd w:val="clear" w:color="auto" w:fill="E6E6E6"/>
            <w:tcMar>
              <w:left w:w="57" w:type="dxa"/>
              <w:right w:w="57" w:type="dxa"/>
            </w:tcMar>
          </w:tcPr>
          <w:p w14:paraId="11EA8FB9" w14:textId="77777777" w:rsidR="009D299C" w:rsidRDefault="009D299C" w:rsidP="00D72A37">
            <w:pPr>
              <w:tabs>
                <w:tab w:val="left" w:pos="1152"/>
                <w:tab w:val="right" w:leader="dot" w:pos="8640"/>
              </w:tabs>
              <w:spacing w:before="100" w:beforeAutospacing="1" w:after="100" w:afterAutospacing="1"/>
              <w:contextualSpacing/>
              <w:jc w:val="left"/>
              <w:rPr>
                <w:rFonts w:ascii="Arial Narrow" w:hAnsi="Arial Narrow"/>
                <w:b/>
                <w:sz w:val="20"/>
              </w:rPr>
            </w:pPr>
            <w:r>
              <w:rPr>
                <w:rFonts w:ascii="Arial Narrow" w:hAnsi="Arial Narrow"/>
                <w:b/>
                <w:sz w:val="20"/>
              </w:rPr>
              <w:t>Thresholds</w:t>
            </w:r>
          </w:p>
        </w:tc>
      </w:tr>
      <w:tr w:rsidR="00D6497E" w14:paraId="6943CEBA" w14:textId="77777777" w:rsidTr="00D6497E">
        <w:tc>
          <w:tcPr>
            <w:tcW w:w="2609" w:type="dxa"/>
            <w:vMerge w:val="restart"/>
            <w:shd w:val="clear" w:color="auto" w:fill="auto"/>
            <w:noWrap/>
            <w:tcMar>
              <w:left w:w="57" w:type="dxa"/>
              <w:right w:w="57" w:type="dxa"/>
            </w:tcMar>
          </w:tcPr>
          <w:p w14:paraId="68CE3A7F" w14:textId="4DFCD024" w:rsidR="00D6497E" w:rsidRDefault="00D6497E" w:rsidP="00D72A37">
            <w:pPr>
              <w:tabs>
                <w:tab w:val="left" w:pos="1152"/>
                <w:tab w:val="right" w:leader="dot" w:pos="8640"/>
              </w:tabs>
              <w:spacing w:before="100" w:beforeAutospacing="1" w:after="100" w:afterAutospacing="1"/>
              <w:contextualSpacing/>
              <w:jc w:val="left"/>
              <w:rPr>
                <w:rFonts w:ascii="Arial Narrow" w:hAnsi="Arial Narrow"/>
                <w:b/>
                <w:sz w:val="20"/>
              </w:rPr>
            </w:pPr>
            <w:r w:rsidRPr="00B03615">
              <w:rPr>
                <w:rFonts w:ascii="Arial Narrow" w:hAnsi="Arial Narrow"/>
                <w:sz w:val="20"/>
              </w:rPr>
              <w:t>Combined hard and soft coral cover</w:t>
            </w:r>
          </w:p>
        </w:tc>
        <w:tc>
          <w:tcPr>
            <w:tcW w:w="2410" w:type="dxa"/>
            <w:vMerge w:val="restart"/>
            <w:shd w:val="clear" w:color="auto" w:fill="auto"/>
            <w:noWrap/>
            <w:tcMar>
              <w:left w:w="57" w:type="dxa"/>
              <w:right w:w="57" w:type="dxa"/>
            </w:tcMar>
          </w:tcPr>
          <w:p w14:paraId="4AA6F912" w14:textId="6BD6F2CA" w:rsidR="00D6497E" w:rsidRDefault="00D73026" w:rsidP="00D72A37">
            <w:pPr>
              <w:tabs>
                <w:tab w:val="left" w:pos="1152"/>
                <w:tab w:val="right" w:leader="dot" w:pos="8640"/>
              </w:tabs>
              <w:spacing w:before="100" w:beforeAutospacing="1" w:after="100" w:afterAutospacing="1"/>
              <w:contextualSpacing/>
              <w:jc w:val="left"/>
              <w:rPr>
                <w:rFonts w:ascii="Arial Narrow" w:hAnsi="Arial Narrow"/>
                <w:b/>
                <w:sz w:val="20"/>
              </w:rPr>
            </w:pPr>
            <w:r w:rsidRPr="00B03615">
              <w:rPr>
                <w:rFonts w:ascii="Arial Narrow" w:hAnsi="Arial Narrow"/>
                <w:sz w:val="20"/>
              </w:rPr>
              <w:t>Continuous between 0-1</w:t>
            </w:r>
          </w:p>
        </w:tc>
        <w:tc>
          <w:tcPr>
            <w:tcW w:w="4110" w:type="dxa"/>
            <w:shd w:val="clear" w:color="auto" w:fill="auto"/>
            <w:tcMar>
              <w:left w:w="57" w:type="dxa"/>
              <w:right w:w="57" w:type="dxa"/>
            </w:tcMar>
          </w:tcPr>
          <w:p w14:paraId="02AE06B4" w14:textId="70067F6E" w:rsidR="00D6497E" w:rsidRDefault="00D73026" w:rsidP="00D72A37">
            <w:pPr>
              <w:tabs>
                <w:tab w:val="left" w:pos="1152"/>
                <w:tab w:val="right" w:leader="dot" w:pos="8640"/>
              </w:tabs>
              <w:spacing w:before="100" w:beforeAutospacing="1" w:after="100" w:afterAutospacing="1"/>
              <w:contextualSpacing/>
              <w:jc w:val="left"/>
              <w:rPr>
                <w:rFonts w:ascii="Arial Narrow" w:hAnsi="Arial Narrow"/>
                <w:b/>
                <w:sz w:val="20"/>
              </w:rPr>
            </w:pPr>
            <w:r w:rsidRPr="00B03615">
              <w:rPr>
                <w:rFonts w:ascii="Arial Narrow" w:hAnsi="Arial Narrow"/>
                <w:sz w:val="20"/>
              </w:rPr>
              <w:t>1 at 75% cover</w:t>
            </w:r>
            <w:r w:rsidR="00E75F5C">
              <w:rPr>
                <w:rFonts w:ascii="Arial Narrow" w:hAnsi="Arial Narrow"/>
                <w:sz w:val="20"/>
              </w:rPr>
              <w:t xml:space="preserve"> </w:t>
            </w:r>
            <w:r w:rsidRPr="00B03615">
              <w:rPr>
                <w:rFonts w:ascii="Arial Narrow" w:hAnsi="Arial Narrow"/>
                <w:sz w:val="20"/>
              </w:rPr>
              <w:t>or greater</w:t>
            </w:r>
          </w:p>
        </w:tc>
      </w:tr>
      <w:tr w:rsidR="00D6497E" w14:paraId="400EC28E" w14:textId="77777777" w:rsidTr="00D6497E">
        <w:tc>
          <w:tcPr>
            <w:tcW w:w="2609" w:type="dxa"/>
            <w:vMerge/>
            <w:shd w:val="clear" w:color="auto" w:fill="auto"/>
            <w:noWrap/>
            <w:tcMar>
              <w:left w:w="57" w:type="dxa"/>
              <w:right w:w="57" w:type="dxa"/>
            </w:tcMar>
          </w:tcPr>
          <w:p w14:paraId="053202AD" w14:textId="77777777" w:rsidR="00D6497E" w:rsidRDefault="00D6497E" w:rsidP="00D72A37">
            <w:pPr>
              <w:tabs>
                <w:tab w:val="left" w:pos="1152"/>
                <w:tab w:val="right" w:leader="dot" w:pos="8640"/>
              </w:tabs>
              <w:spacing w:before="100" w:beforeAutospacing="1" w:after="100" w:afterAutospacing="1"/>
              <w:contextualSpacing/>
              <w:jc w:val="left"/>
              <w:rPr>
                <w:rFonts w:ascii="Arial Narrow" w:hAnsi="Arial Narrow"/>
                <w:b/>
                <w:sz w:val="20"/>
              </w:rPr>
            </w:pPr>
          </w:p>
        </w:tc>
        <w:tc>
          <w:tcPr>
            <w:tcW w:w="2410" w:type="dxa"/>
            <w:vMerge/>
            <w:shd w:val="clear" w:color="auto" w:fill="auto"/>
            <w:noWrap/>
            <w:tcMar>
              <w:left w:w="57" w:type="dxa"/>
              <w:right w:w="57" w:type="dxa"/>
            </w:tcMar>
          </w:tcPr>
          <w:p w14:paraId="6A9D53CD" w14:textId="77777777" w:rsidR="00D6497E" w:rsidRDefault="00D6497E" w:rsidP="00D72A37">
            <w:pPr>
              <w:tabs>
                <w:tab w:val="left" w:pos="1152"/>
                <w:tab w:val="right" w:leader="dot" w:pos="8640"/>
              </w:tabs>
              <w:spacing w:before="100" w:beforeAutospacing="1" w:after="100" w:afterAutospacing="1"/>
              <w:contextualSpacing/>
              <w:jc w:val="left"/>
              <w:rPr>
                <w:rFonts w:ascii="Arial Narrow" w:hAnsi="Arial Narrow"/>
                <w:b/>
                <w:sz w:val="20"/>
              </w:rPr>
            </w:pPr>
          </w:p>
        </w:tc>
        <w:tc>
          <w:tcPr>
            <w:tcW w:w="4110" w:type="dxa"/>
            <w:shd w:val="clear" w:color="auto" w:fill="auto"/>
            <w:tcMar>
              <w:left w:w="57" w:type="dxa"/>
              <w:right w:w="57" w:type="dxa"/>
            </w:tcMar>
          </w:tcPr>
          <w:p w14:paraId="30A4DF14" w14:textId="348033A7" w:rsidR="00D6497E" w:rsidRDefault="00D73026" w:rsidP="00D72A37">
            <w:pPr>
              <w:tabs>
                <w:tab w:val="left" w:pos="1152"/>
                <w:tab w:val="right" w:leader="dot" w:pos="8640"/>
              </w:tabs>
              <w:spacing w:before="100" w:beforeAutospacing="1" w:after="100" w:afterAutospacing="1"/>
              <w:contextualSpacing/>
              <w:jc w:val="left"/>
              <w:rPr>
                <w:rFonts w:ascii="Arial Narrow" w:hAnsi="Arial Narrow"/>
                <w:b/>
                <w:sz w:val="20"/>
              </w:rPr>
            </w:pPr>
            <w:r w:rsidRPr="00B03615">
              <w:rPr>
                <w:rFonts w:ascii="Arial Narrow" w:hAnsi="Arial Narrow"/>
                <w:sz w:val="20"/>
              </w:rPr>
              <w:t>0 at zero cover</w:t>
            </w:r>
          </w:p>
        </w:tc>
      </w:tr>
      <w:tr w:rsidR="009D299C" w14:paraId="11EA8FCA" w14:textId="77777777" w:rsidTr="00D6497E">
        <w:trPr>
          <w:cantSplit/>
        </w:trPr>
        <w:tc>
          <w:tcPr>
            <w:tcW w:w="2609" w:type="dxa"/>
            <w:vMerge w:val="restart"/>
            <w:noWrap/>
            <w:tcMar>
              <w:left w:w="57" w:type="dxa"/>
              <w:right w:w="57" w:type="dxa"/>
            </w:tcMar>
          </w:tcPr>
          <w:p w14:paraId="11EA8FC7" w14:textId="77777777" w:rsidR="009D299C" w:rsidRPr="00B03615" w:rsidRDefault="009D299C" w:rsidP="00D72A37">
            <w:pPr>
              <w:tabs>
                <w:tab w:val="left" w:pos="1152"/>
                <w:tab w:val="right" w:leader="dot" w:pos="8640"/>
              </w:tabs>
              <w:spacing w:before="100" w:beforeAutospacing="1" w:after="100" w:afterAutospacing="1"/>
              <w:contextualSpacing/>
              <w:jc w:val="left"/>
              <w:rPr>
                <w:rFonts w:ascii="Arial Narrow" w:hAnsi="Arial Narrow"/>
                <w:sz w:val="20"/>
              </w:rPr>
            </w:pPr>
            <w:r w:rsidRPr="00B03615">
              <w:rPr>
                <w:rFonts w:ascii="Arial Narrow" w:hAnsi="Arial Narrow"/>
                <w:sz w:val="20"/>
              </w:rPr>
              <w:t>Rate of increase in hard coral cover (preceding 4 years)</w:t>
            </w:r>
          </w:p>
        </w:tc>
        <w:tc>
          <w:tcPr>
            <w:tcW w:w="2410" w:type="dxa"/>
            <w:noWrap/>
            <w:tcMar>
              <w:left w:w="57" w:type="dxa"/>
              <w:right w:w="57" w:type="dxa"/>
            </w:tcMar>
            <w:vAlign w:val="center"/>
          </w:tcPr>
          <w:p w14:paraId="11EA8FC8"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1</w:t>
            </w:r>
          </w:p>
        </w:tc>
        <w:tc>
          <w:tcPr>
            <w:tcW w:w="4110" w:type="dxa"/>
            <w:tcMar>
              <w:left w:w="57" w:type="dxa"/>
              <w:right w:w="57" w:type="dxa"/>
            </w:tcMar>
            <w:vAlign w:val="center"/>
          </w:tcPr>
          <w:p w14:paraId="11EA8FC9" w14:textId="54929CA9"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Change</w:t>
            </w:r>
            <w:r w:rsidR="00E75F5C">
              <w:rPr>
                <w:rFonts w:ascii="Arial Narrow" w:hAnsi="Arial Narrow"/>
                <w:sz w:val="20"/>
              </w:rPr>
              <w:t xml:space="preserve"> </w:t>
            </w:r>
            <w:r w:rsidRPr="00B03615">
              <w:rPr>
                <w:rFonts w:ascii="Arial Narrow" w:hAnsi="Arial Narrow"/>
                <w:sz w:val="20"/>
              </w:rPr>
              <w:t>&gt; 2x upper 95% CI of predicted change</w:t>
            </w:r>
          </w:p>
        </w:tc>
      </w:tr>
      <w:tr w:rsidR="009D299C" w14:paraId="11EA8FCE" w14:textId="77777777" w:rsidTr="00D6497E">
        <w:trPr>
          <w:cantSplit/>
        </w:trPr>
        <w:tc>
          <w:tcPr>
            <w:tcW w:w="2609" w:type="dxa"/>
            <w:vMerge/>
            <w:noWrap/>
            <w:tcMar>
              <w:left w:w="57" w:type="dxa"/>
              <w:right w:w="57" w:type="dxa"/>
            </w:tcMar>
          </w:tcPr>
          <w:p w14:paraId="11EA8FCB" w14:textId="77777777" w:rsidR="009D299C" w:rsidRPr="00B03615" w:rsidRDefault="009D299C" w:rsidP="00D72A37">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11EA8FCC"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Continuous between 0.6 and 0.9</w:t>
            </w:r>
          </w:p>
        </w:tc>
        <w:tc>
          <w:tcPr>
            <w:tcW w:w="4110" w:type="dxa"/>
            <w:tcMar>
              <w:left w:w="57" w:type="dxa"/>
              <w:right w:w="57" w:type="dxa"/>
            </w:tcMar>
            <w:vAlign w:val="center"/>
          </w:tcPr>
          <w:p w14:paraId="11EA8FCD"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Change between upper 95% CI and 2x upper 95% CI</w:t>
            </w:r>
          </w:p>
        </w:tc>
      </w:tr>
      <w:tr w:rsidR="009D299C" w14:paraId="11EA8FD2" w14:textId="77777777" w:rsidTr="00D6497E">
        <w:trPr>
          <w:cantSplit/>
        </w:trPr>
        <w:tc>
          <w:tcPr>
            <w:tcW w:w="2609" w:type="dxa"/>
            <w:vMerge/>
            <w:noWrap/>
            <w:tcMar>
              <w:left w:w="57" w:type="dxa"/>
              <w:right w:w="57" w:type="dxa"/>
            </w:tcMar>
          </w:tcPr>
          <w:p w14:paraId="11EA8FCF" w14:textId="77777777" w:rsidR="009D299C" w:rsidRPr="00B03615" w:rsidRDefault="009D299C" w:rsidP="00D72A37">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11EA8FD0"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Continuous between 0.4 and 0.6</w:t>
            </w:r>
          </w:p>
        </w:tc>
        <w:tc>
          <w:tcPr>
            <w:tcW w:w="4110" w:type="dxa"/>
            <w:tcMar>
              <w:left w:w="57" w:type="dxa"/>
              <w:right w:w="57" w:type="dxa"/>
            </w:tcMar>
            <w:vAlign w:val="center"/>
          </w:tcPr>
          <w:p w14:paraId="11EA8FD1"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Change within 95% CI of the predicted change</w:t>
            </w:r>
          </w:p>
        </w:tc>
      </w:tr>
      <w:tr w:rsidR="009D299C" w14:paraId="11EA8FD6" w14:textId="77777777" w:rsidTr="00D6497E">
        <w:trPr>
          <w:cantSplit/>
        </w:trPr>
        <w:tc>
          <w:tcPr>
            <w:tcW w:w="2609" w:type="dxa"/>
            <w:vMerge/>
            <w:noWrap/>
            <w:tcMar>
              <w:left w:w="57" w:type="dxa"/>
              <w:right w:w="57" w:type="dxa"/>
            </w:tcMar>
          </w:tcPr>
          <w:p w14:paraId="11EA8FD3" w14:textId="77777777" w:rsidR="009D299C" w:rsidRPr="00B03615" w:rsidRDefault="009D299C" w:rsidP="00D72A37">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11EA8FD4"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Continuous between 0.1 and 0.4</w:t>
            </w:r>
          </w:p>
        </w:tc>
        <w:tc>
          <w:tcPr>
            <w:tcW w:w="4110" w:type="dxa"/>
            <w:tcMar>
              <w:left w:w="57" w:type="dxa"/>
              <w:right w:w="57" w:type="dxa"/>
            </w:tcMar>
            <w:vAlign w:val="center"/>
          </w:tcPr>
          <w:p w14:paraId="11EA8FD5" w14:textId="6D2F134D"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Change between lower</w:t>
            </w:r>
            <w:r w:rsidR="00E75F5C">
              <w:rPr>
                <w:rFonts w:ascii="Arial Narrow" w:hAnsi="Arial Narrow"/>
                <w:sz w:val="20"/>
              </w:rPr>
              <w:t xml:space="preserve"> </w:t>
            </w:r>
            <w:r w:rsidRPr="00B03615">
              <w:rPr>
                <w:rFonts w:ascii="Arial Narrow" w:hAnsi="Arial Narrow"/>
                <w:sz w:val="20"/>
              </w:rPr>
              <w:t>95% CI and 2x lower</w:t>
            </w:r>
            <w:r w:rsidR="00E75F5C">
              <w:rPr>
                <w:rFonts w:ascii="Arial Narrow" w:hAnsi="Arial Narrow"/>
                <w:sz w:val="20"/>
              </w:rPr>
              <w:t xml:space="preserve"> </w:t>
            </w:r>
            <w:r w:rsidRPr="00B03615">
              <w:rPr>
                <w:rFonts w:ascii="Arial Narrow" w:hAnsi="Arial Narrow"/>
                <w:sz w:val="20"/>
              </w:rPr>
              <w:t>95% CI</w:t>
            </w:r>
          </w:p>
        </w:tc>
      </w:tr>
      <w:tr w:rsidR="009D299C" w14:paraId="11EA8FDA" w14:textId="77777777" w:rsidTr="00D72A37">
        <w:tc>
          <w:tcPr>
            <w:tcW w:w="2609" w:type="dxa"/>
            <w:vMerge/>
            <w:noWrap/>
            <w:tcMar>
              <w:left w:w="57" w:type="dxa"/>
              <w:right w:w="57" w:type="dxa"/>
            </w:tcMar>
          </w:tcPr>
          <w:p w14:paraId="11EA8FD7" w14:textId="77777777" w:rsidR="009D299C" w:rsidRPr="00B03615" w:rsidRDefault="009D299C" w:rsidP="00D72A37">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11EA8FD8"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0</w:t>
            </w:r>
          </w:p>
        </w:tc>
        <w:tc>
          <w:tcPr>
            <w:tcW w:w="4110" w:type="dxa"/>
            <w:tcMar>
              <w:left w:w="57" w:type="dxa"/>
              <w:right w:w="57" w:type="dxa"/>
            </w:tcMar>
            <w:vAlign w:val="center"/>
          </w:tcPr>
          <w:p w14:paraId="11EA8FD9"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change &lt; 2x lower 95% CI of predicted change</w:t>
            </w:r>
          </w:p>
        </w:tc>
      </w:tr>
      <w:tr w:rsidR="00D6497E" w14:paraId="6B240C78" w14:textId="77777777" w:rsidTr="00D72A37">
        <w:tc>
          <w:tcPr>
            <w:tcW w:w="2609" w:type="dxa"/>
            <w:noWrap/>
            <w:tcMar>
              <w:left w:w="57" w:type="dxa"/>
              <w:right w:w="57" w:type="dxa"/>
            </w:tcMar>
          </w:tcPr>
          <w:p w14:paraId="61020970" w14:textId="3A06D66A" w:rsidR="00D6497E" w:rsidRPr="00B03615" w:rsidRDefault="00D6497E" w:rsidP="00D72A37">
            <w:pPr>
              <w:tabs>
                <w:tab w:val="left" w:pos="1152"/>
                <w:tab w:val="right" w:leader="dot" w:pos="8640"/>
              </w:tabs>
              <w:spacing w:before="100" w:beforeAutospacing="1" w:after="100" w:afterAutospacing="1"/>
              <w:contextualSpacing/>
              <w:jc w:val="left"/>
              <w:rPr>
                <w:rFonts w:ascii="Arial Narrow" w:hAnsi="Arial Narrow"/>
                <w:sz w:val="20"/>
              </w:rPr>
            </w:pPr>
            <w:r w:rsidRPr="00B03615">
              <w:rPr>
                <w:rFonts w:ascii="Arial Narrow" w:hAnsi="Arial Narrow"/>
                <w:sz w:val="20"/>
              </w:rPr>
              <w:t>Proportion of algae cover classified as Macroalgae</w:t>
            </w:r>
          </w:p>
        </w:tc>
        <w:tc>
          <w:tcPr>
            <w:tcW w:w="2410" w:type="dxa"/>
            <w:noWrap/>
            <w:tcMar>
              <w:left w:w="57" w:type="dxa"/>
              <w:right w:w="57" w:type="dxa"/>
            </w:tcMar>
            <w:vAlign w:val="center"/>
          </w:tcPr>
          <w:p w14:paraId="2630F2C5" w14:textId="77ADC759" w:rsidR="00D6497E" w:rsidRPr="00B03615" w:rsidRDefault="00D6497E"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Continuous between 0-1</w:t>
            </w:r>
          </w:p>
        </w:tc>
        <w:tc>
          <w:tcPr>
            <w:tcW w:w="4110" w:type="dxa"/>
            <w:tcMar>
              <w:left w:w="57" w:type="dxa"/>
              <w:right w:w="57" w:type="dxa"/>
            </w:tcMar>
            <w:vAlign w:val="center"/>
          </w:tcPr>
          <w:p w14:paraId="3EDE2451" w14:textId="59E1ED4F" w:rsidR="00D6497E" w:rsidRPr="00B03615" w:rsidRDefault="00D6497E"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 xml:space="preserve">≤ reef specific lower bound </w:t>
            </w:r>
            <w:r>
              <w:rPr>
                <w:rFonts w:ascii="Arial Narrow" w:hAnsi="Arial Narrow"/>
                <w:sz w:val="20"/>
              </w:rPr>
              <w:t>and ≥ reef specific upper bound</w:t>
            </w:r>
          </w:p>
        </w:tc>
      </w:tr>
      <w:tr w:rsidR="009D299C" w14:paraId="11EA8FEA" w14:textId="77777777" w:rsidTr="00D72A37">
        <w:tc>
          <w:tcPr>
            <w:tcW w:w="2609" w:type="dxa"/>
            <w:vMerge w:val="restart"/>
            <w:noWrap/>
            <w:tcMar>
              <w:left w:w="57" w:type="dxa"/>
              <w:right w:w="57" w:type="dxa"/>
            </w:tcMar>
          </w:tcPr>
          <w:p w14:paraId="11EA8FE7" w14:textId="261309BE" w:rsidR="009D299C" w:rsidRPr="00B03615" w:rsidRDefault="009D299C" w:rsidP="00D72A37">
            <w:pPr>
              <w:tabs>
                <w:tab w:val="left" w:pos="1152"/>
                <w:tab w:val="right" w:leader="dot" w:pos="8640"/>
              </w:tabs>
              <w:spacing w:before="100" w:beforeAutospacing="1" w:after="100" w:afterAutospacing="1"/>
              <w:contextualSpacing/>
              <w:jc w:val="left"/>
              <w:rPr>
                <w:rFonts w:ascii="Arial Narrow" w:hAnsi="Arial Narrow"/>
                <w:sz w:val="20"/>
              </w:rPr>
            </w:pPr>
            <w:r w:rsidRPr="00B03615">
              <w:rPr>
                <w:rFonts w:ascii="Arial Narrow" w:hAnsi="Arial Narrow"/>
                <w:sz w:val="20"/>
              </w:rPr>
              <w:t>Density of hard coral juveniles (&lt;</w:t>
            </w:r>
            <w:r w:rsidR="00AA72A3">
              <w:rPr>
                <w:rFonts w:ascii="Arial Narrow" w:hAnsi="Arial Narrow"/>
                <w:sz w:val="20"/>
              </w:rPr>
              <w:t>5 cm</w:t>
            </w:r>
            <w:r w:rsidRPr="00B03615">
              <w:rPr>
                <w:rFonts w:ascii="Arial Narrow" w:hAnsi="Arial Narrow"/>
                <w:sz w:val="20"/>
              </w:rPr>
              <w:t xml:space="preserve"> diameter)</w:t>
            </w:r>
          </w:p>
        </w:tc>
        <w:tc>
          <w:tcPr>
            <w:tcW w:w="2410" w:type="dxa"/>
            <w:noWrap/>
            <w:tcMar>
              <w:left w:w="57" w:type="dxa"/>
              <w:right w:w="57" w:type="dxa"/>
            </w:tcMar>
            <w:vAlign w:val="center"/>
          </w:tcPr>
          <w:p w14:paraId="11EA8FE8"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1</w:t>
            </w:r>
          </w:p>
        </w:tc>
        <w:tc>
          <w:tcPr>
            <w:tcW w:w="4110" w:type="dxa"/>
            <w:tcMar>
              <w:left w:w="57" w:type="dxa"/>
              <w:right w:w="57" w:type="dxa"/>
            </w:tcMar>
            <w:vAlign w:val="center"/>
          </w:tcPr>
          <w:p w14:paraId="11EA8FE9"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&gt; 13 juveniles per m2 of available substrate</w:t>
            </w:r>
          </w:p>
        </w:tc>
      </w:tr>
      <w:tr w:rsidR="009D299C" w14:paraId="11EA8FEE" w14:textId="77777777" w:rsidTr="00D72A37">
        <w:tc>
          <w:tcPr>
            <w:tcW w:w="2609" w:type="dxa"/>
            <w:vMerge/>
            <w:noWrap/>
            <w:tcMar>
              <w:left w:w="57" w:type="dxa"/>
              <w:right w:w="57" w:type="dxa"/>
            </w:tcMar>
          </w:tcPr>
          <w:p w14:paraId="11EA8FEB" w14:textId="77777777" w:rsidR="009D299C" w:rsidRPr="00B03615" w:rsidRDefault="009D299C" w:rsidP="00D72A37">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11EA8FEC"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Continuous between 0.4 and 1</w:t>
            </w:r>
          </w:p>
        </w:tc>
        <w:tc>
          <w:tcPr>
            <w:tcW w:w="4110" w:type="dxa"/>
            <w:tcMar>
              <w:left w:w="57" w:type="dxa"/>
              <w:right w:w="57" w:type="dxa"/>
            </w:tcMar>
            <w:vAlign w:val="center"/>
          </w:tcPr>
          <w:p w14:paraId="11EA8FED" w14:textId="3B8B6A4E"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4.6</w:t>
            </w:r>
            <w:r w:rsidR="00E75F5C">
              <w:rPr>
                <w:rFonts w:ascii="Arial Narrow" w:hAnsi="Arial Narrow"/>
                <w:sz w:val="20"/>
              </w:rPr>
              <w:t xml:space="preserve"> </w:t>
            </w:r>
            <w:r w:rsidRPr="00B03615">
              <w:rPr>
                <w:rFonts w:ascii="Arial Narrow" w:hAnsi="Arial Narrow"/>
                <w:sz w:val="20"/>
              </w:rPr>
              <w:t>to 13 juveniles per m2 of available substrate</w:t>
            </w:r>
          </w:p>
        </w:tc>
      </w:tr>
      <w:tr w:rsidR="009D299C" w14:paraId="11EA8FF2" w14:textId="77777777" w:rsidTr="00D72A37">
        <w:tc>
          <w:tcPr>
            <w:tcW w:w="2609" w:type="dxa"/>
            <w:vMerge/>
            <w:noWrap/>
            <w:tcMar>
              <w:left w:w="57" w:type="dxa"/>
              <w:right w:w="57" w:type="dxa"/>
            </w:tcMar>
          </w:tcPr>
          <w:p w14:paraId="11EA8FEF" w14:textId="77777777" w:rsidR="009D299C" w:rsidRPr="00B03615" w:rsidRDefault="009D299C" w:rsidP="00D72A37">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11EA8FF0"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Continuous between 0 and 0.4</w:t>
            </w:r>
          </w:p>
        </w:tc>
        <w:tc>
          <w:tcPr>
            <w:tcW w:w="4110" w:type="dxa"/>
            <w:tcMar>
              <w:left w:w="57" w:type="dxa"/>
              <w:right w:w="57" w:type="dxa"/>
            </w:tcMar>
            <w:vAlign w:val="center"/>
          </w:tcPr>
          <w:p w14:paraId="11EA8FF1"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0 to 4.6 juveniles per m2 of available substrate</w:t>
            </w:r>
          </w:p>
        </w:tc>
      </w:tr>
      <w:tr w:rsidR="009D299C" w14:paraId="11EA8FF6" w14:textId="77777777" w:rsidTr="00D72A37">
        <w:tc>
          <w:tcPr>
            <w:tcW w:w="2609" w:type="dxa"/>
            <w:vMerge w:val="restart"/>
            <w:noWrap/>
            <w:tcMar>
              <w:left w:w="57" w:type="dxa"/>
              <w:right w:w="57" w:type="dxa"/>
            </w:tcMar>
          </w:tcPr>
          <w:p w14:paraId="11EA8FF3" w14:textId="77777777" w:rsidR="009D299C" w:rsidRPr="00B03615" w:rsidRDefault="009D299C" w:rsidP="00D72A37">
            <w:pPr>
              <w:tabs>
                <w:tab w:val="left" w:pos="1152"/>
                <w:tab w:val="right" w:leader="dot" w:pos="8640"/>
              </w:tabs>
              <w:spacing w:before="100" w:beforeAutospacing="1" w:after="100" w:afterAutospacing="1"/>
              <w:contextualSpacing/>
              <w:jc w:val="left"/>
              <w:rPr>
                <w:rFonts w:ascii="Arial Narrow" w:hAnsi="Arial Narrow"/>
                <w:sz w:val="20"/>
              </w:rPr>
            </w:pPr>
            <w:r w:rsidRPr="00B03615">
              <w:rPr>
                <w:rFonts w:ascii="Arial Narrow" w:hAnsi="Arial Narrow"/>
                <w:sz w:val="20"/>
              </w:rPr>
              <w:t>Composition of hard coral community</w:t>
            </w:r>
          </w:p>
        </w:tc>
        <w:tc>
          <w:tcPr>
            <w:tcW w:w="2410" w:type="dxa"/>
            <w:noWrap/>
            <w:tcMar>
              <w:left w:w="57" w:type="dxa"/>
              <w:right w:w="57" w:type="dxa"/>
            </w:tcMar>
            <w:vAlign w:val="center"/>
          </w:tcPr>
          <w:p w14:paraId="11EA8FF4"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1</w:t>
            </w:r>
          </w:p>
        </w:tc>
        <w:tc>
          <w:tcPr>
            <w:tcW w:w="4110" w:type="dxa"/>
            <w:tcMar>
              <w:left w:w="57" w:type="dxa"/>
              <w:right w:w="57" w:type="dxa"/>
            </w:tcMar>
            <w:vAlign w:val="center"/>
          </w:tcPr>
          <w:p w14:paraId="11EA8FF5"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Beyond 95% CI of baseline condition in the direction of improved water quality</w:t>
            </w:r>
          </w:p>
        </w:tc>
      </w:tr>
      <w:tr w:rsidR="009D299C" w14:paraId="11EA8FFA" w14:textId="77777777" w:rsidTr="00D72A37">
        <w:tc>
          <w:tcPr>
            <w:tcW w:w="2609" w:type="dxa"/>
            <w:vMerge/>
            <w:noWrap/>
            <w:tcMar>
              <w:left w:w="57" w:type="dxa"/>
              <w:right w:w="57" w:type="dxa"/>
            </w:tcMar>
          </w:tcPr>
          <w:p w14:paraId="11EA8FF7" w14:textId="77777777" w:rsidR="009D299C" w:rsidRPr="00B03615" w:rsidRDefault="009D299C" w:rsidP="00D72A37">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11EA8FF8"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0.5</w:t>
            </w:r>
          </w:p>
        </w:tc>
        <w:tc>
          <w:tcPr>
            <w:tcW w:w="4110" w:type="dxa"/>
            <w:tcMar>
              <w:left w:w="57" w:type="dxa"/>
              <w:right w:w="57" w:type="dxa"/>
            </w:tcMar>
            <w:vAlign w:val="center"/>
          </w:tcPr>
          <w:p w14:paraId="11EA8FF9"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Within 95% Confidence intervals of baseline composition</w:t>
            </w:r>
          </w:p>
        </w:tc>
      </w:tr>
      <w:tr w:rsidR="009D299C" w14:paraId="11EA8FFE" w14:textId="77777777" w:rsidTr="00D72A37">
        <w:tc>
          <w:tcPr>
            <w:tcW w:w="2609" w:type="dxa"/>
            <w:vMerge/>
            <w:noWrap/>
            <w:tcMar>
              <w:left w:w="57" w:type="dxa"/>
              <w:right w:w="57" w:type="dxa"/>
            </w:tcMar>
          </w:tcPr>
          <w:p w14:paraId="11EA8FFB" w14:textId="77777777" w:rsidR="009D299C" w:rsidRPr="00B03615" w:rsidRDefault="009D299C" w:rsidP="00D72A37">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11EA8FFC"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0</w:t>
            </w:r>
          </w:p>
        </w:tc>
        <w:tc>
          <w:tcPr>
            <w:tcW w:w="4110" w:type="dxa"/>
            <w:tcMar>
              <w:left w:w="57" w:type="dxa"/>
              <w:right w:w="57" w:type="dxa"/>
            </w:tcMar>
            <w:vAlign w:val="center"/>
          </w:tcPr>
          <w:p w14:paraId="11EA8FFD" w14:textId="77777777" w:rsidR="009D299C" w:rsidRPr="00B03615" w:rsidRDefault="009D299C" w:rsidP="00D72A37">
            <w:pPr>
              <w:tabs>
                <w:tab w:val="left" w:pos="1152"/>
                <w:tab w:val="right" w:leader="dot" w:pos="8640"/>
              </w:tabs>
              <w:spacing w:before="100" w:beforeAutospacing="1" w:after="100" w:afterAutospacing="1"/>
              <w:contextualSpacing/>
              <w:jc w:val="center"/>
              <w:rPr>
                <w:rFonts w:ascii="Arial Narrow" w:hAnsi="Arial Narrow"/>
                <w:sz w:val="20"/>
              </w:rPr>
            </w:pPr>
            <w:r w:rsidRPr="00B03615">
              <w:rPr>
                <w:rFonts w:ascii="Arial Narrow" w:hAnsi="Arial Narrow"/>
                <w:sz w:val="20"/>
              </w:rPr>
              <w:t>Beyond 95% CI of baseline condition in the direction of declined water quality</w:t>
            </w:r>
          </w:p>
        </w:tc>
      </w:tr>
    </w:tbl>
    <w:p w14:paraId="11EA8FFF" w14:textId="77777777" w:rsidR="009D299C" w:rsidRDefault="009D299C"/>
    <w:p w14:paraId="18AD164C" w14:textId="321E1D1F" w:rsidR="000E09B7" w:rsidRDefault="000E09B7">
      <w:pPr>
        <w:jc w:val="left"/>
      </w:pPr>
      <w:r>
        <w:br w:type="page"/>
      </w:r>
    </w:p>
    <w:p w14:paraId="11EA9024" w14:textId="7E2D690A" w:rsidR="0001199E" w:rsidRPr="0024684D" w:rsidRDefault="0024684D" w:rsidP="00B05739">
      <w:pPr>
        <w:pStyle w:val="Heading1"/>
        <w:numPr>
          <w:ilvl w:val="0"/>
          <w:numId w:val="42"/>
        </w:numPr>
      </w:pPr>
      <w:bookmarkStart w:id="133" w:name="_Toc493153321"/>
      <w:r w:rsidRPr="0024684D">
        <w:rPr>
          <w:lang w:val="en-AU" w:eastAsia="en-AU"/>
        </w:rPr>
        <w:t>Results</w:t>
      </w:r>
      <w:bookmarkEnd w:id="133"/>
      <w:r w:rsidRPr="0024684D">
        <w:rPr>
          <w:lang w:val="en-AU" w:eastAsia="en-AU"/>
        </w:rPr>
        <w:t xml:space="preserve"> </w:t>
      </w:r>
    </w:p>
    <w:p w14:paraId="39897334" w14:textId="053B43B4" w:rsidR="00D73026" w:rsidRPr="00C944AA" w:rsidRDefault="00FF6E56" w:rsidP="00D73026">
      <w:pPr>
        <w:rPr>
          <w:color w:val="000000" w:themeColor="text1"/>
        </w:rPr>
      </w:pPr>
      <w:r>
        <w:rPr>
          <w:color w:val="000000" w:themeColor="text1"/>
        </w:rPr>
        <w:t>Results are presented in the following sequence. Firstly</w:t>
      </w:r>
      <w:r w:rsidR="00FA70E2">
        <w:rPr>
          <w:color w:val="000000" w:themeColor="text1"/>
        </w:rPr>
        <w:t>,</w:t>
      </w:r>
      <w:r>
        <w:rPr>
          <w:color w:val="000000" w:themeColor="text1"/>
        </w:rPr>
        <w:t xml:space="preserve"> spatial variability in communities in 2016 is related to regional differences, the depth of sampling sites and the location of reef</w:t>
      </w:r>
      <w:r w:rsidR="00FA70E2">
        <w:rPr>
          <w:color w:val="000000" w:themeColor="text1"/>
        </w:rPr>
        <w:t>s along water quality gradients.</w:t>
      </w:r>
      <w:r>
        <w:rPr>
          <w:color w:val="000000" w:themeColor="text1"/>
        </w:rPr>
        <w:t xml:space="preserve"> Secondly changes in index scores in relation to discharge from catchments at a regional scale are presented as a broad approximation of </w:t>
      </w:r>
      <w:r w:rsidR="00D73026">
        <w:rPr>
          <w:color w:val="000000" w:themeColor="text1"/>
        </w:rPr>
        <w:t xml:space="preserve">the </w:t>
      </w:r>
      <w:r>
        <w:rPr>
          <w:color w:val="000000" w:themeColor="text1"/>
        </w:rPr>
        <w:t xml:space="preserve">influence of </w:t>
      </w:r>
      <w:r w:rsidR="0042623E">
        <w:rPr>
          <w:color w:val="000000" w:themeColor="text1"/>
        </w:rPr>
        <w:t>run-off</w:t>
      </w:r>
      <w:r>
        <w:rPr>
          <w:color w:val="000000" w:themeColor="text1"/>
        </w:rPr>
        <w:t xml:space="preserve"> on coral community resilience. Temporal trends in community attributes are then presented for each </w:t>
      </w:r>
      <w:r w:rsidR="00D73026">
        <w:rPr>
          <w:color w:val="000000" w:themeColor="text1"/>
        </w:rPr>
        <w:t>(sub-)</w:t>
      </w:r>
      <w:r>
        <w:rPr>
          <w:color w:val="000000" w:themeColor="text1"/>
        </w:rPr>
        <w:t>region along with time-series of data relating to the primary pressures influencing coral communities. Finally</w:t>
      </w:r>
      <w:r w:rsidR="00FA70E2">
        <w:rPr>
          <w:color w:val="000000" w:themeColor="text1"/>
        </w:rPr>
        <w:t>,</w:t>
      </w:r>
      <w:r>
        <w:rPr>
          <w:color w:val="000000" w:themeColor="text1"/>
        </w:rPr>
        <w:t xml:space="preserve"> </w:t>
      </w:r>
      <w:r w:rsidR="00D73026">
        <w:rPr>
          <w:color w:val="000000" w:themeColor="text1"/>
        </w:rPr>
        <w:t>s</w:t>
      </w:r>
      <w:r w:rsidRPr="0024684D">
        <w:t xml:space="preserve">ite-specific data and additional information tables are presented in Appendix 1 and may be referred to where specific detail is required. </w:t>
      </w:r>
    </w:p>
    <w:p w14:paraId="2CD1A276" w14:textId="43D8E22D" w:rsidR="00FF6E56" w:rsidRDefault="000E09B7" w:rsidP="00D73026">
      <w:pPr>
        <w:pStyle w:val="Heading2"/>
        <w:spacing w:before="240"/>
      </w:pPr>
      <w:bookmarkStart w:id="134" w:name="_Toc493153322"/>
      <w:bookmarkStart w:id="135" w:name="_Toc437424406"/>
      <w:bookmarkStart w:id="136" w:name="_Toc437424530"/>
      <w:bookmarkStart w:id="137" w:name="_Toc437432461"/>
      <w:bookmarkStart w:id="138" w:name="_Toc437432534"/>
      <w:r>
        <w:t>5.1</w:t>
      </w:r>
      <w:r w:rsidR="00FF6E56">
        <w:t xml:space="preserve"> Variation of coral index and indicator scores observed in 2016</w:t>
      </w:r>
      <w:bookmarkEnd w:id="134"/>
      <w:r w:rsidR="00FF6E56">
        <w:t xml:space="preserve"> </w:t>
      </w:r>
    </w:p>
    <w:p w14:paraId="0152536D" w14:textId="20797830" w:rsidR="00FF6E56" w:rsidRDefault="00555EC1" w:rsidP="00B9528B">
      <w:pPr>
        <w:pStyle w:val="Heading3"/>
      </w:pPr>
      <w:bookmarkStart w:id="139" w:name="_Toc493153323"/>
      <w:r>
        <w:t xml:space="preserve">5.1.1 Regional </w:t>
      </w:r>
      <w:r w:rsidR="00BD49B5">
        <w:t>differences</w:t>
      </w:r>
      <w:bookmarkEnd w:id="139"/>
    </w:p>
    <w:p w14:paraId="45A2ED01" w14:textId="7DE65A67" w:rsidR="00795792" w:rsidRDefault="00FF6E56" w:rsidP="00FF6E56">
      <w:pPr>
        <w:rPr>
          <w:lang w:val="en-US"/>
        </w:rPr>
      </w:pPr>
      <w:r>
        <w:rPr>
          <w:lang w:val="en-US"/>
        </w:rPr>
        <w:t xml:space="preserve">In 2016 the scores for the coral index and </w:t>
      </w:r>
      <w:r w:rsidR="002E72B3">
        <w:rPr>
          <w:lang w:val="en-US"/>
        </w:rPr>
        <w:t>its</w:t>
      </w:r>
      <w:r>
        <w:rPr>
          <w:lang w:val="en-US"/>
        </w:rPr>
        <w:t xml:space="preserve"> component metrics varied significantly between Regions</w:t>
      </w:r>
      <w:r w:rsidR="006B1BD4">
        <w:rPr>
          <w:lang w:val="en-US"/>
        </w:rPr>
        <w:t xml:space="preserve"> </w:t>
      </w:r>
      <w:r w:rsidR="00D73026">
        <w:rPr>
          <w:lang w:val="en-US"/>
        </w:rPr>
        <w:t>(</w:t>
      </w:r>
      <w:r w:rsidR="00D73026">
        <w:rPr>
          <w:lang w:val="en-US"/>
        </w:rPr>
        <w:fldChar w:fldCharType="begin"/>
      </w:r>
      <w:r w:rsidR="00D73026">
        <w:rPr>
          <w:lang w:val="en-US"/>
        </w:rPr>
        <w:instrText xml:space="preserve"> REF _Ref491161196 \h </w:instrText>
      </w:r>
      <w:r w:rsidR="00D73026">
        <w:rPr>
          <w:lang w:val="en-US"/>
        </w:rPr>
      </w:r>
      <w:r w:rsidR="00D73026">
        <w:rPr>
          <w:lang w:val="en-US"/>
        </w:rPr>
        <w:fldChar w:fldCharType="separate"/>
      </w:r>
      <w:r w:rsidR="00D806F2">
        <w:t xml:space="preserve">Table </w:t>
      </w:r>
      <w:r w:rsidR="00D806F2">
        <w:rPr>
          <w:noProof/>
        </w:rPr>
        <w:t>7</w:t>
      </w:r>
      <w:r w:rsidR="00D73026">
        <w:rPr>
          <w:lang w:val="en-US"/>
        </w:rPr>
        <w:fldChar w:fldCharType="end"/>
      </w:r>
      <w:r w:rsidR="00D73026">
        <w:rPr>
          <w:lang w:val="en-US"/>
        </w:rPr>
        <w:t xml:space="preserve">, </w:t>
      </w:r>
      <w:r w:rsidR="00D73026">
        <w:rPr>
          <w:lang w:val="en-US"/>
        </w:rPr>
        <w:fldChar w:fldCharType="begin"/>
      </w:r>
      <w:r w:rsidR="00D73026">
        <w:rPr>
          <w:lang w:val="en-US"/>
        </w:rPr>
        <w:instrText xml:space="preserve"> REF _Ref491161063 \h </w:instrText>
      </w:r>
      <w:r w:rsidR="00D73026">
        <w:rPr>
          <w:lang w:val="en-US"/>
        </w:rPr>
      </w:r>
      <w:r w:rsidR="00D73026">
        <w:rPr>
          <w:lang w:val="en-US"/>
        </w:rPr>
        <w:fldChar w:fldCharType="separate"/>
      </w:r>
      <w:r w:rsidR="00D806F2">
        <w:t xml:space="preserve">Figure </w:t>
      </w:r>
      <w:r w:rsidR="00D806F2">
        <w:rPr>
          <w:noProof/>
        </w:rPr>
        <w:t>8</w:t>
      </w:r>
      <w:r w:rsidR="00D73026">
        <w:rPr>
          <w:lang w:val="en-US"/>
        </w:rPr>
        <w:fldChar w:fldCharType="end"/>
      </w:r>
      <w:r w:rsidR="006B1BD4">
        <w:rPr>
          <w:lang w:val="en-US"/>
        </w:rPr>
        <w:t>)</w:t>
      </w:r>
      <w:r>
        <w:rPr>
          <w:lang w:val="en-US"/>
        </w:rPr>
        <w:t>. Index scores wer</w:t>
      </w:r>
      <w:r w:rsidR="00795792">
        <w:rPr>
          <w:lang w:val="en-US"/>
        </w:rPr>
        <w:t xml:space="preserve">e higher in the Wet Tropics and Mackay Whitsunday </w:t>
      </w:r>
      <w:r>
        <w:rPr>
          <w:lang w:val="en-US"/>
        </w:rPr>
        <w:t>regi</w:t>
      </w:r>
      <w:r w:rsidR="00795792">
        <w:rPr>
          <w:lang w:val="en-US"/>
        </w:rPr>
        <w:t>ons than the Burdekin Region</w:t>
      </w:r>
      <w:r>
        <w:rPr>
          <w:lang w:val="en-US"/>
        </w:rPr>
        <w:t xml:space="preserve">, while the index scores in the Fitzroy </w:t>
      </w:r>
      <w:r w:rsidR="00795792">
        <w:rPr>
          <w:lang w:val="en-US"/>
        </w:rPr>
        <w:t>R</w:t>
      </w:r>
      <w:r>
        <w:rPr>
          <w:lang w:val="en-US"/>
        </w:rPr>
        <w:t xml:space="preserve">egion were lower than in all other regions. </w:t>
      </w:r>
    </w:p>
    <w:p w14:paraId="4E5725CF" w14:textId="2042F378" w:rsidR="00FF6E56" w:rsidRDefault="00FF6E56" w:rsidP="00FF6E56">
      <w:pPr>
        <w:rPr>
          <w:lang w:val="en-US"/>
        </w:rPr>
      </w:pPr>
      <w:r>
        <w:rPr>
          <w:lang w:val="en-US"/>
        </w:rPr>
        <w:t>The highest index score was obser</w:t>
      </w:r>
      <w:r w:rsidR="00D73026">
        <w:rPr>
          <w:lang w:val="en-US"/>
        </w:rPr>
        <w:t xml:space="preserve">ved in the </w:t>
      </w:r>
      <w:r w:rsidR="002E72B3">
        <w:rPr>
          <w:lang w:val="en-US"/>
        </w:rPr>
        <w:t>Mackay Whitsunday</w:t>
      </w:r>
      <w:r w:rsidR="00D73026">
        <w:rPr>
          <w:lang w:val="en-US"/>
        </w:rPr>
        <w:t xml:space="preserve"> Region where</w:t>
      </w:r>
      <w:r w:rsidR="002E72B3">
        <w:rPr>
          <w:lang w:val="en-US"/>
        </w:rPr>
        <w:t xml:space="preserve"> metric scores were mostly higher or similar to those in other regions. It was only the Cover Change and Composition scores </w:t>
      </w:r>
      <w:r w:rsidR="00FA70E2">
        <w:rPr>
          <w:lang w:val="en-US"/>
        </w:rPr>
        <w:t xml:space="preserve">that </w:t>
      </w:r>
      <w:r w:rsidR="002E72B3">
        <w:rPr>
          <w:lang w:val="en-US"/>
        </w:rPr>
        <w:t>were lower in the Mackay Whitsunday region compared to those observed in the Wet Tropics (</w:t>
      </w:r>
      <w:r w:rsidR="002E72B3">
        <w:rPr>
          <w:lang w:val="en-US"/>
        </w:rPr>
        <w:fldChar w:fldCharType="begin"/>
      </w:r>
      <w:r w:rsidR="002E72B3">
        <w:rPr>
          <w:lang w:val="en-US"/>
        </w:rPr>
        <w:instrText xml:space="preserve"> REF _Ref491161196 \h </w:instrText>
      </w:r>
      <w:r w:rsidR="002E72B3">
        <w:rPr>
          <w:lang w:val="en-US"/>
        </w:rPr>
      </w:r>
      <w:r w:rsidR="002E72B3">
        <w:rPr>
          <w:lang w:val="en-US"/>
        </w:rPr>
        <w:fldChar w:fldCharType="separate"/>
      </w:r>
      <w:r w:rsidR="00D806F2">
        <w:t xml:space="preserve">Table </w:t>
      </w:r>
      <w:r w:rsidR="00D806F2">
        <w:rPr>
          <w:noProof/>
        </w:rPr>
        <w:t>7</w:t>
      </w:r>
      <w:r w:rsidR="002E72B3">
        <w:rPr>
          <w:lang w:val="en-US"/>
        </w:rPr>
        <w:fldChar w:fldCharType="end"/>
      </w:r>
      <w:r w:rsidR="002E72B3">
        <w:rPr>
          <w:lang w:val="en-US"/>
        </w:rPr>
        <w:t xml:space="preserve">, </w:t>
      </w:r>
      <w:r w:rsidR="002E72B3">
        <w:rPr>
          <w:lang w:val="en-US"/>
        </w:rPr>
        <w:fldChar w:fldCharType="begin"/>
      </w:r>
      <w:r w:rsidR="002E72B3">
        <w:rPr>
          <w:lang w:val="en-US"/>
        </w:rPr>
        <w:instrText xml:space="preserve"> REF _Ref491161063 \h </w:instrText>
      </w:r>
      <w:r w:rsidR="002E72B3">
        <w:rPr>
          <w:lang w:val="en-US"/>
        </w:rPr>
      </w:r>
      <w:r w:rsidR="002E72B3">
        <w:rPr>
          <w:lang w:val="en-US"/>
        </w:rPr>
        <w:fldChar w:fldCharType="separate"/>
      </w:r>
      <w:r w:rsidR="00D806F2">
        <w:t xml:space="preserve">Figure </w:t>
      </w:r>
      <w:r w:rsidR="00D806F2">
        <w:rPr>
          <w:noProof/>
        </w:rPr>
        <w:t>8</w:t>
      </w:r>
      <w:r w:rsidR="002E72B3">
        <w:rPr>
          <w:lang w:val="en-US"/>
        </w:rPr>
        <w:fldChar w:fldCharType="end"/>
      </w:r>
      <w:r w:rsidR="002E72B3">
        <w:rPr>
          <w:lang w:val="en-US"/>
        </w:rPr>
        <w:t>). At the other end of the spectrum, the</w:t>
      </w:r>
      <w:r w:rsidR="006B4B65">
        <w:rPr>
          <w:lang w:val="en-US"/>
        </w:rPr>
        <w:t xml:space="preserve"> low</w:t>
      </w:r>
      <w:r w:rsidR="002E72B3">
        <w:rPr>
          <w:lang w:val="en-US"/>
        </w:rPr>
        <w:t xml:space="preserve"> index scores</w:t>
      </w:r>
      <w:r w:rsidR="006B4B65">
        <w:rPr>
          <w:lang w:val="en-US"/>
        </w:rPr>
        <w:t xml:space="preserve"> observed in the Fitzroy region result from the lowest median scores for all metrics with only the</w:t>
      </w:r>
      <w:r w:rsidR="00E75F5C">
        <w:rPr>
          <w:lang w:val="en-US"/>
        </w:rPr>
        <w:t xml:space="preserve"> </w:t>
      </w:r>
      <w:r w:rsidR="006B4B65">
        <w:rPr>
          <w:lang w:val="en-US"/>
        </w:rPr>
        <w:t xml:space="preserve">Cover Change and Composition metric scores not significantly lower than two of the other three regions. </w:t>
      </w:r>
    </w:p>
    <w:p w14:paraId="7FB3A137" w14:textId="645914D4" w:rsidR="00D73026" w:rsidRPr="005B52B1" w:rsidRDefault="00D73026" w:rsidP="00D73026">
      <w:pPr>
        <w:pStyle w:val="Caption"/>
        <w:rPr>
          <w:rStyle w:val="IntenseReference"/>
          <w:rFonts w:eastAsia="SimSun"/>
        </w:rPr>
      </w:pPr>
      <w:bookmarkStart w:id="140" w:name="_Ref491161196"/>
      <w:bookmarkStart w:id="141" w:name="_Toc491847026"/>
      <w:r>
        <w:t xml:space="preserve">Table </w:t>
      </w:r>
      <w:r>
        <w:fldChar w:fldCharType="begin"/>
      </w:r>
      <w:r>
        <w:instrText xml:space="preserve"> SEQ Table \* ARABIC </w:instrText>
      </w:r>
      <w:r>
        <w:fldChar w:fldCharType="separate"/>
      </w:r>
      <w:r w:rsidR="00D806F2">
        <w:rPr>
          <w:noProof/>
        </w:rPr>
        <w:t>7</w:t>
      </w:r>
      <w:r>
        <w:fldChar w:fldCharType="end"/>
      </w:r>
      <w:bookmarkEnd w:id="140"/>
      <w:r>
        <w:t xml:space="preserve"> Regional differences in index and metric scores</w:t>
      </w:r>
      <w:r w:rsidRPr="005B52B1">
        <w:rPr>
          <w:rStyle w:val="IntenseReference"/>
          <w:rFonts w:eastAsia="SimSun"/>
        </w:rPr>
        <w:t>. Tabulated values represent the upper and lower 95% credible limits to the pair-wise comparison of scores between regions. Shading highlights where regional differences in scores were supported on the basis that the distribution of predicted differences excluded zero. Green shading indicates score were higher for the left-hand compared to right-hand region in the first column</w:t>
      </w:r>
      <w:r w:rsidR="006B4B65">
        <w:rPr>
          <w:rStyle w:val="IntenseReference"/>
          <w:rFonts w:eastAsia="SimSun"/>
        </w:rPr>
        <w:t xml:space="preserve">, </w:t>
      </w:r>
      <w:r w:rsidRPr="005B52B1">
        <w:rPr>
          <w:rStyle w:val="IntenseReference"/>
          <w:rFonts w:eastAsia="SimSun"/>
        </w:rPr>
        <w:t>red shading indicates higher scores for the right-hand region.</w:t>
      </w:r>
      <w:bookmarkEnd w:id="141"/>
    </w:p>
    <w:tbl>
      <w:tblPr>
        <w:tblStyle w:val="TableGrid"/>
        <w:tblW w:w="0" w:type="auto"/>
        <w:tblLook w:val="04A0" w:firstRow="1" w:lastRow="0" w:firstColumn="1" w:lastColumn="0" w:noHBand="0" w:noVBand="1"/>
      </w:tblPr>
      <w:tblGrid>
        <w:gridCol w:w="2443"/>
        <w:gridCol w:w="589"/>
        <w:gridCol w:w="585"/>
        <w:gridCol w:w="587"/>
        <w:gridCol w:w="587"/>
        <w:gridCol w:w="574"/>
        <w:gridCol w:w="623"/>
        <w:gridCol w:w="574"/>
        <w:gridCol w:w="623"/>
        <w:gridCol w:w="574"/>
        <w:gridCol w:w="663"/>
        <w:gridCol w:w="668"/>
        <w:gridCol w:w="539"/>
      </w:tblGrid>
      <w:tr w:rsidR="00D73026" w:rsidRPr="003A1DD4" w14:paraId="0595379A" w14:textId="77777777" w:rsidTr="006B4B65">
        <w:trPr>
          <w:cantSplit/>
          <w:trHeight w:val="1161"/>
        </w:trPr>
        <w:tc>
          <w:tcPr>
            <w:tcW w:w="2518" w:type="dxa"/>
            <w:noWrap/>
            <w:hideMark/>
          </w:tcPr>
          <w:p w14:paraId="293CC7B3" w14:textId="77777777" w:rsidR="00D73026" w:rsidRPr="000B11D5" w:rsidRDefault="00D73026" w:rsidP="00577377">
            <w:pPr>
              <w:rPr>
                <w:rFonts w:ascii="Arial Narrow" w:hAnsi="Arial Narrow"/>
              </w:rPr>
            </w:pPr>
          </w:p>
        </w:tc>
        <w:tc>
          <w:tcPr>
            <w:tcW w:w="1198" w:type="dxa"/>
            <w:gridSpan w:val="2"/>
            <w:noWrap/>
            <w:textDirection w:val="btLr"/>
            <w:hideMark/>
          </w:tcPr>
          <w:p w14:paraId="1BC5D64D" w14:textId="77777777" w:rsidR="00D73026" w:rsidRPr="000B11D5" w:rsidRDefault="00D73026" w:rsidP="00577377">
            <w:pPr>
              <w:ind w:left="113" w:right="113"/>
              <w:jc w:val="center"/>
              <w:rPr>
                <w:rFonts w:ascii="Arial Narrow" w:hAnsi="Arial Narrow"/>
              </w:rPr>
            </w:pPr>
            <w:r w:rsidRPr="000B11D5">
              <w:rPr>
                <w:rFonts w:ascii="Arial Narrow" w:hAnsi="Arial Narrow"/>
              </w:rPr>
              <w:t>Index</w:t>
            </w:r>
          </w:p>
        </w:tc>
        <w:tc>
          <w:tcPr>
            <w:tcW w:w="1198" w:type="dxa"/>
            <w:gridSpan w:val="2"/>
            <w:noWrap/>
            <w:textDirection w:val="btLr"/>
            <w:hideMark/>
          </w:tcPr>
          <w:p w14:paraId="0FBB0B43" w14:textId="77777777" w:rsidR="00D73026" w:rsidRPr="000B11D5" w:rsidRDefault="00D73026" w:rsidP="00577377">
            <w:pPr>
              <w:ind w:left="113" w:right="113"/>
              <w:jc w:val="center"/>
              <w:rPr>
                <w:rFonts w:ascii="Arial Narrow" w:hAnsi="Arial Narrow"/>
              </w:rPr>
            </w:pPr>
            <w:r w:rsidRPr="000B11D5">
              <w:rPr>
                <w:rFonts w:ascii="Arial Narrow" w:hAnsi="Arial Narrow"/>
              </w:rPr>
              <w:t>Coral cover</w:t>
            </w:r>
          </w:p>
        </w:tc>
        <w:tc>
          <w:tcPr>
            <w:tcW w:w="1222" w:type="dxa"/>
            <w:gridSpan w:val="2"/>
            <w:noWrap/>
            <w:textDirection w:val="btLr"/>
            <w:hideMark/>
          </w:tcPr>
          <w:p w14:paraId="15ABC12A" w14:textId="77777777" w:rsidR="00D73026" w:rsidRPr="000B11D5" w:rsidRDefault="00D73026" w:rsidP="00577377">
            <w:pPr>
              <w:ind w:left="113" w:right="113"/>
              <w:jc w:val="center"/>
              <w:rPr>
                <w:rFonts w:ascii="Arial Narrow" w:hAnsi="Arial Narrow"/>
              </w:rPr>
            </w:pPr>
            <w:r w:rsidRPr="000B11D5">
              <w:rPr>
                <w:rFonts w:ascii="Arial Narrow" w:hAnsi="Arial Narrow"/>
              </w:rPr>
              <w:t>Macroalgae</w:t>
            </w:r>
          </w:p>
        </w:tc>
        <w:tc>
          <w:tcPr>
            <w:tcW w:w="1222" w:type="dxa"/>
            <w:gridSpan w:val="2"/>
            <w:noWrap/>
            <w:textDirection w:val="btLr"/>
            <w:hideMark/>
          </w:tcPr>
          <w:p w14:paraId="791E2818" w14:textId="77777777" w:rsidR="00D73026" w:rsidRPr="000B11D5" w:rsidRDefault="00D73026" w:rsidP="00577377">
            <w:pPr>
              <w:ind w:left="113" w:right="113"/>
              <w:jc w:val="center"/>
              <w:rPr>
                <w:rFonts w:ascii="Arial Narrow" w:hAnsi="Arial Narrow"/>
              </w:rPr>
            </w:pPr>
            <w:r w:rsidRPr="000B11D5">
              <w:rPr>
                <w:rFonts w:ascii="Arial Narrow" w:hAnsi="Arial Narrow"/>
              </w:rPr>
              <w:t xml:space="preserve">Cover </w:t>
            </w:r>
            <w:r>
              <w:rPr>
                <w:rFonts w:ascii="Arial Narrow" w:hAnsi="Arial Narrow"/>
              </w:rPr>
              <w:t>c</w:t>
            </w:r>
            <w:r w:rsidRPr="000B11D5">
              <w:rPr>
                <w:rFonts w:ascii="Arial Narrow" w:hAnsi="Arial Narrow"/>
              </w:rPr>
              <w:t>hange</w:t>
            </w:r>
          </w:p>
        </w:tc>
        <w:tc>
          <w:tcPr>
            <w:tcW w:w="1264" w:type="dxa"/>
            <w:gridSpan w:val="2"/>
            <w:noWrap/>
            <w:textDirection w:val="btLr"/>
            <w:hideMark/>
          </w:tcPr>
          <w:p w14:paraId="14F517A2" w14:textId="77777777" w:rsidR="00D73026" w:rsidRPr="000B11D5" w:rsidRDefault="00D73026" w:rsidP="00577377">
            <w:pPr>
              <w:ind w:left="113" w:right="113"/>
              <w:jc w:val="center"/>
              <w:rPr>
                <w:rFonts w:ascii="Arial Narrow" w:hAnsi="Arial Narrow"/>
              </w:rPr>
            </w:pPr>
            <w:r w:rsidRPr="000B11D5">
              <w:rPr>
                <w:rFonts w:ascii="Arial Narrow" w:hAnsi="Arial Narrow"/>
              </w:rPr>
              <w:t>Juvenile</w:t>
            </w:r>
          </w:p>
        </w:tc>
        <w:tc>
          <w:tcPr>
            <w:tcW w:w="1233" w:type="dxa"/>
            <w:gridSpan w:val="2"/>
            <w:noWrap/>
            <w:textDirection w:val="btLr"/>
            <w:hideMark/>
          </w:tcPr>
          <w:p w14:paraId="19985F85" w14:textId="77777777" w:rsidR="00D73026" w:rsidRPr="000B11D5" w:rsidRDefault="00D73026" w:rsidP="00577377">
            <w:pPr>
              <w:ind w:left="113" w:right="113"/>
              <w:jc w:val="center"/>
              <w:rPr>
                <w:rFonts w:ascii="Arial Narrow" w:hAnsi="Arial Narrow"/>
              </w:rPr>
            </w:pPr>
            <w:r w:rsidRPr="000B11D5">
              <w:rPr>
                <w:rFonts w:ascii="Arial Narrow" w:hAnsi="Arial Narrow"/>
              </w:rPr>
              <w:t>Composition</w:t>
            </w:r>
          </w:p>
        </w:tc>
      </w:tr>
      <w:tr w:rsidR="00D73026" w:rsidRPr="003A1DD4" w14:paraId="5C683826" w14:textId="77777777" w:rsidTr="00577377">
        <w:trPr>
          <w:trHeight w:val="300"/>
        </w:trPr>
        <w:tc>
          <w:tcPr>
            <w:tcW w:w="2518" w:type="dxa"/>
            <w:noWrap/>
            <w:hideMark/>
          </w:tcPr>
          <w:p w14:paraId="4882D0F5" w14:textId="77777777" w:rsidR="00D73026" w:rsidRPr="000B11D5" w:rsidRDefault="00D73026" w:rsidP="00577377">
            <w:pPr>
              <w:rPr>
                <w:rFonts w:ascii="Arial Narrow" w:hAnsi="Arial Narrow"/>
              </w:rPr>
            </w:pPr>
            <w:r w:rsidRPr="000B11D5">
              <w:rPr>
                <w:rFonts w:ascii="Arial Narrow" w:hAnsi="Arial Narrow"/>
              </w:rPr>
              <w:t>Regions</w:t>
            </w:r>
          </w:p>
        </w:tc>
        <w:tc>
          <w:tcPr>
            <w:tcW w:w="601" w:type="dxa"/>
            <w:noWrap/>
            <w:hideMark/>
          </w:tcPr>
          <w:p w14:paraId="5D9721D1" w14:textId="77777777" w:rsidR="00D73026" w:rsidRPr="000B11D5" w:rsidRDefault="00D73026" w:rsidP="00577377">
            <w:pPr>
              <w:rPr>
                <w:rFonts w:ascii="Arial Narrow" w:hAnsi="Arial Narrow"/>
              </w:rPr>
            </w:pPr>
            <w:r w:rsidRPr="000B11D5">
              <w:rPr>
                <w:rFonts w:ascii="Arial Narrow" w:hAnsi="Arial Narrow"/>
              </w:rPr>
              <w:t>u</w:t>
            </w:r>
          </w:p>
        </w:tc>
        <w:tc>
          <w:tcPr>
            <w:tcW w:w="597" w:type="dxa"/>
            <w:noWrap/>
            <w:hideMark/>
          </w:tcPr>
          <w:p w14:paraId="09F92E77" w14:textId="77777777" w:rsidR="00D73026" w:rsidRPr="000B11D5" w:rsidRDefault="00D73026" w:rsidP="00577377">
            <w:pPr>
              <w:rPr>
                <w:rFonts w:ascii="Arial Narrow" w:hAnsi="Arial Narrow"/>
              </w:rPr>
            </w:pPr>
            <w:r w:rsidRPr="000B11D5">
              <w:rPr>
                <w:rFonts w:ascii="Arial Narrow" w:hAnsi="Arial Narrow"/>
              </w:rPr>
              <w:t>l</w:t>
            </w:r>
          </w:p>
        </w:tc>
        <w:tc>
          <w:tcPr>
            <w:tcW w:w="599" w:type="dxa"/>
            <w:noWrap/>
            <w:hideMark/>
          </w:tcPr>
          <w:p w14:paraId="37782F0C" w14:textId="77777777" w:rsidR="00D73026" w:rsidRPr="000B11D5" w:rsidRDefault="00D73026" w:rsidP="00577377">
            <w:pPr>
              <w:rPr>
                <w:rFonts w:ascii="Arial Narrow" w:hAnsi="Arial Narrow"/>
              </w:rPr>
            </w:pPr>
            <w:r w:rsidRPr="000B11D5">
              <w:rPr>
                <w:rFonts w:ascii="Arial Narrow" w:hAnsi="Arial Narrow"/>
              </w:rPr>
              <w:t>u</w:t>
            </w:r>
          </w:p>
        </w:tc>
        <w:tc>
          <w:tcPr>
            <w:tcW w:w="599" w:type="dxa"/>
            <w:noWrap/>
            <w:hideMark/>
          </w:tcPr>
          <w:p w14:paraId="18B1B275" w14:textId="77777777" w:rsidR="00D73026" w:rsidRPr="000B11D5" w:rsidRDefault="00D73026" w:rsidP="00577377">
            <w:pPr>
              <w:rPr>
                <w:rFonts w:ascii="Arial Narrow" w:hAnsi="Arial Narrow"/>
              </w:rPr>
            </w:pPr>
            <w:r w:rsidRPr="000B11D5">
              <w:rPr>
                <w:rFonts w:ascii="Arial Narrow" w:hAnsi="Arial Narrow"/>
              </w:rPr>
              <w:t>l</w:t>
            </w:r>
          </w:p>
        </w:tc>
        <w:tc>
          <w:tcPr>
            <w:tcW w:w="586" w:type="dxa"/>
            <w:noWrap/>
            <w:hideMark/>
          </w:tcPr>
          <w:p w14:paraId="7417F6D6" w14:textId="77777777" w:rsidR="00D73026" w:rsidRPr="000B11D5" w:rsidRDefault="00D73026" w:rsidP="00577377">
            <w:pPr>
              <w:rPr>
                <w:rFonts w:ascii="Arial Narrow" w:hAnsi="Arial Narrow"/>
              </w:rPr>
            </w:pPr>
            <w:r w:rsidRPr="000B11D5">
              <w:rPr>
                <w:rFonts w:ascii="Arial Narrow" w:hAnsi="Arial Narrow"/>
              </w:rPr>
              <w:t>u</w:t>
            </w:r>
          </w:p>
        </w:tc>
        <w:tc>
          <w:tcPr>
            <w:tcW w:w="636" w:type="dxa"/>
            <w:noWrap/>
            <w:hideMark/>
          </w:tcPr>
          <w:p w14:paraId="566562C2" w14:textId="77777777" w:rsidR="00D73026" w:rsidRPr="000B11D5" w:rsidRDefault="00D73026" w:rsidP="00577377">
            <w:pPr>
              <w:rPr>
                <w:rFonts w:ascii="Arial Narrow" w:hAnsi="Arial Narrow"/>
              </w:rPr>
            </w:pPr>
            <w:r w:rsidRPr="000B11D5">
              <w:rPr>
                <w:rFonts w:ascii="Arial Narrow" w:hAnsi="Arial Narrow"/>
              </w:rPr>
              <w:t>l</w:t>
            </w:r>
          </w:p>
        </w:tc>
        <w:tc>
          <w:tcPr>
            <w:tcW w:w="586" w:type="dxa"/>
            <w:noWrap/>
            <w:hideMark/>
          </w:tcPr>
          <w:p w14:paraId="0A8A7F6D" w14:textId="77777777" w:rsidR="00D73026" w:rsidRPr="000B11D5" w:rsidRDefault="00D73026" w:rsidP="00577377">
            <w:pPr>
              <w:rPr>
                <w:rFonts w:ascii="Arial Narrow" w:hAnsi="Arial Narrow"/>
              </w:rPr>
            </w:pPr>
            <w:r w:rsidRPr="000B11D5">
              <w:rPr>
                <w:rFonts w:ascii="Arial Narrow" w:hAnsi="Arial Narrow"/>
              </w:rPr>
              <w:t>u</w:t>
            </w:r>
          </w:p>
        </w:tc>
        <w:tc>
          <w:tcPr>
            <w:tcW w:w="636" w:type="dxa"/>
            <w:noWrap/>
            <w:hideMark/>
          </w:tcPr>
          <w:p w14:paraId="7E472EFE" w14:textId="77777777" w:rsidR="00D73026" w:rsidRPr="000B11D5" w:rsidRDefault="00D73026" w:rsidP="00577377">
            <w:pPr>
              <w:rPr>
                <w:rFonts w:ascii="Arial Narrow" w:hAnsi="Arial Narrow"/>
              </w:rPr>
            </w:pPr>
            <w:r w:rsidRPr="000B11D5">
              <w:rPr>
                <w:rFonts w:ascii="Arial Narrow" w:hAnsi="Arial Narrow"/>
              </w:rPr>
              <w:t>l</w:t>
            </w:r>
          </w:p>
        </w:tc>
        <w:tc>
          <w:tcPr>
            <w:tcW w:w="586" w:type="dxa"/>
            <w:noWrap/>
            <w:hideMark/>
          </w:tcPr>
          <w:p w14:paraId="0BE2C189" w14:textId="77777777" w:rsidR="00D73026" w:rsidRPr="000B11D5" w:rsidRDefault="00D73026" w:rsidP="00577377">
            <w:pPr>
              <w:rPr>
                <w:rFonts w:ascii="Arial Narrow" w:hAnsi="Arial Narrow"/>
              </w:rPr>
            </w:pPr>
            <w:r w:rsidRPr="000B11D5">
              <w:rPr>
                <w:rFonts w:ascii="Arial Narrow" w:hAnsi="Arial Narrow"/>
              </w:rPr>
              <w:t>u</w:t>
            </w:r>
          </w:p>
        </w:tc>
        <w:tc>
          <w:tcPr>
            <w:tcW w:w="678" w:type="dxa"/>
            <w:noWrap/>
            <w:hideMark/>
          </w:tcPr>
          <w:p w14:paraId="1527509B" w14:textId="77777777" w:rsidR="00D73026" w:rsidRPr="000B11D5" w:rsidRDefault="00D73026" w:rsidP="00577377">
            <w:pPr>
              <w:rPr>
                <w:rFonts w:ascii="Arial Narrow" w:hAnsi="Arial Narrow"/>
              </w:rPr>
            </w:pPr>
            <w:r w:rsidRPr="000B11D5">
              <w:rPr>
                <w:rFonts w:ascii="Arial Narrow" w:hAnsi="Arial Narrow"/>
              </w:rPr>
              <w:t>l</w:t>
            </w:r>
          </w:p>
        </w:tc>
        <w:tc>
          <w:tcPr>
            <w:tcW w:w="683" w:type="dxa"/>
            <w:noWrap/>
            <w:hideMark/>
          </w:tcPr>
          <w:p w14:paraId="204C07C1" w14:textId="77777777" w:rsidR="00D73026" w:rsidRPr="000B11D5" w:rsidRDefault="00D73026" w:rsidP="00577377">
            <w:pPr>
              <w:rPr>
                <w:rFonts w:ascii="Arial Narrow" w:hAnsi="Arial Narrow"/>
              </w:rPr>
            </w:pPr>
            <w:r w:rsidRPr="000B11D5">
              <w:rPr>
                <w:rFonts w:ascii="Arial Narrow" w:hAnsi="Arial Narrow"/>
              </w:rPr>
              <w:t>u</w:t>
            </w:r>
          </w:p>
        </w:tc>
        <w:tc>
          <w:tcPr>
            <w:tcW w:w="550" w:type="dxa"/>
            <w:noWrap/>
            <w:hideMark/>
          </w:tcPr>
          <w:p w14:paraId="1FD2287E" w14:textId="77777777" w:rsidR="00D73026" w:rsidRPr="000B11D5" w:rsidRDefault="00D73026" w:rsidP="00577377">
            <w:pPr>
              <w:rPr>
                <w:rFonts w:ascii="Arial Narrow" w:hAnsi="Arial Narrow"/>
              </w:rPr>
            </w:pPr>
            <w:r w:rsidRPr="000B11D5">
              <w:rPr>
                <w:rFonts w:ascii="Arial Narrow" w:hAnsi="Arial Narrow"/>
              </w:rPr>
              <w:t>l</w:t>
            </w:r>
          </w:p>
        </w:tc>
      </w:tr>
      <w:tr w:rsidR="00D73026" w:rsidRPr="003A1DD4" w14:paraId="52EDDFA9" w14:textId="77777777" w:rsidTr="00577377">
        <w:trPr>
          <w:trHeight w:val="300"/>
        </w:trPr>
        <w:tc>
          <w:tcPr>
            <w:tcW w:w="2518" w:type="dxa"/>
            <w:noWrap/>
            <w:tcMar>
              <w:left w:w="57" w:type="dxa"/>
              <w:right w:w="57" w:type="dxa"/>
            </w:tcMar>
            <w:hideMark/>
          </w:tcPr>
          <w:p w14:paraId="253EE37F" w14:textId="77777777" w:rsidR="00D73026" w:rsidRPr="000B11D5" w:rsidRDefault="00D73026" w:rsidP="00577377">
            <w:pPr>
              <w:jc w:val="left"/>
              <w:rPr>
                <w:rFonts w:ascii="Arial Narrow" w:hAnsi="Arial Narrow"/>
              </w:rPr>
            </w:pPr>
            <w:r w:rsidRPr="000B11D5">
              <w:rPr>
                <w:rFonts w:ascii="Arial Narrow" w:hAnsi="Arial Narrow"/>
              </w:rPr>
              <w:t xml:space="preserve"> Wet Tropics - Burdekin</w:t>
            </w:r>
          </w:p>
        </w:tc>
        <w:tc>
          <w:tcPr>
            <w:tcW w:w="601" w:type="dxa"/>
            <w:shd w:val="clear" w:color="auto" w:fill="C2D69B" w:themeFill="accent3" w:themeFillTint="99"/>
            <w:noWrap/>
            <w:tcMar>
              <w:left w:w="57" w:type="dxa"/>
              <w:right w:w="57" w:type="dxa"/>
            </w:tcMar>
            <w:hideMark/>
          </w:tcPr>
          <w:p w14:paraId="78AA42DE" w14:textId="77777777" w:rsidR="00D73026" w:rsidRPr="000B11D5" w:rsidRDefault="00D73026" w:rsidP="00577377">
            <w:pPr>
              <w:rPr>
                <w:rFonts w:ascii="Arial Narrow" w:hAnsi="Arial Narrow"/>
              </w:rPr>
            </w:pPr>
            <w:r w:rsidRPr="000B11D5">
              <w:rPr>
                <w:rFonts w:ascii="Arial Narrow" w:hAnsi="Arial Narrow"/>
              </w:rPr>
              <w:t>0.21</w:t>
            </w:r>
          </w:p>
        </w:tc>
        <w:tc>
          <w:tcPr>
            <w:tcW w:w="597" w:type="dxa"/>
            <w:shd w:val="clear" w:color="auto" w:fill="C2D69B" w:themeFill="accent3" w:themeFillTint="99"/>
            <w:noWrap/>
            <w:tcMar>
              <w:left w:w="57" w:type="dxa"/>
              <w:right w:w="57" w:type="dxa"/>
            </w:tcMar>
            <w:hideMark/>
          </w:tcPr>
          <w:p w14:paraId="36D446A5" w14:textId="77777777" w:rsidR="00D73026" w:rsidRPr="000B11D5" w:rsidRDefault="00D73026" w:rsidP="00577377">
            <w:pPr>
              <w:rPr>
                <w:rFonts w:ascii="Arial Narrow" w:hAnsi="Arial Narrow"/>
              </w:rPr>
            </w:pPr>
            <w:r w:rsidRPr="000B11D5">
              <w:rPr>
                <w:rFonts w:ascii="Arial Narrow" w:hAnsi="Arial Narrow"/>
              </w:rPr>
              <w:t>0.01</w:t>
            </w:r>
          </w:p>
        </w:tc>
        <w:tc>
          <w:tcPr>
            <w:tcW w:w="599" w:type="dxa"/>
            <w:shd w:val="clear" w:color="auto" w:fill="C2D69B" w:themeFill="accent3" w:themeFillTint="99"/>
            <w:noWrap/>
            <w:tcMar>
              <w:left w:w="57" w:type="dxa"/>
              <w:right w:w="57" w:type="dxa"/>
            </w:tcMar>
            <w:hideMark/>
          </w:tcPr>
          <w:p w14:paraId="08A6F57F" w14:textId="77777777" w:rsidR="00D73026" w:rsidRPr="000B11D5" w:rsidRDefault="00D73026" w:rsidP="00577377">
            <w:pPr>
              <w:rPr>
                <w:rFonts w:ascii="Arial Narrow" w:hAnsi="Arial Narrow"/>
              </w:rPr>
            </w:pPr>
            <w:r w:rsidRPr="000B11D5">
              <w:rPr>
                <w:rFonts w:ascii="Arial Narrow" w:hAnsi="Arial Narrow"/>
              </w:rPr>
              <w:t>0.32</w:t>
            </w:r>
          </w:p>
        </w:tc>
        <w:tc>
          <w:tcPr>
            <w:tcW w:w="599" w:type="dxa"/>
            <w:shd w:val="clear" w:color="auto" w:fill="C2D69B" w:themeFill="accent3" w:themeFillTint="99"/>
            <w:noWrap/>
            <w:tcMar>
              <w:left w:w="57" w:type="dxa"/>
              <w:right w:w="57" w:type="dxa"/>
            </w:tcMar>
            <w:hideMark/>
          </w:tcPr>
          <w:p w14:paraId="0824BC8B" w14:textId="77777777" w:rsidR="00D73026" w:rsidRPr="000B11D5" w:rsidRDefault="00D73026" w:rsidP="00577377">
            <w:pPr>
              <w:rPr>
                <w:rFonts w:ascii="Arial Narrow" w:hAnsi="Arial Narrow"/>
              </w:rPr>
            </w:pPr>
            <w:r w:rsidRPr="000B11D5">
              <w:rPr>
                <w:rFonts w:ascii="Arial Narrow" w:hAnsi="Arial Narrow"/>
              </w:rPr>
              <w:t>0.02</w:t>
            </w:r>
          </w:p>
        </w:tc>
        <w:tc>
          <w:tcPr>
            <w:tcW w:w="586" w:type="dxa"/>
            <w:noWrap/>
            <w:tcMar>
              <w:left w:w="57" w:type="dxa"/>
              <w:right w:w="57" w:type="dxa"/>
            </w:tcMar>
            <w:hideMark/>
          </w:tcPr>
          <w:p w14:paraId="0461C4D7" w14:textId="77777777" w:rsidR="00D73026" w:rsidRPr="000B11D5" w:rsidRDefault="00D73026" w:rsidP="00577377">
            <w:pPr>
              <w:rPr>
                <w:rFonts w:ascii="Arial Narrow" w:hAnsi="Arial Narrow"/>
              </w:rPr>
            </w:pPr>
            <w:r w:rsidRPr="000B11D5">
              <w:rPr>
                <w:rFonts w:ascii="Arial Narrow" w:hAnsi="Arial Narrow"/>
              </w:rPr>
              <w:t>0.36</w:t>
            </w:r>
          </w:p>
        </w:tc>
        <w:tc>
          <w:tcPr>
            <w:tcW w:w="636" w:type="dxa"/>
            <w:noWrap/>
            <w:tcMar>
              <w:left w:w="57" w:type="dxa"/>
              <w:right w:w="57" w:type="dxa"/>
            </w:tcMar>
            <w:hideMark/>
          </w:tcPr>
          <w:p w14:paraId="35C92341" w14:textId="77777777" w:rsidR="00D73026" w:rsidRPr="000B11D5" w:rsidRDefault="00D73026" w:rsidP="00577377">
            <w:pPr>
              <w:rPr>
                <w:rFonts w:ascii="Arial Narrow" w:hAnsi="Arial Narrow"/>
              </w:rPr>
            </w:pPr>
            <w:r w:rsidRPr="000B11D5">
              <w:rPr>
                <w:rFonts w:ascii="Arial Narrow" w:hAnsi="Arial Narrow"/>
              </w:rPr>
              <w:t>-0.04</w:t>
            </w:r>
          </w:p>
        </w:tc>
        <w:tc>
          <w:tcPr>
            <w:tcW w:w="586" w:type="dxa"/>
            <w:shd w:val="clear" w:color="auto" w:fill="C2D69B" w:themeFill="accent3" w:themeFillTint="99"/>
            <w:noWrap/>
            <w:tcMar>
              <w:left w:w="57" w:type="dxa"/>
              <w:right w:w="57" w:type="dxa"/>
            </w:tcMar>
            <w:hideMark/>
          </w:tcPr>
          <w:p w14:paraId="005A4278" w14:textId="77777777" w:rsidR="00D73026" w:rsidRPr="000B11D5" w:rsidRDefault="00D73026" w:rsidP="00577377">
            <w:pPr>
              <w:rPr>
                <w:rFonts w:ascii="Arial Narrow" w:hAnsi="Arial Narrow"/>
              </w:rPr>
            </w:pPr>
            <w:r w:rsidRPr="000B11D5">
              <w:rPr>
                <w:rFonts w:ascii="Arial Narrow" w:hAnsi="Arial Narrow"/>
              </w:rPr>
              <w:t>0.45</w:t>
            </w:r>
          </w:p>
        </w:tc>
        <w:tc>
          <w:tcPr>
            <w:tcW w:w="636" w:type="dxa"/>
            <w:shd w:val="clear" w:color="auto" w:fill="C2D69B" w:themeFill="accent3" w:themeFillTint="99"/>
            <w:noWrap/>
            <w:tcMar>
              <w:left w:w="57" w:type="dxa"/>
              <w:right w:w="57" w:type="dxa"/>
            </w:tcMar>
            <w:hideMark/>
          </w:tcPr>
          <w:p w14:paraId="21B49E82" w14:textId="77777777" w:rsidR="00D73026" w:rsidRPr="000B11D5" w:rsidRDefault="00D73026" w:rsidP="00577377">
            <w:pPr>
              <w:rPr>
                <w:rFonts w:ascii="Arial Narrow" w:hAnsi="Arial Narrow"/>
              </w:rPr>
            </w:pPr>
            <w:r w:rsidRPr="000B11D5">
              <w:rPr>
                <w:rFonts w:ascii="Arial Narrow" w:hAnsi="Arial Narrow"/>
              </w:rPr>
              <w:t>0.11</w:t>
            </w:r>
          </w:p>
        </w:tc>
        <w:tc>
          <w:tcPr>
            <w:tcW w:w="586" w:type="dxa"/>
            <w:noWrap/>
            <w:tcMar>
              <w:left w:w="57" w:type="dxa"/>
              <w:right w:w="57" w:type="dxa"/>
            </w:tcMar>
            <w:hideMark/>
          </w:tcPr>
          <w:p w14:paraId="29319B73" w14:textId="77777777" w:rsidR="00D73026" w:rsidRPr="000B11D5" w:rsidRDefault="00D73026" w:rsidP="00577377">
            <w:pPr>
              <w:rPr>
                <w:rFonts w:ascii="Arial Narrow" w:hAnsi="Arial Narrow"/>
              </w:rPr>
            </w:pPr>
            <w:r w:rsidRPr="000B11D5">
              <w:rPr>
                <w:rFonts w:ascii="Arial Narrow" w:hAnsi="Arial Narrow"/>
              </w:rPr>
              <w:t>0.27</w:t>
            </w:r>
          </w:p>
        </w:tc>
        <w:tc>
          <w:tcPr>
            <w:tcW w:w="678" w:type="dxa"/>
            <w:noWrap/>
            <w:tcMar>
              <w:left w:w="57" w:type="dxa"/>
              <w:right w:w="57" w:type="dxa"/>
            </w:tcMar>
            <w:hideMark/>
          </w:tcPr>
          <w:p w14:paraId="6F2551CF" w14:textId="77777777" w:rsidR="00D73026" w:rsidRPr="000B11D5" w:rsidRDefault="00D73026" w:rsidP="00577377">
            <w:pPr>
              <w:rPr>
                <w:rFonts w:ascii="Arial Narrow" w:hAnsi="Arial Narrow"/>
              </w:rPr>
            </w:pPr>
            <w:r w:rsidRPr="000B11D5">
              <w:rPr>
                <w:rFonts w:ascii="Arial Narrow" w:hAnsi="Arial Narrow"/>
              </w:rPr>
              <w:t>-0.09</w:t>
            </w:r>
          </w:p>
        </w:tc>
        <w:tc>
          <w:tcPr>
            <w:tcW w:w="683" w:type="dxa"/>
            <w:noWrap/>
            <w:tcMar>
              <w:left w:w="57" w:type="dxa"/>
              <w:right w:w="57" w:type="dxa"/>
            </w:tcMar>
            <w:vAlign w:val="bottom"/>
            <w:hideMark/>
          </w:tcPr>
          <w:p w14:paraId="05C05389" w14:textId="77777777" w:rsidR="00D73026" w:rsidRPr="00926663" w:rsidRDefault="00D73026" w:rsidP="00577377">
            <w:pPr>
              <w:rPr>
                <w:rFonts w:ascii="Arial Narrow" w:hAnsi="Arial Narrow"/>
              </w:rPr>
            </w:pPr>
            <w:r w:rsidRPr="00836156">
              <w:rPr>
                <w:rFonts w:ascii="Arial Narrow" w:hAnsi="Arial Narrow"/>
                <w:color w:val="000000"/>
              </w:rPr>
              <w:t>0.15</w:t>
            </w:r>
          </w:p>
        </w:tc>
        <w:tc>
          <w:tcPr>
            <w:tcW w:w="550" w:type="dxa"/>
            <w:noWrap/>
            <w:tcMar>
              <w:left w:w="57" w:type="dxa"/>
              <w:right w:w="57" w:type="dxa"/>
            </w:tcMar>
            <w:vAlign w:val="bottom"/>
            <w:hideMark/>
          </w:tcPr>
          <w:p w14:paraId="3E516073" w14:textId="77777777" w:rsidR="00D73026" w:rsidRPr="00926663" w:rsidRDefault="00D73026" w:rsidP="00577377">
            <w:pPr>
              <w:rPr>
                <w:rFonts w:ascii="Arial Narrow" w:hAnsi="Arial Narrow"/>
              </w:rPr>
            </w:pPr>
            <w:r w:rsidRPr="00836156">
              <w:rPr>
                <w:rFonts w:ascii="Arial Narrow" w:hAnsi="Arial Narrow"/>
                <w:color w:val="000000"/>
              </w:rPr>
              <w:t>-0.65</w:t>
            </w:r>
          </w:p>
        </w:tc>
      </w:tr>
      <w:tr w:rsidR="00D73026" w:rsidRPr="003A1DD4" w14:paraId="15C4E329" w14:textId="77777777" w:rsidTr="00577377">
        <w:trPr>
          <w:trHeight w:val="300"/>
        </w:trPr>
        <w:tc>
          <w:tcPr>
            <w:tcW w:w="2518" w:type="dxa"/>
            <w:noWrap/>
            <w:tcMar>
              <w:left w:w="57" w:type="dxa"/>
              <w:right w:w="57" w:type="dxa"/>
            </w:tcMar>
            <w:hideMark/>
          </w:tcPr>
          <w:p w14:paraId="0AAA45F7" w14:textId="77777777" w:rsidR="00D73026" w:rsidRPr="000B11D5" w:rsidRDefault="00D73026" w:rsidP="00577377">
            <w:pPr>
              <w:jc w:val="left"/>
              <w:rPr>
                <w:rFonts w:ascii="Arial Narrow" w:hAnsi="Arial Narrow"/>
              </w:rPr>
            </w:pPr>
            <w:r w:rsidRPr="000B11D5">
              <w:rPr>
                <w:rFonts w:ascii="Arial Narrow" w:hAnsi="Arial Narrow"/>
              </w:rPr>
              <w:t>Wet Tropics - Fitzroy</w:t>
            </w:r>
          </w:p>
        </w:tc>
        <w:tc>
          <w:tcPr>
            <w:tcW w:w="601" w:type="dxa"/>
            <w:shd w:val="clear" w:color="auto" w:fill="C2D69B" w:themeFill="accent3" w:themeFillTint="99"/>
            <w:noWrap/>
            <w:tcMar>
              <w:left w:w="57" w:type="dxa"/>
              <w:right w:w="57" w:type="dxa"/>
            </w:tcMar>
            <w:hideMark/>
          </w:tcPr>
          <w:p w14:paraId="414AD9F7" w14:textId="77777777" w:rsidR="00D73026" w:rsidRPr="000B11D5" w:rsidRDefault="00D73026" w:rsidP="00577377">
            <w:pPr>
              <w:rPr>
                <w:rFonts w:ascii="Arial Narrow" w:hAnsi="Arial Narrow"/>
              </w:rPr>
            </w:pPr>
            <w:r w:rsidRPr="000B11D5">
              <w:rPr>
                <w:rFonts w:ascii="Arial Narrow" w:hAnsi="Arial Narrow"/>
              </w:rPr>
              <w:t>0.41</w:t>
            </w:r>
          </w:p>
        </w:tc>
        <w:tc>
          <w:tcPr>
            <w:tcW w:w="597" w:type="dxa"/>
            <w:shd w:val="clear" w:color="auto" w:fill="C2D69B" w:themeFill="accent3" w:themeFillTint="99"/>
            <w:noWrap/>
            <w:tcMar>
              <w:left w:w="57" w:type="dxa"/>
              <w:right w:w="57" w:type="dxa"/>
            </w:tcMar>
            <w:hideMark/>
          </w:tcPr>
          <w:p w14:paraId="6F98AC46" w14:textId="77777777" w:rsidR="00D73026" w:rsidRPr="000B11D5" w:rsidRDefault="00D73026" w:rsidP="00577377">
            <w:pPr>
              <w:rPr>
                <w:rFonts w:ascii="Arial Narrow" w:hAnsi="Arial Narrow"/>
              </w:rPr>
            </w:pPr>
            <w:r w:rsidRPr="000B11D5">
              <w:rPr>
                <w:rFonts w:ascii="Arial Narrow" w:hAnsi="Arial Narrow"/>
              </w:rPr>
              <w:t>0.22</w:t>
            </w:r>
          </w:p>
        </w:tc>
        <w:tc>
          <w:tcPr>
            <w:tcW w:w="599" w:type="dxa"/>
            <w:shd w:val="clear" w:color="auto" w:fill="C2D69B" w:themeFill="accent3" w:themeFillTint="99"/>
            <w:noWrap/>
            <w:tcMar>
              <w:left w:w="57" w:type="dxa"/>
              <w:right w:w="57" w:type="dxa"/>
            </w:tcMar>
            <w:hideMark/>
          </w:tcPr>
          <w:p w14:paraId="4F15E793" w14:textId="77777777" w:rsidR="00D73026" w:rsidRPr="000B11D5" w:rsidRDefault="00D73026" w:rsidP="00577377">
            <w:pPr>
              <w:rPr>
                <w:rFonts w:ascii="Arial Narrow" w:hAnsi="Arial Narrow"/>
              </w:rPr>
            </w:pPr>
            <w:r w:rsidRPr="000B11D5">
              <w:rPr>
                <w:rFonts w:ascii="Arial Narrow" w:hAnsi="Arial Narrow"/>
              </w:rPr>
              <w:t>0.40</w:t>
            </w:r>
          </w:p>
        </w:tc>
        <w:tc>
          <w:tcPr>
            <w:tcW w:w="599" w:type="dxa"/>
            <w:shd w:val="clear" w:color="auto" w:fill="C2D69B" w:themeFill="accent3" w:themeFillTint="99"/>
            <w:noWrap/>
            <w:tcMar>
              <w:left w:w="57" w:type="dxa"/>
              <w:right w:w="57" w:type="dxa"/>
            </w:tcMar>
            <w:hideMark/>
          </w:tcPr>
          <w:p w14:paraId="1661CCD8" w14:textId="77777777" w:rsidR="00D73026" w:rsidRPr="000B11D5" w:rsidRDefault="00D73026" w:rsidP="00577377">
            <w:pPr>
              <w:rPr>
                <w:rFonts w:ascii="Arial Narrow" w:hAnsi="Arial Narrow"/>
              </w:rPr>
            </w:pPr>
            <w:r w:rsidRPr="000B11D5">
              <w:rPr>
                <w:rFonts w:ascii="Arial Narrow" w:hAnsi="Arial Narrow"/>
              </w:rPr>
              <w:t>0.11</w:t>
            </w:r>
          </w:p>
        </w:tc>
        <w:tc>
          <w:tcPr>
            <w:tcW w:w="586" w:type="dxa"/>
            <w:shd w:val="clear" w:color="auto" w:fill="C2D69B" w:themeFill="accent3" w:themeFillTint="99"/>
            <w:noWrap/>
            <w:tcMar>
              <w:left w:w="57" w:type="dxa"/>
              <w:right w:w="57" w:type="dxa"/>
            </w:tcMar>
            <w:hideMark/>
          </w:tcPr>
          <w:p w14:paraId="40FC3729" w14:textId="77777777" w:rsidR="00D73026" w:rsidRPr="000B11D5" w:rsidRDefault="00D73026" w:rsidP="00577377">
            <w:pPr>
              <w:rPr>
                <w:rFonts w:ascii="Arial Narrow" w:hAnsi="Arial Narrow"/>
              </w:rPr>
            </w:pPr>
            <w:r w:rsidRPr="000B11D5">
              <w:rPr>
                <w:rFonts w:ascii="Arial Narrow" w:hAnsi="Arial Narrow"/>
              </w:rPr>
              <w:t>0.42</w:t>
            </w:r>
          </w:p>
        </w:tc>
        <w:tc>
          <w:tcPr>
            <w:tcW w:w="636" w:type="dxa"/>
            <w:shd w:val="clear" w:color="auto" w:fill="C2D69B" w:themeFill="accent3" w:themeFillTint="99"/>
            <w:noWrap/>
            <w:tcMar>
              <w:left w:w="57" w:type="dxa"/>
              <w:right w:w="57" w:type="dxa"/>
            </w:tcMar>
            <w:hideMark/>
          </w:tcPr>
          <w:p w14:paraId="26DCFEAE" w14:textId="77777777" w:rsidR="00D73026" w:rsidRPr="000B11D5" w:rsidRDefault="00D73026" w:rsidP="00577377">
            <w:pPr>
              <w:rPr>
                <w:rFonts w:ascii="Arial Narrow" w:hAnsi="Arial Narrow"/>
              </w:rPr>
            </w:pPr>
            <w:r w:rsidRPr="000B11D5">
              <w:rPr>
                <w:rFonts w:ascii="Arial Narrow" w:hAnsi="Arial Narrow"/>
              </w:rPr>
              <w:t>0.05</w:t>
            </w:r>
          </w:p>
        </w:tc>
        <w:tc>
          <w:tcPr>
            <w:tcW w:w="586" w:type="dxa"/>
            <w:shd w:val="clear" w:color="auto" w:fill="C2D69B" w:themeFill="accent3" w:themeFillTint="99"/>
            <w:noWrap/>
            <w:tcMar>
              <w:left w:w="57" w:type="dxa"/>
              <w:right w:w="57" w:type="dxa"/>
            </w:tcMar>
            <w:hideMark/>
          </w:tcPr>
          <w:p w14:paraId="07232A70" w14:textId="77777777" w:rsidR="00D73026" w:rsidRPr="000B11D5" w:rsidRDefault="00D73026" w:rsidP="00577377">
            <w:pPr>
              <w:rPr>
                <w:rFonts w:ascii="Arial Narrow" w:hAnsi="Arial Narrow"/>
              </w:rPr>
            </w:pPr>
            <w:r w:rsidRPr="000B11D5">
              <w:rPr>
                <w:rFonts w:ascii="Arial Narrow" w:hAnsi="Arial Narrow"/>
              </w:rPr>
              <w:t>0.51</w:t>
            </w:r>
          </w:p>
        </w:tc>
        <w:tc>
          <w:tcPr>
            <w:tcW w:w="636" w:type="dxa"/>
            <w:shd w:val="clear" w:color="auto" w:fill="C2D69B" w:themeFill="accent3" w:themeFillTint="99"/>
            <w:noWrap/>
            <w:tcMar>
              <w:left w:w="57" w:type="dxa"/>
              <w:right w:w="57" w:type="dxa"/>
            </w:tcMar>
            <w:hideMark/>
          </w:tcPr>
          <w:p w14:paraId="6B1FBA44" w14:textId="77777777" w:rsidR="00D73026" w:rsidRPr="000B11D5" w:rsidRDefault="00D73026" w:rsidP="00577377">
            <w:pPr>
              <w:rPr>
                <w:rFonts w:ascii="Arial Narrow" w:hAnsi="Arial Narrow"/>
              </w:rPr>
            </w:pPr>
            <w:r w:rsidRPr="000B11D5">
              <w:rPr>
                <w:rFonts w:ascii="Arial Narrow" w:hAnsi="Arial Narrow"/>
              </w:rPr>
              <w:t>0.13</w:t>
            </w:r>
          </w:p>
        </w:tc>
        <w:tc>
          <w:tcPr>
            <w:tcW w:w="586" w:type="dxa"/>
            <w:shd w:val="clear" w:color="auto" w:fill="C2D69B" w:themeFill="accent3" w:themeFillTint="99"/>
            <w:noWrap/>
            <w:tcMar>
              <w:left w:w="57" w:type="dxa"/>
              <w:right w:w="57" w:type="dxa"/>
            </w:tcMar>
            <w:hideMark/>
          </w:tcPr>
          <w:p w14:paraId="3B39A9A8" w14:textId="77777777" w:rsidR="00D73026" w:rsidRPr="000B11D5" w:rsidRDefault="00D73026" w:rsidP="00577377">
            <w:pPr>
              <w:rPr>
                <w:rFonts w:ascii="Arial Narrow" w:hAnsi="Arial Narrow"/>
              </w:rPr>
            </w:pPr>
            <w:r w:rsidRPr="000B11D5">
              <w:rPr>
                <w:rFonts w:ascii="Arial Narrow" w:hAnsi="Arial Narrow"/>
              </w:rPr>
              <w:t>0.51</w:t>
            </w:r>
          </w:p>
        </w:tc>
        <w:tc>
          <w:tcPr>
            <w:tcW w:w="678" w:type="dxa"/>
            <w:shd w:val="clear" w:color="auto" w:fill="C2D69B" w:themeFill="accent3" w:themeFillTint="99"/>
            <w:noWrap/>
            <w:tcMar>
              <w:left w:w="57" w:type="dxa"/>
              <w:right w:w="57" w:type="dxa"/>
            </w:tcMar>
            <w:hideMark/>
          </w:tcPr>
          <w:p w14:paraId="2E2E5BB0" w14:textId="77777777" w:rsidR="00D73026" w:rsidRPr="000B11D5" w:rsidRDefault="00D73026" w:rsidP="00577377">
            <w:pPr>
              <w:rPr>
                <w:rFonts w:ascii="Arial Narrow" w:hAnsi="Arial Narrow"/>
              </w:rPr>
            </w:pPr>
            <w:r w:rsidRPr="000B11D5">
              <w:rPr>
                <w:rFonts w:ascii="Arial Narrow" w:hAnsi="Arial Narrow"/>
              </w:rPr>
              <w:t>0.15</w:t>
            </w:r>
          </w:p>
        </w:tc>
        <w:tc>
          <w:tcPr>
            <w:tcW w:w="683" w:type="dxa"/>
            <w:noWrap/>
            <w:tcMar>
              <w:left w:w="57" w:type="dxa"/>
              <w:right w:w="57" w:type="dxa"/>
            </w:tcMar>
            <w:vAlign w:val="bottom"/>
            <w:hideMark/>
          </w:tcPr>
          <w:p w14:paraId="4380379E" w14:textId="77777777" w:rsidR="00D73026" w:rsidRPr="00926663" w:rsidRDefault="00D73026" w:rsidP="00577377">
            <w:pPr>
              <w:rPr>
                <w:rFonts w:ascii="Arial Narrow" w:hAnsi="Arial Narrow"/>
              </w:rPr>
            </w:pPr>
            <w:r w:rsidRPr="00836156">
              <w:rPr>
                <w:rFonts w:ascii="Arial Narrow" w:hAnsi="Arial Narrow"/>
                <w:color w:val="000000"/>
              </w:rPr>
              <w:t>0.04</w:t>
            </w:r>
          </w:p>
        </w:tc>
        <w:tc>
          <w:tcPr>
            <w:tcW w:w="550" w:type="dxa"/>
            <w:noWrap/>
            <w:tcMar>
              <w:left w:w="57" w:type="dxa"/>
              <w:right w:w="57" w:type="dxa"/>
            </w:tcMar>
            <w:vAlign w:val="bottom"/>
            <w:hideMark/>
          </w:tcPr>
          <w:p w14:paraId="28E28995" w14:textId="77777777" w:rsidR="00D73026" w:rsidRPr="00926663" w:rsidRDefault="00D73026" w:rsidP="00577377">
            <w:pPr>
              <w:rPr>
                <w:rFonts w:ascii="Arial Narrow" w:hAnsi="Arial Narrow"/>
              </w:rPr>
            </w:pPr>
            <w:r w:rsidRPr="00836156">
              <w:rPr>
                <w:rFonts w:ascii="Arial Narrow" w:hAnsi="Arial Narrow"/>
                <w:color w:val="000000"/>
              </w:rPr>
              <w:t>-0.79</w:t>
            </w:r>
          </w:p>
        </w:tc>
      </w:tr>
      <w:tr w:rsidR="00D73026" w:rsidRPr="003A1DD4" w14:paraId="10268A59" w14:textId="77777777" w:rsidTr="00577377">
        <w:trPr>
          <w:trHeight w:val="300"/>
        </w:trPr>
        <w:tc>
          <w:tcPr>
            <w:tcW w:w="2518" w:type="dxa"/>
            <w:noWrap/>
            <w:tcMar>
              <w:left w:w="57" w:type="dxa"/>
              <w:right w:w="57" w:type="dxa"/>
            </w:tcMar>
            <w:hideMark/>
          </w:tcPr>
          <w:p w14:paraId="3D4B610E" w14:textId="77777777" w:rsidR="00D73026" w:rsidRPr="000B11D5" w:rsidRDefault="00D73026" w:rsidP="00577377">
            <w:pPr>
              <w:jc w:val="left"/>
              <w:rPr>
                <w:rFonts w:ascii="Arial Narrow" w:hAnsi="Arial Narrow"/>
              </w:rPr>
            </w:pPr>
            <w:r w:rsidRPr="000B11D5">
              <w:rPr>
                <w:rFonts w:ascii="Arial Narrow" w:hAnsi="Arial Narrow"/>
              </w:rPr>
              <w:t xml:space="preserve">Mackay Whitsunday -Burdekin </w:t>
            </w:r>
          </w:p>
        </w:tc>
        <w:tc>
          <w:tcPr>
            <w:tcW w:w="601" w:type="dxa"/>
            <w:shd w:val="clear" w:color="auto" w:fill="C2D69B" w:themeFill="accent3" w:themeFillTint="99"/>
            <w:noWrap/>
            <w:tcMar>
              <w:left w:w="57" w:type="dxa"/>
              <w:right w:w="57" w:type="dxa"/>
            </w:tcMar>
            <w:hideMark/>
          </w:tcPr>
          <w:p w14:paraId="0FD722AA" w14:textId="77777777" w:rsidR="00D73026" w:rsidRPr="000B11D5" w:rsidRDefault="00D73026" w:rsidP="00577377">
            <w:pPr>
              <w:rPr>
                <w:rFonts w:ascii="Arial Narrow" w:hAnsi="Arial Narrow"/>
              </w:rPr>
            </w:pPr>
            <w:r w:rsidRPr="000B11D5">
              <w:rPr>
                <w:rFonts w:ascii="Arial Narrow" w:hAnsi="Arial Narrow"/>
              </w:rPr>
              <w:t>0.28</w:t>
            </w:r>
          </w:p>
        </w:tc>
        <w:tc>
          <w:tcPr>
            <w:tcW w:w="597" w:type="dxa"/>
            <w:shd w:val="clear" w:color="auto" w:fill="C2D69B" w:themeFill="accent3" w:themeFillTint="99"/>
            <w:noWrap/>
            <w:tcMar>
              <w:left w:w="57" w:type="dxa"/>
              <w:right w:w="57" w:type="dxa"/>
            </w:tcMar>
            <w:hideMark/>
          </w:tcPr>
          <w:p w14:paraId="4B599FA9" w14:textId="77777777" w:rsidR="00D73026" w:rsidRPr="000B11D5" w:rsidRDefault="00D73026" w:rsidP="00577377">
            <w:pPr>
              <w:rPr>
                <w:rFonts w:ascii="Arial Narrow" w:hAnsi="Arial Narrow"/>
              </w:rPr>
            </w:pPr>
            <w:r w:rsidRPr="000B11D5">
              <w:rPr>
                <w:rFonts w:ascii="Arial Narrow" w:hAnsi="Arial Narrow"/>
              </w:rPr>
              <w:t>0.07</w:t>
            </w:r>
          </w:p>
        </w:tc>
        <w:tc>
          <w:tcPr>
            <w:tcW w:w="599" w:type="dxa"/>
            <w:shd w:val="clear" w:color="auto" w:fill="C2D69B" w:themeFill="accent3" w:themeFillTint="99"/>
            <w:noWrap/>
            <w:tcMar>
              <w:left w:w="57" w:type="dxa"/>
              <w:right w:w="57" w:type="dxa"/>
            </w:tcMar>
            <w:hideMark/>
          </w:tcPr>
          <w:p w14:paraId="484EF04F" w14:textId="77777777" w:rsidR="00D73026" w:rsidRPr="000B11D5" w:rsidRDefault="00D73026" w:rsidP="00577377">
            <w:pPr>
              <w:rPr>
                <w:rFonts w:ascii="Arial Narrow" w:hAnsi="Arial Narrow"/>
              </w:rPr>
            </w:pPr>
            <w:r w:rsidRPr="000B11D5">
              <w:rPr>
                <w:rFonts w:ascii="Arial Narrow" w:hAnsi="Arial Narrow"/>
              </w:rPr>
              <w:t>0.51</w:t>
            </w:r>
          </w:p>
        </w:tc>
        <w:tc>
          <w:tcPr>
            <w:tcW w:w="599" w:type="dxa"/>
            <w:shd w:val="clear" w:color="auto" w:fill="C2D69B" w:themeFill="accent3" w:themeFillTint="99"/>
            <w:noWrap/>
            <w:tcMar>
              <w:left w:w="57" w:type="dxa"/>
              <w:right w:w="57" w:type="dxa"/>
            </w:tcMar>
            <w:hideMark/>
          </w:tcPr>
          <w:p w14:paraId="1765DF58" w14:textId="77777777" w:rsidR="00D73026" w:rsidRPr="000B11D5" w:rsidRDefault="00D73026" w:rsidP="00577377">
            <w:pPr>
              <w:rPr>
                <w:rFonts w:ascii="Arial Narrow" w:hAnsi="Arial Narrow"/>
              </w:rPr>
            </w:pPr>
            <w:r w:rsidRPr="000B11D5">
              <w:rPr>
                <w:rFonts w:ascii="Arial Narrow" w:hAnsi="Arial Narrow"/>
              </w:rPr>
              <w:t>0.21</w:t>
            </w:r>
          </w:p>
        </w:tc>
        <w:tc>
          <w:tcPr>
            <w:tcW w:w="586" w:type="dxa"/>
            <w:shd w:val="clear" w:color="auto" w:fill="C2D69B" w:themeFill="accent3" w:themeFillTint="99"/>
            <w:noWrap/>
            <w:tcMar>
              <w:left w:w="57" w:type="dxa"/>
              <w:right w:w="57" w:type="dxa"/>
            </w:tcMar>
            <w:hideMark/>
          </w:tcPr>
          <w:p w14:paraId="3A35E1E0" w14:textId="77777777" w:rsidR="00D73026" w:rsidRPr="000B11D5" w:rsidRDefault="00D73026" w:rsidP="00577377">
            <w:pPr>
              <w:rPr>
                <w:rFonts w:ascii="Arial Narrow" w:hAnsi="Arial Narrow"/>
              </w:rPr>
            </w:pPr>
            <w:r w:rsidRPr="000B11D5">
              <w:rPr>
                <w:rFonts w:ascii="Arial Narrow" w:hAnsi="Arial Narrow"/>
              </w:rPr>
              <w:t>0.53</w:t>
            </w:r>
          </w:p>
        </w:tc>
        <w:tc>
          <w:tcPr>
            <w:tcW w:w="636" w:type="dxa"/>
            <w:shd w:val="clear" w:color="auto" w:fill="C2D69B" w:themeFill="accent3" w:themeFillTint="99"/>
            <w:noWrap/>
            <w:tcMar>
              <w:left w:w="57" w:type="dxa"/>
              <w:right w:w="57" w:type="dxa"/>
            </w:tcMar>
            <w:hideMark/>
          </w:tcPr>
          <w:p w14:paraId="40271CFA" w14:textId="77777777" w:rsidR="00D73026" w:rsidRPr="000B11D5" w:rsidRDefault="00D73026" w:rsidP="00577377">
            <w:pPr>
              <w:rPr>
                <w:rFonts w:ascii="Arial Narrow" w:hAnsi="Arial Narrow"/>
              </w:rPr>
            </w:pPr>
            <w:r w:rsidRPr="000B11D5">
              <w:rPr>
                <w:rFonts w:ascii="Arial Narrow" w:hAnsi="Arial Narrow"/>
              </w:rPr>
              <w:t>0.10</w:t>
            </w:r>
          </w:p>
        </w:tc>
        <w:tc>
          <w:tcPr>
            <w:tcW w:w="586" w:type="dxa"/>
            <w:noWrap/>
            <w:tcMar>
              <w:left w:w="57" w:type="dxa"/>
              <w:right w:w="57" w:type="dxa"/>
            </w:tcMar>
            <w:hideMark/>
          </w:tcPr>
          <w:p w14:paraId="378F6B0D" w14:textId="77777777" w:rsidR="00D73026" w:rsidRPr="000B11D5" w:rsidRDefault="00D73026" w:rsidP="00577377">
            <w:pPr>
              <w:rPr>
                <w:rFonts w:ascii="Arial Narrow" w:hAnsi="Arial Narrow"/>
              </w:rPr>
            </w:pPr>
            <w:r w:rsidRPr="000B11D5">
              <w:rPr>
                <w:rFonts w:ascii="Arial Narrow" w:hAnsi="Arial Narrow"/>
              </w:rPr>
              <w:t>0.11</w:t>
            </w:r>
          </w:p>
        </w:tc>
        <w:tc>
          <w:tcPr>
            <w:tcW w:w="636" w:type="dxa"/>
            <w:noWrap/>
            <w:tcMar>
              <w:left w:w="57" w:type="dxa"/>
              <w:right w:w="57" w:type="dxa"/>
            </w:tcMar>
            <w:hideMark/>
          </w:tcPr>
          <w:p w14:paraId="140AAF76" w14:textId="77777777" w:rsidR="00D73026" w:rsidRPr="000B11D5" w:rsidRDefault="00D73026" w:rsidP="00577377">
            <w:pPr>
              <w:rPr>
                <w:rFonts w:ascii="Arial Narrow" w:hAnsi="Arial Narrow"/>
              </w:rPr>
            </w:pPr>
            <w:r w:rsidRPr="000B11D5">
              <w:rPr>
                <w:rFonts w:ascii="Arial Narrow" w:hAnsi="Arial Narrow"/>
              </w:rPr>
              <w:t>-0.25</w:t>
            </w:r>
          </w:p>
        </w:tc>
        <w:tc>
          <w:tcPr>
            <w:tcW w:w="586" w:type="dxa"/>
            <w:noWrap/>
            <w:tcMar>
              <w:left w:w="57" w:type="dxa"/>
              <w:right w:w="57" w:type="dxa"/>
            </w:tcMar>
            <w:hideMark/>
          </w:tcPr>
          <w:p w14:paraId="78F9FE42" w14:textId="77777777" w:rsidR="00D73026" w:rsidRPr="000B11D5" w:rsidRDefault="00D73026" w:rsidP="00577377">
            <w:pPr>
              <w:rPr>
                <w:rFonts w:ascii="Arial Narrow" w:hAnsi="Arial Narrow"/>
              </w:rPr>
            </w:pPr>
            <w:r w:rsidRPr="000B11D5">
              <w:rPr>
                <w:rFonts w:ascii="Arial Narrow" w:hAnsi="Arial Narrow"/>
              </w:rPr>
              <w:t>0.27</w:t>
            </w:r>
          </w:p>
        </w:tc>
        <w:tc>
          <w:tcPr>
            <w:tcW w:w="678" w:type="dxa"/>
            <w:noWrap/>
            <w:tcMar>
              <w:left w:w="57" w:type="dxa"/>
              <w:right w:w="57" w:type="dxa"/>
            </w:tcMar>
            <w:hideMark/>
          </w:tcPr>
          <w:p w14:paraId="299C1341" w14:textId="77777777" w:rsidR="00D73026" w:rsidRPr="000B11D5" w:rsidRDefault="00D73026" w:rsidP="00577377">
            <w:pPr>
              <w:rPr>
                <w:rFonts w:ascii="Arial Narrow" w:hAnsi="Arial Narrow"/>
              </w:rPr>
            </w:pPr>
            <w:r w:rsidRPr="000B11D5">
              <w:rPr>
                <w:rFonts w:ascii="Arial Narrow" w:hAnsi="Arial Narrow"/>
              </w:rPr>
              <w:t>-0.11</w:t>
            </w:r>
          </w:p>
        </w:tc>
        <w:tc>
          <w:tcPr>
            <w:tcW w:w="683" w:type="dxa"/>
            <w:shd w:val="clear" w:color="auto" w:fill="C2D69B" w:themeFill="accent3" w:themeFillTint="99"/>
            <w:noWrap/>
            <w:tcMar>
              <w:left w:w="57" w:type="dxa"/>
              <w:right w:w="57" w:type="dxa"/>
            </w:tcMar>
            <w:vAlign w:val="bottom"/>
            <w:hideMark/>
          </w:tcPr>
          <w:p w14:paraId="639B6008" w14:textId="77777777" w:rsidR="00D73026" w:rsidRPr="00926663" w:rsidRDefault="00D73026" w:rsidP="00577377">
            <w:pPr>
              <w:rPr>
                <w:rFonts w:ascii="Arial Narrow" w:hAnsi="Arial Narrow"/>
              </w:rPr>
            </w:pPr>
            <w:r w:rsidRPr="00836156">
              <w:rPr>
                <w:rFonts w:ascii="Arial Narrow" w:hAnsi="Arial Narrow"/>
                <w:color w:val="000000"/>
              </w:rPr>
              <w:t>0.75</w:t>
            </w:r>
          </w:p>
        </w:tc>
        <w:tc>
          <w:tcPr>
            <w:tcW w:w="550" w:type="dxa"/>
            <w:shd w:val="clear" w:color="auto" w:fill="C2D69B" w:themeFill="accent3" w:themeFillTint="99"/>
            <w:noWrap/>
            <w:tcMar>
              <w:left w:w="57" w:type="dxa"/>
              <w:right w:w="57" w:type="dxa"/>
            </w:tcMar>
            <w:vAlign w:val="bottom"/>
            <w:hideMark/>
          </w:tcPr>
          <w:p w14:paraId="5ABFEE51" w14:textId="77777777" w:rsidR="00D73026" w:rsidRPr="00926663" w:rsidRDefault="00D73026" w:rsidP="00577377">
            <w:pPr>
              <w:rPr>
                <w:rFonts w:ascii="Arial Narrow" w:hAnsi="Arial Narrow"/>
              </w:rPr>
            </w:pPr>
            <w:r w:rsidRPr="00836156">
              <w:rPr>
                <w:rFonts w:ascii="Arial Narrow" w:hAnsi="Arial Narrow"/>
                <w:color w:val="000000"/>
              </w:rPr>
              <w:t>0.20</w:t>
            </w:r>
          </w:p>
        </w:tc>
      </w:tr>
      <w:tr w:rsidR="00D73026" w:rsidRPr="003A1DD4" w14:paraId="5C17A52B" w14:textId="77777777" w:rsidTr="00577377">
        <w:trPr>
          <w:trHeight w:val="300"/>
        </w:trPr>
        <w:tc>
          <w:tcPr>
            <w:tcW w:w="2518" w:type="dxa"/>
            <w:noWrap/>
            <w:tcMar>
              <w:left w:w="57" w:type="dxa"/>
              <w:right w:w="57" w:type="dxa"/>
            </w:tcMar>
            <w:hideMark/>
          </w:tcPr>
          <w:p w14:paraId="3196218B" w14:textId="77777777" w:rsidR="00D73026" w:rsidRPr="000B11D5" w:rsidRDefault="00D73026" w:rsidP="00577377">
            <w:pPr>
              <w:jc w:val="left"/>
              <w:rPr>
                <w:rFonts w:ascii="Arial Narrow" w:hAnsi="Arial Narrow"/>
              </w:rPr>
            </w:pPr>
            <w:r w:rsidRPr="000B11D5">
              <w:rPr>
                <w:rFonts w:ascii="Arial Narrow" w:hAnsi="Arial Narrow"/>
              </w:rPr>
              <w:t>Mackay Whitsunday - Fitzroy</w:t>
            </w:r>
          </w:p>
        </w:tc>
        <w:tc>
          <w:tcPr>
            <w:tcW w:w="601" w:type="dxa"/>
            <w:shd w:val="clear" w:color="auto" w:fill="C2D69B" w:themeFill="accent3" w:themeFillTint="99"/>
            <w:noWrap/>
            <w:tcMar>
              <w:left w:w="57" w:type="dxa"/>
              <w:right w:w="57" w:type="dxa"/>
            </w:tcMar>
            <w:hideMark/>
          </w:tcPr>
          <w:p w14:paraId="6791A796" w14:textId="77777777" w:rsidR="00D73026" w:rsidRPr="000B11D5" w:rsidRDefault="00D73026" w:rsidP="00577377">
            <w:pPr>
              <w:rPr>
                <w:rFonts w:ascii="Arial Narrow" w:hAnsi="Arial Narrow"/>
              </w:rPr>
            </w:pPr>
            <w:r w:rsidRPr="000B11D5">
              <w:rPr>
                <w:rFonts w:ascii="Arial Narrow" w:hAnsi="Arial Narrow"/>
              </w:rPr>
              <w:t>0.47</w:t>
            </w:r>
          </w:p>
        </w:tc>
        <w:tc>
          <w:tcPr>
            <w:tcW w:w="597" w:type="dxa"/>
            <w:shd w:val="clear" w:color="auto" w:fill="C2D69B" w:themeFill="accent3" w:themeFillTint="99"/>
            <w:noWrap/>
            <w:tcMar>
              <w:left w:w="57" w:type="dxa"/>
              <w:right w:w="57" w:type="dxa"/>
            </w:tcMar>
            <w:hideMark/>
          </w:tcPr>
          <w:p w14:paraId="59D71A61" w14:textId="77777777" w:rsidR="00D73026" w:rsidRPr="000B11D5" w:rsidRDefault="00D73026" w:rsidP="00577377">
            <w:pPr>
              <w:rPr>
                <w:rFonts w:ascii="Arial Narrow" w:hAnsi="Arial Narrow"/>
              </w:rPr>
            </w:pPr>
            <w:r w:rsidRPr="000B11D5">
              <w:rPr>
                <w:rFonts w:ascii="Arial Narrow" w:hAnsi="Arial Narrow"/>
              </w:rPr>
              <w:t>0.26</w:t>
            </w:r>
          </w:p>
        </w:tc>
        <w:tc>
          <w:tcPr>
            <w:tcW w:w="599" w:type="dxa"/>
            <w:shd w:val="clear" w:color="auto" w:fill="C2D69B" w:themeFill="accent3" w:themeFillTint="99"/>
            <w:noWrap/>
            <w:tcMar>
              <w:left w:w="57" w:type="dxa"/>
              <w:right w:w="57" w:type="dxa"/>
            </w:tcMar>
            <w:hideMark/>
          </w:tcPr>
          <w:p w14:paraId="2C1BE2DE" w14:textId="77777777" w:rsidR="00D73026" w:rsidRPr="000B11D5" w:rsidRDefault="00D73026" w:rsidP="00577377">
            <w:pPr>
              <w:rPr>
                <w:rFonts w:ascii="Arial Narrow" w:hAnsi="Arial Narrow"/>
              </w:rPr>
            </w:pPr>
            <w:r w:rsidRPr="000B11D5">
              <w:rPr>
                <w:rFonts w:ascii="Arial Narrow" w:hAnsi="Arial Narrow"/>
              </w:rPr>
              <w:t>0.60</w:t>
            </w:r>
          </w:p>
        </w:tc>
        <w:tc>
          <w:tcPr>
            <w:tcW w:w="599" w:type="dxa"/>
            <w:shd w:val="clear" w:color="auto" w:fill="C2D69B" w:themeFill="accent3" w:themeFillTint="99"/>
            <w:noWrap/>
            <w:tcMar>
              <w:left w:w="57" w:type="dxa"/>
              <w:right w:w="57" w:type="dxa"/>
            </w:tcMar>
            <w:hideMark/>
          </w:tcPr>
          <w:p w14:paraId="44DB1A24" w14:textId="77777777" w:rsidR="00D73026" w:rsidRPr="000B11D5" w:rsidRDefault="00D73026" w:rsidP="00577377">
            <w:pPr>
              <w:rPr>
                <w:rFonts w:ascii="Arial Narrow" w:hAnsi="Arial Narrow"/>
              </w:rPr>
            </w:pPr>
            <w:r w:rsidRPr="000B11D5">
              <w:rPr>
                <w:rFonts w:ascii="Arial Narrow" w:hAnsi="Arial Narrow"/>
              </w:rPr>
              <w:t>0.31</w:t>
            </w:r>
          </w:p>
        </w:tc>
        <w:tc>
          <w:tcPr>
            <w:tcW w:w="586" w:type="dxa"/>
            <w:shd w:val="clear" w:color="auto" w:fill="C2D69B" w:themeFill="accent3" w:themeFillTint="99"/>
            <w:noWrap/>
            <w:tcMar>
              <w:left w:w="57" w:type="dxa"/>
              <w:right w:w="57" w:type="dxa"/>
            </w:tcMar>
            <w:hideMark/>
          </w:tcPr>
          <w:p w14:paraId="2486B976" w14:textId="77777777" w:rsidR="00D73026" w:rsidRPr="000B11D5" w:rsidRDefault="00D73026" w:rsidP="00577377">
            <w:pPr>
              <w:rPr>
                <w:rFonts w:ascii="Arial Narrow" w:hAnsi="Arial Narrow"/>
              </w:rPr>
            </w:pPr>
            <w:r w:rsidRPr="000B11D5">
              <w:rPr>
                <w:rFonts w:ascii="Arial Narrow" w:hAnsi="Arial Narrow"/>
              </w:rPr>
              <w:t>0.59</w:t>
            </w:r>
          </w:p>
        </w:tc>
        <w:tc>
          <w:tcPr>
            <w:tcW w:w="636" w:type="dxa"/>
            <w:shd w:val="clear" w:color="auto" w:fill="C2D69B" w:themeFill="accent3" w:themeFillTint="99"/>
            <w:noWrap/>
            <w:tcMar>
              <w:left w:w="57" w:type="dxa"/>
              <w:right w:w="57" w:type="dxa"/>
            </w:tcMar>
            <w:hideMark/>
          </w:tcPr>
          <w:p w14:paraId="5F85AA4C" w14:textId="77777777" w:rsidR="00D73026" w:rsidRPr="000B11D5" w:rsidRDefault="00D73026" w:rsidP="00577377">
            <w:pPr>
              <w:rPr>
                <w:rFonts w:ascii="Arial Narrow" w:hAnsi="Arial Narrow"/>
              </w:rPr>
            </w:pPr>
            <w:r w:rsidRPr="000B11D5">
              <w:rPr>
                <w:rFonts w:ascii="Arial Narrow" w:hAnsi="Arial Narrow"/>
              </w:rPr>
              <w:t>0.18</w:t>
            </w:r>
          </w:p>
        </w:tc>
        <w:tc>
          <w:tcPr>
            <w:tcW w:w="586" w:type="dxa"/>
            <w:noWrap/>
            <w:tcMar>
              <w:left w:w="57" w:type="dxa"/>
              <w:right w:w="57" w:type="dxa"/>
            </w:tcMar>
            <w:hideMark/>
          </w:tcPr>
          <w:p w14:paraId="25E31BEC" w14:textId="77777777" w:rsidR="00D73026" w:rsidRPr="000B11D5" w:rsidRDefault="00D73026" w:rsidP="00577377">
            <w:pPr>
              <w:rPr>
                <w:rFonts w:ascii="Arial Narrow" w:hAnsi="Arial Narrow"/>
              </w:rPr>
            </w:pPr>
            <w:r w:rsidRPr="000B11D5">
              <w:rPr>
                <w:rFonts w:ascii="Arial Narrow" w:hAnsi="Arial Narrow"/>
              </w:rPr>
              <w:t>0.18</w:t>
            </w:r>
          </w:p>
        </w:tc>
        <w:tc>
          <w:tcPr>
            <w:tcW w:w="636" w:type="dxa"/>
            <w:noWrap/>
            <w:tcMar>
              <w:left w:w="57" w:type="dxa"/>
              <w:right w:w="57" w:type="dxa"/>
            </w:tcMar>
            <w:hideMark/>
          </w:tcPr>
          <w:p w14:paraId="14B2FF4F" w14:textId="77777777" w:rsidR="00D73026" w:rsidRPr="000B11D5" w:rsidRDefault="00D73026" w:rsidP="00577377">
            <w:pPr>
              <w:rPr>
                <w:rFonts w:ascii="Arial Narrow" w:hAnsi="Arial Narrow"/>
              </w:rPr>
            </w:pPr>
            <w:r w:rsidRPr="000B11D5">
              <w:rPr>
                <w:rFonts w:ascii="Arial Narrow" w:hAnsi="Arial Narrow"/>
              </w:rPr>
              <w:t>-0.22</w:t>
            </w:r>
          </w:p>
        </w:tc>
        <w:tc>
          <w:tcPr>
            <w:tcW w:w="586" w:type="dxa"/>
            <w:shd w:val="clear" w:color="auto" w:fill="C2D69B" w:themeFill="accent3" w:themeFillTint="99"/>
            <w:noWrap/>
            <w:tcMar>
              <w:left w:w="57" w:type="dxa"/>
              <w:right w:w="57" w:type="dxa"/>
            </w:tcMar>
            <w:hideMark/>
          </w:tcPr>
          <w:p w14:paraId="31F9339F" w14:textId="77777777" w:rsidR="00D73026" w:rsidRPr="000B11D5" w:rsidRDefault="00D73026" w:rsidP="00577377">
            <w:pPr>
              <w:rPr>
                <w:rFonts w:ascii="Arial Narrow" w:hAnsi="Arial Narrow"/>
              </w:rPr>
            </w:pPr>
            <w:r w:rsidRPr="000B11D5">
              <w:rPr>
                <w:rFonts w:ascii="Arial Narrow" w:hAnsi="Arial Narrow"/>
              </w:rPr>
              <w:t>0.53</w:t>
            </w:r>
          </w:p>
        </w:tc>
        <w:tc>
          <w:tcPr>
            <w:tcW w:w="678" w:type="dxa"/>
            <w:shd w:val="clear" w:color="auto" w:fill="C2D69B" w:themeFill="accent3" w:themeFillTint="99"/>
            <w:noWrap/>
            <w:tcMar>
              <w:left w:w="57" w:type="dxa"/>
              <w:right w:w="57" w:type="dxa"/>
            </w:tcMar>
            <w:hideMark/>
          </w:tcPr>
          <w:p w14:paraId="403E1DE6" w14:textId="77777777" w:rsidR="00D73026" w:rsidRPr="000B11D5" w:rsidRDefault="00D73026" w:rsidP="00577377">
            <w:pPr>
              <w:rPr>
                <w:rFonts w:ascii="Arial Narrow" w:hAnsi="Arial Narrow"/>
              </w:rPr>
            </w:pPr>
            <w:r w:rsidRPr="000B11D5">
              <w:rPr>
                <w:rFonts w:ascii="Arial Narrow" w:hAnsi="Arial Narrow"/>
              </w:rPr>
              <w:t>0.14</w:t>
            </w:r>
          </w:p>
        </w:tc>
        <w:tc>
          <w:tcPr>
            <w:tcW w:w="683" w:type="dxa"/>
            <w:noWrap/>
            <w:tcMar>
              <w:left w:w="57" w:type="dxa"/>
              <w:right w:w="57" w:type="dxa"/>
            </w:tcMar>
            <w:vAlign w:val="bottom"/>
            <w:hideMark/>
          </w:tcPr>
          <w:p w14:paraId="2A0DD0CE" w14:textId="77777777" w:rsidR="00D73026" w:rsidRPr="00926663" w:rsidRDefault="00D73026" w:rsidP="00577377">
            <w:pPr>
              <w:rPr>
                <w:rFonts w:ascii="Arial Narrow" w:hAnsi="Arial Narrow"/>
              </w:rPr>
            </w:pPr>
            <w:r w:rsidRPr="00836156">
              <w:rPr>
                <w:rFonts w:ascii="Arial Narrow" w:hAnsi="Arial Narrow"/>
                <w:color w:val="000000"/>
              </w:rPr>
              <w:t>0.26</w:t>
            </w:r>
          </w:p>
        </w:tc>
        <w:tc>
          <w:tcPr>
            <w:tcW w:w="550" w:type="dxa"/>
            <w:noWrap/>
            <w:tcMar>
              <w:left w:w="57" w:type="dxa"/>
              <w:right w:w="57" w:type="dxa"/>
            </w:tcMar>
            <w:vAlign w:val="bottom"/>
            <w:hideMark/>
          </w:tcPr>
          <w:p w14:paraId="6F1036EA" w14:textId="77777777" w:rsidR="00D73026" w:rsidRPr="00926663" w:rsidRDefault="00D73026" w:rsidP="00577377">
            <w:pPr>
              <w:rPr>
                <w:rFonts w:ascii="Arial Narrow" w:hAnsi="Arial Narrow"/>
              </w:rPr>
            </w:pPr>
            <w:r w:rsidRPr="00836156">
              <w:rPr>
                <w:rFonts w:ascii="Arial Narrow" w:hAnsi="Arial Narrow"/>
                <w:color w:val="000000"/>
              </w:rPr>
              <w:t>-0.54</w:t>
            </w:r>
          </w:p>
        </w:tc>
      </w:tr>
      <w:tr w:rsidR="00D73026" w:rsidRPr="003A1DD4" w14:paraId="077522D9" w14:textId="77777777" w:rsidTr="00577377">
        <w:trPr>
          <w:trHeight w:val="300"/>
        </w:trPr>
        <w:tc>
          <w:tcPr>
            <w:tcW w:w="2518" w:type="dxa"/>
            <w:noWrap/>
            <w:tcMar>
              <w:left w:w="57" w:type="dxa"/>
              <w:right w:w="57" w:type="dxa"/>
            </w:tcMar>
            <w:hideMark/>
          </w:tcPr>
          <w:p w14:paraId="12284DB2" w14:textId="77777777" w:rsidR="00D73026" w:rsidRPr="000B11D5" w:rsidRDefault="00D73026" w:rsidP="00577377">
            <w:pPr>
              <w:jc w:val="left"/>
              <w:rPr>
                <w:rFonts w:ascii="Arial Narrow" w:hAnsi="Arial Narrow"/>
              </w:rPr>
            </w:pPr>
            <w:r w:rsidRPr="000B11D5">
              <w:rPr>
                <w:rFonts w:ascii="Arial Narrow" w:hAnsi="Arial Narrow"/>
              </w:rPr>
              <w:t>Burdekin - Fitzroy</w:t>
            </w:r>
          </w:p>
        </w:tc>
        <w:tc>
          <w:tcPr>
            <w:tcW w:w="601" w:type="dxa"/>
            <w:shd w:val="clear" w:color="auto" w:fill="C2D69B" w:themeFill="accent3" w:themeFillTint="99"/>
            <w:noWrap/>
            <w:tcMar>
              <w:left w:w="57" w:type="dxa"/>
              <w:right w:w="57" w:type="dxa"/>
            </w:tcMar>
            <w:hideMark/>
          </w:tcPr>
          <w:p w14:paraId="2F396ECC" w14:textId="77777777" w:rsidR="00D73026" w:rsidRPr="000B11D5" w:rsidRDefault="00D73026" w:rsidP="00577377">
            <w:pPr>
              <w:rPr>
                <w:rFonts w:ascii="Arial Narrow" w:hAnsi="Arial Narrow"/>
              </w:rPr>
            </w:pPr>
            <w:r w:rsidRPr="000B11D5">
              <w:rPr>
                <w:rFonts w:ascii="Arial Narrow" w:hAnsi="Arial Narrow"/>
              </w:rPr>
              <w:t>0.30</w:t>
            </w:r>
          </w:p>
        </w:tc>
        <w:tc>
          <w:tcPr>
            <w:tcW w:w="597" w:type="dxa"/>
            <w:shd w:val="clear" w:color="auto" w:fill="C2D69B" w:themeFill="accent3" w:themeFillTint="99"/>
            <w:noWrap/>
            <w:tcMar>
              <w:left w:w="57" w:type="dxa"/>
              <w:right w:w="57" w:type="dxa"/>
            </w:tcMar>
            <w:hideMark/>
          </w:tcPr>
          <w:p w14:paraId="495C4660" w14:textId="77777777" w:rsidR="00D73026" w:rsidRPr="000B11D5" w:rsidRDefault="00D73026" w:rsidP="00577377">
            <w:pPr>
              <w:rPr>
                <w:rFonts w:ascii="Arial Narrow" w:hAnsi="Arial Narrow"/>
              </w:rPr>
            </w:pPr>
            <w:r w:rsidRPr="000B11D5">
              <w:rPr>
                <w:rFonts w:ascii="Arial Narrow" w:hAnsi="Arial Narrow"/>
              </w:rPr>
              <w:t>0.08</w:t>
            </w:r>
          </w:p>
        </w:tc>
        <w:tc>
          <w:tcPr>
            <w:tcW w:w="599" w:type="dxa"/>
            <w:noWrap/>
            <w:tcMar>
              <w:left w:w="57" w:type="dxa"/>
              <w:right w:w="57" w:type="dxa"/>
            </w:tcMar>
            <w:hideMark/>
          </w:tcPr>
          <w:p w14:paraId="7404A88A" w14:textId="77777777" w:rsidR="00D73026" w:rsidRPr="000B11D5" w:rsidRDefault="00D73026" w:rsidP="00577377">
            <w:pPr>
              <w:rPr>
                <w:rFonts w:ascii="Arial Narrow" w:hAnsi="Arial Narrow"/>
              </w:rPr>
            </w:pPr>
            <w:r w:rsidRPr="000B11D5">
              <w:rPr>
                <w:rFonts w:ascii="Arial Narrow" w:hAnsi="Arial Narrow"/>
              </w:rPr>
              <w:t>0.25</w:t>
            </w:r>
          </w:p>
        </w:tc>
        <w:tc>
          <w:tcPr>
            <w:tcW w:w="599" w:type="dxa"/>
            <w:noWrap/>
            <w:tcMar>
              <w:left w:w="57" w:type="dxa"/>
              <w:right w:w="57" w:type="dxa"/>
            </w:tcMar>
            <w:hideMark/>
          </w:tcPr>
          <w:p w14:paraId="71C2A3E6" w14:textId="77777777" w:rsidR="00D73026" w:rsidRPr="000B11D5" w:rsidRDefault="00D73026" w:rsidP="00577377">
            <w:pPr>
              <w:rPr>
                <w:rFonts w:ascii="Arial Narrow" w:hAnsi="Arial Narrow"/>
              </w:rPr>
            </w:pPr>
            <w:r w:rsidRPr="000B11D5">
              <w:rPr>
                <w:rFonts w:ascii="Arial Narrow" w:hAnsi="Arial Narrow"/>
              </w:rPr>
              <w:t>-0.07</w:t>
            </w:r>
          </w:p>
        </w:tc>
        <w:tc>
          <w:tcPr>
            <w:tcW w:w="586" w:type="dxa"/>
            <w:noWrap/>
            <w:tcMar>
              <w:left w:w="57" w:type="dxa"/>
              <w:right w:w="57" w:type="dxa"/>
            </w:tcMar>
            <w:hideMark/>
          </w:tcPr>
          <w:p w14:paraId="5316B2CD" w14:textId="77777777" w:rsidR="00D73026" w:rsidRPr="000B11D5" w:rsidRDefault="00D73026" w:rsidP="00577377">
            <w:pPr>
              <w:rPr>
                <w:rFonts w:ascii="Arial Narrow" w:hAnsi="Arial Narrow"/>
              </w:rPr>
            </w:pPr>
            <w:r w:rsidRPr="000B11D5">
              <w:rPr>
                <w:rFonts w:ascii="Arial Narrow" w:hAnsi="Arial Narrow"/>
              </w:rPr>
              <w:t>0.28</w:t>
            </w:r>
          </w:p>
        </w:tc>
        <w:tc>
          <w:tcPr>
            <w:tcW w:w="636" w:type="dxa"/>
            <w:noWrap/>
            <w:tcMar>
              <w:left w:w="57" w:type="dxa"/>
              <w:right w:w="57" w:type="dxa"/>
            </w:tcMar>
            <w:hideMark/>
          </w:tcPr>
          <w:p w14:paraId="28D6533E" w14:textId="77777777" w:rsidR="00D73026" w:rsidRPr="000B11D5" w:rsidRDefault="00D73026" w:rsidP="00577377">
            <w:pPr>
              <w:rPr>
                <w:rFonts w:ascii="Arial Narrow" w:hAnsi="Arial Narrow"/>
              </w:rPr>
            </w:pPr>
            <w:r w:rsidRPr="000B11D5">
              <w:rPr>
                <w:rFonts w:ascii="Arial Narrow" w:hAnsi="Arial Narrow"/>
              </w:rPr>
              <w:t>-0.13</w:t>
            </w:r>
          </w:p>
        </w:tc>
        <w:tc>
          <w:tcPr>
            <w:tcW w:w="586" w:type="dxa"/>
            <w:noWrap/>
            <w:tcMar>
              <w:left w:w="57" w:type="dxa"/>
              <w:right w:w="57" w:type="dxa"/>
            </w:tcMar>
            <w:hideMark/>
          </w:tcPr>
          <w:p w14:paraId="41443329" w14:textId="77777777" w:rsidR="00D73026" w:rsidRPr="000B11D5" w:rsidRDefault="00D73026" w:rsidP="00577377">
            <w:pPr>
              <w:rPr>
                <w:rFonts w:ascii="Arial Narrow" w:hAnsi="Arial Narrow"/>
              </w:rPr>
            </w:pPr>
            <w:r w:rsidRPr="000B11D5">
              <w:rPr>
                <w:rFonts w:ascii="Arial Narrow" w:hAnsi="Arial Narrow"/>
              </w:rPr>
              <w:t>0.26</w:t>
            </w:r>
          </w:p>
        </w:tc>
        <w:tc>
          <w:tcPr>
            <w:tcW w:w="636" w:type="dxa"/>
            <w:noWrap/>
            <w:tcMar>
              <w:left w:w="57" w:type="dxa"/>
              <w:right w:w="57" w:type="dxa"/>
            </w:tcMar>
            <w:hideMark/>
          </w:tcPr>
          <w:p w14:paraId="706B8A3A" w14:textId="77777777" w:rsidR="00D73026" w:rsidRPr="000B11D5" w:rsidRDefault="00D73026" w:rsidP="00577377">
            <w:pPr>
              <w:rPr>
                <w:rFonts w:ascii="Arial Narrow" w:hAnsi="Arial Narrow"/>
              </w:rPr>
            </w:pPr>
            <w:r w:rsidRPr="000B11D5">
              <w:rPr>
                <w:rFonts w:ascii="Arial Narrow" w:hAnsi="Arial Narrow"/>
              </w:rPr>
              <w:t>-0.16</w:t>
            </w:r>
          </w:p>
        </w:tc>
        <w:tc>
          <w:tcPr>
            <w:tcW w:w="586" w:type="dxa"/>
            <w:noWrap/>
            <w:tcMar>
              <w:left w:w="57" w:type="dxa"/>
              <w:right w:w="57" w:type="dxa"/>
            </w:tcMar>
            <w:hideMark/>
          </w:tcPr>
          <w:p w14:paraId="68A2C735" w14:textId="77777777" w:rsidR="00D73026" w:rsidRPr="000B11D5" w:rsidRDefault="00D73026" w:rsidP="00577377">
            <w:pPr>
              <w:rPr>
                <w:rFonts w:ascii="Arial Narrow" w:hAnsi="Arial Narrow"/>
              </w:rPr>
            </w:pPr>
            <w:r w:rsidRPr="000B11D5">
              <w:rPr>
                <w:rFonts w:ascii="Arial Narrow" w:hAnsi="Arial Narrow"/>
              </w:rPr>
              <w:t>0.45</w:t>
            </w:r>
          </w:p>
        </w:tc>
        <w:tc>
          <w:tcPr>
            <w:tcW w:w="678" w:type="dxa"/>
            <w:noWrap/>
            <w:tcMar>
              <w:left w:w="57" w:type="dxa"/>
              <w:right w:w="57" w:type="dxa"/>
            </w:tcMar>
            <w:hideMark/>
          </w:tcPr>
          <w:p w14:paraId="47C12B13" w14:textId="77777777" w:rsidR="00D73026" w:rsidRPr="000B11D5" w:rsidRDefault="00D73026" w:rsidP="00577377">
            <w:pPr>
              <w:rPr>
                <w:rFonts w:ascii="Arial Narrow" w:hAnsi="Arial Narrow"/>
              </w:rPr>
            </w:pPr>
            <w:r w:rsidRPr="000B11D5">
              <w:rPr>
                <w:rFonts w:ascii="Arial Narrow" w:hAnsi="Arial Narrow"/>
              </w:rPr>
              <w:t>0.02</w:t>
            </w:r>
          </w:p>
        </w:tc>
        <w:tc>
          <w:tcPr>
            <w:tcW w:w="683" w:type="dxa"/>
            <w:shd w:val="clear" w:color="auto" w:fill="C2D69B" w:themeFill="accent3" w:themeFillTint="99"/>
            <w:noWrap/>
            <w:tcMar>
              <w:left w:w="57" w:type="dxa"/>
              <w:right w:w="57" w:type="dxa"/>
            </w:tcMar>
            <w:vAlign w:val="bottom"/>
            <w:hideMark/>
          </w:tcPr>
          <w:p w14:paraId="589E442E" w14:textId="77777777" w:rsidR="00D73026" w:rsidRPr="00926663" w:rsidRDefault="00D73026" w:rsidP="00577377">
            <w:pPr>
              <w:rPr>
                <w:rFonts w:ascii="Arial Narrow" w:hAnsi="Arial Narrow"/>
              </w:rPr>
            </w:pPr>
            <w:r w:rsidRPr="00836156">
              <w:rPr>
                <w:rFonts w:ascii="Arial Narrow" w:hAnsi="Arial Narrow"/>
                <w:color w:val="000000"/>
              </w:rPr>
              <w:t>0.98</w:t>
            </w:r>
          </w:p>
        </w:tc>
        <w:tc>
          <w:tcPr>
            <w:tcW w:w="550" w:type="dxa"/>
            <w:shd w:val="clear" w:color="auto" w:fill="C2D69B" w:themeFill="accent3" w:themeFillTint="99"/>
            <w:noWrap/>
            <w:tcMar>
              <w:left w:w="57" w:type="dxa"/>
              <w:right w:w="57" w:type="dxa"/>
            </w:tcMar>
            <w:vAlign w:val="bottom"/>
            <w:hideMark/>
          </w:tcPr>
          <w:p w14:paraId="4AAA6F1A" w14:textId="77777777" w:rsidR="00D73026" w:rsidRPr="00926663" w:rsidRDefault="00D73026" w:rsidP="00577377">
            <w:pPr>
              <w:rPr>
                <w:rFonts w:ascii="Arial Narrow" w:hAnsi="Arial Narrow"/>
              </w:rPr>
            </w:pPr>
            <w:r w:rsidRPr="00836156">
              <w:rPr>
                <w:rFonts w:ascii="Arial Narrow" w:hAnsi="Arial Narrow"/>
                <w:color w:val="000000"/>
              </w:rPr>
              <w:t>0.42</w:t>
            </w:r>
          </w:p>
        </w:tc>
      </w:tr>
      <w:tr w:rsidR="00D73026" w:rsidRPr="003A1DD4" w14:paraId="4DC62B23" w14:textId="77777777" w:rsidTr="00577377">
        <w:trPr>
          <w:trHeight w:val="300"/>
        </w:trPr>
        <w:tc>
          <w:tcPr>
            <w:tcW w:w="2518" w:type="dxa"/>
            <w:noWrap/>
            <w:tcMar>
              <w:left w:w="57" w:type="dxa"/>
              <w:right w:w="57" w:type="dxa"/>
            </w:tcMar>
            <w:hideMark/>
          </w:tcPr>
          <w:p w14:paraId="33C68F9D" w14:textId="77777777" w:rsidR="00D73026" w:rsidRPr="000B11D5" w:rsidRDefault="00D73026" w:rsidP="00577377">
            <w:pPr>
              <w:jc w:val="left"/>
              <w:rPr>
                <w:rFonts w:ascii="Arial Narrow" w:hAnsi="Arial Narrow"/>
              </w:rPr>
            </w:pPr>
            <w:r w:rsidRPr="000B11D5">
              <w:rPr>
                <w:rFonts w:ascii="Arial Narrow" w:hAnsi="Arial Narrow"/>
              </w:rPr>
              <w:t>Wet Tropics - Mackay Whitsunday</w:t>
            </w:r>
          </w:p>
        </w:tc>
        <w:tc>
          <w:tcPr>
            <w:tcW w:w="601" w:type="dxa"/>
            <w:noWrap/>
            <w:tcMar>
              <w:left w:w="57" w:type="dxa"/>
              <w:right w:w="57" w:type="dxa"/>
            </w:tcMar>
            <w:hideMark/>
          </w:tcPr>
          <w:p w14:paraId="63803706" w14:textId="77777777" w:rsidR="00D73026" w:rsidRPr="000B11D5" w:rsidRDefault="00D73026" w:rsidP="00577377">
            <w:pPr>
              <w:rPr>
                <w:rFonts w:ascii="Arial Narrow" w:hAnsi="Arial Narrow"/>
              </w:rPr>
            </w:pPr>
            <w:r w:rsidRPr="000B11D5">
              <w:rPr>
                <w:rFonts w:ascii="Arial Narrow" w:hAnsi="Arial Narrow"/>
              </w:rPr>
              <w:t>0.04</w:t>
            </w:r>
          </w:p>
        </w:tc>
        <w:tc>
          <w:tcPr>
            <w:tcW w:w="597" w:type="dxa"/>
            <w:noWrap/>
            <w:tcMar>
              <w:left w:w="57" w:type="dxa"/>
              <w:right w:w="57" w:type="dxa"/>
            </w:tcMar>
            <w:hideMark/>
          </w:tcPr>
          <w:p w14:paraId="48CBDBD6" w14:textId="77777777" w:rsidR="00D73026" w:rsidRPr="000B11D5" w:rsidRDefault="00D73026" w:rsidP="00577377">
            <w:pPr>
              <w:rPr>
                <w:rFonts w:ascii="Arial Narrow" w:hAnsi="Arial Narrow"/>
              </w:rPr>
            </w:pPr>
            <w:r w:rsidRPr="000B11D5">
              <w:rPr>
                <w:rFonts w:ascii="Arial Narrow" w:hAnsi="Arial Narrow"/>
              </w:rPr>
              <w:t>-0.14</w:t>
            </w:r>
          </w:p>
        </w:tc>
        <w:tc>
          <w:tcPr>
            <w:tcW w:w="599" w:type="dxa"/>
            <w:shd w:val="clear" w:color="auto" w:fill="E5B8B7" w:themeFill="accent2" w:themeFillTint="66"/>
            <w:noWrap/>
            <w:tcMar>
              <w:left w:w="57" w:type="dxa"/>
              <w:right w:w="57" w:type="dxa"/>
            </w:tcMar>
            <w:hideMark/>
          </w:tcPr>
          <w:p w14:paraId="4FBD87D8" w14:textId="77777777" w:rsidR="00D73026" w:rsidRPr="000B11D5" w:rsidRDefault="00D73026" w:rsidP="00577377">
            <w:pPr>
              <w:rPr>
                <w:rFonts w:ascii="Arial Narrow" w:hAnsi="Arial Narrow"/>
              </w:rPr>
            </w:pPr>
            <w:r w:rsidRPr="000B11D5">
              <w:rPr>
                <w:rFonts w:ascii="Arial Narrow" w:hAnsi="Arial Narrow"/>
              </w:rPr>
              <w:t>-0.06</w:t>
            </w:r>
          </w:p>
        </w:tc>
        <w:tc>
          <w:tcPr>
            <w:tcW w:w="599" w:type="dxa"/>
            <w:shd w:val="clear" w:color="auto" w:fill="E5B8B7" w:themeFill="accent2" w:themeFillTint="66"/>
            <w:noWrap/>
            <w:tcMar>
              <w:left w:w="57" w:type="dxa"/>
              <w:right w:w="57" w:type="dxa"/>
            </w:tcMar>
            <w:hideMark/>
          </w:tcPr>
          <w:p w14:paraId="351140E9" w14:textId="77777777" w:rsidR="00D73026" w:rsidRPr="000B11D5" w:rsidRDefault="00D73026" w:rsidP="00577377">
            <w:pPr>
              <w:rPr>
                <w:rFonts w:ascii="Arial Narrow" w:hAnsi="Arial Narrow"/>
              </w:rPr>
            </w:pPr>
            <w:r w:rsidRPr="000B11D5">
              <w:rPr>
                <w:rFonts w:ascii="Arial Narrow" w:hAnsi="Arial Narrow"/>
              </w:rPr>
              <w:t>-0.32</w:t>
            </w:r>
          </w:p>
        </w:tc>
        <w:tc>
          <w:tcPr>
            <w:tcW w:w="586" w:type="dxa"/>
            <w:noWrap/>
            <w:tcMar>
              <w:left w:w="57" w:type="dxa"/>
              <w:right w:w="57" w:type="dxa"/>
            </w:tcMar>
            <w:hideMark/>
          </w:tcPr>
          <w:p w14:paraId="71F40382" w14:textId="77777777" w:rsidR="00D73026" w:rsidRPr="000B11D5" w:rsidRDefault="00D73026" w:rsidP="00577377">
            <w:pPr>
              <w:rPr>
                <w:rFonts w:ascii="Arial Narrow" w:hAnsi="Arial Narrow"/>
              </w:rPr>
            </w:pPr>
            <w:r w:rsidRPr="000B11D5">
              <w:rPr>
                <w:rFonts w:ascii="Arial Narrow" w:hAnsi="Arial Narrow"/>
              </w:rPr>
              <w:t>0.03</w:t>
            </w:r>
          </w:p>
        </w:tc>
        <w:tc>
          <w:tcPr>
            <w:tcW w:w="636" w:type="dxa"/>
            <w:noWrap/>
            <w:tcMar>
              <w:left w:w="57" w:type="dxa"/>
              <w:right w:w="57" w:type="dxa"/>
            </w:tcMar>
            <w:hideMark/>
          </w:tcPr>
          <w:p w14:paraId="39377C67" w14:textId="77777777" w:rsidR="00D73026" w:rsidRPr="000B11D5" w:rsidRDefault="00D73026" w:rsidP="00577377">
            <w:pPr>
              <w:rPr>
                <w:rFonts w:ascii="Arial Narrow" w:hAnsi="Arial Narrow"/>
              </w:rPr>
            </w:pPr>
            <w:r w:rsidRPr="000B11D5">
              <w:rPr>
                <w:rFonts w:ascii="Arial Narrow" w:hAnsi="Arial Narrow"/>
              </w:rPr>
              <w:t>-0.35</w:t>
            </w:r>
          </w:p>
        </w:tc>
        <w:tc>
          <w:tcPr>
            <w:tcW w:w="586" w:type="dxa"/>
            <w:shd w:val="clear" w:color="auto" w:fill="C2D69B" w:themeFill="accent3" w:themeFillTint="99"/>
            <w:noWrap/>
            <w:tcMar>
              <w:left w:w="57" w:type="dxa"/>
              <w:right w:w="57" w:type="dxa"/>
            </w:tcMar>
            <w:hideMark/>
          </w:tcPr>
          <w:p w14:paraId="20AC3DBB" w14:textId="77777777" w:rsidR="00D73026" w:rsidRPr="000B11D5" w:rsidRDefault="00D73026" w:rsidP="00577377">
            <w:pPr>
              <w:rPr>
                <w:rFonts w:ascii="Arial Narrow" w:hAnsi="Arial Narrow"/>
              </w:rPr>
            </w:pPr>
            <w:r w:rsidRPr="000B11D5">
              <w:rPr>
                <w:rFonts w:ascii="Arial Narrow" w:hAnsi="Arial Narrow"/>
              </w:rPr>
              <w:t>0.51</w:t>
            </w:r>
          </w:p>
        </w:tc>
        <w:tc>
          <w:tcPr>
            <w:tcW w:w="636" w:type="dxa"/>
            <w:shd w:val="clear" w:color="auto" w:fill="C2D69B" w:themeFill="accent3" w:themeFillTint="99"/>
            <w:noWrap/>
            <w:tcMar>
              <w:left w:w="57" w:type="dxa"/>
              <w:right w:w="57" w:type="dxa"/>
            </w:tcMar>
            <w:hideMark/>
          </w:tcPr>
          <w:p w14:paraId="0AC8FF43" w14:textId="77777777" w:rsidR="00D73026" w:rsidRPr="000B11D5" w:rsidRDefault="00D73026" w:rsidP="00577377">
            <w:pPr>
              <w:rPr>
                <w:rFonts w:ascii="Arial Narrow" w:hAnsi="Arial Narrow"/>
              </w:rPr>
            </w:pPr>
            <w:r w:rsidRPr="000B11D5">
              <w:rPr>
                <w:rFonts w:ascii="Arial Narrow" w:hAnsi="Arial Narrow"/>
              </w:rPr>
              <w:t>0.20</w:t>
            </w:r>
          </w:p>
        </w:tc>
        <w:tc>
          <w:tcPr>
            <w:tcW w:w="586" w:type="dxa"/>
            <w:noWrap/>
            <w:tcMar>
              <w:left w:w="57" w:type="dxa"/>
              <w:right w:w="57" w:type="dxa"/>
            </w:tcMar>
            <w:hideMark/>
          </w:tcPr>
          <w:p w14:paraId="5BF55606" w14:textId="77777777" w:rsidR="00D73026" w:rsidRPr="000B11D5" w:rsidRDefault="00D73026" w:rsidP="00577377">
            <w:pPr>
              <w:rPr>
                <w:rFonts w:ascii="Arial Narrow" w:hAnsi="Arial Narrow"/>
              </w:rPr>
            </w:pPr>
            <w:r w:rsidRPr="000B11D5">
              <w:rPr>
                <w:rFonts w:ascii="Arial Narrow" w:hAnsi="Arial Narrow"/>
              </w:rPr>
              <w:t>0.17</w:t>
            </w:r>
          </w:p>
        </w:tc>
        <w:tc>
          <w:tcPr>
            <w:tcW w:w="678" w:type="dxa"/>
            <w:noWrap/>
            <w:tcMar>
              <w:left w:w="57" w:type="dxa"/>
              <w:right w:w="57" w:type="dxa"/>
            </w:tcMar>
            <w:hideMark/>
          </w:tcPr>
          <w:p w14:paraId="6DF21638" w14:textId="77777777" w:rsidR="00D73026" w:rsidRPr="000B11D5" w:rsidRDefault="00D73026" w:rsidP="00577377">
            <w:pPr>
              <w:rPr>
                <w:rFonts w:ascii="Arial Narrow" w:hAnsi="Arial Narrow"/>
              </w:rPr>
            </w:pPr>
            <w:r w:rsidRPr="000B11D5">
              <w:rPr>
                <w:rFonts w:ascii="Arial Narrow" w:hAnsi="Arial Narrow"/>
              </w:rPr>
              <w:t>-0.14</w:t>
            </w:r>
          </w:p>
        </w:tc>
        <w:tc>
          <w:tcPr>
            <w:tcW w:w="683" w:type="dxa"/>
            <w:shd w:val="clear" w:color="auto" w:fill="C2D69B" w:themeFill="accent3" w:themeFillTint="99"/>
            <w:noWrap/>
            <w:tcMar>
              <w:left w:w="57" w:type="dxa"/>
              <w:right w:w="57" w:type="dxa"/>
            </w:tcMar>
            <w:vAlign w:val="bottom"/>
            <w:hideMark/>
          </w:tcPr>
          <w:p w14:paraId="7B4B4DB6" w14:textId="77777777" w:rsidR="00D73026" w:rsidRPr="00926663" w:rsidRDefault="00D73026" w:rsidP="00577377">
            <w:pPr>
              <w:rPr>
                <w:rFonts w:ascii="Arial Narrow" w:hAnsi="Arial Narrow"/>
              </w:rPr>
            </w:pPr>
            <w:r w:rsidRPr="00836156">
              <w:rPr>
                <w:rFonts w:ascii="Arial Narrow" w:hAnsi="Arial Narrow"/>
                <w:color w:val="000000"/>
              </w:rPr>
              <w:t>1.00</w:t>
            </w:r>
          </w:p>
        </w:tc>
        <w:tc>
          <w:tcPr>
            <w:tcW w:w="550" w:type="dxa"/>
            <w:shd w:val="clear" w:color="auto" w:fill="C2D69B" w:themeFill="accent3" w:themeFillTint="99"/>
            <w:noWrap/>
            <w:tcMar>
              <w:left w:w="57" w:type="dxa"/>
              <w:right w:w="57" w:type="dxa"/>
            </w:tcMar>
            <w:vAlign w:val="bottom"/>
            <w:hideMark/>
          </w:tcPr>
          <w:p w14:paraId="12F14A90" w14:textId="77777777" w:rsidR="00D73026" w:rsidRPr="00926663" w:rsidRDefault="00D73026" w:rsidP="00577377">
            <w:pPr>
              <w:rPr>
                <w:rFonts w:ascii="Arial Narrow" w:hAnsi="Arial Narrow"/>
              </w:rPr>
            </w:pPr>
            <w:r w:rsidRPr="00836156">
              <w:rPr>
                <w:rFonts w:ascii="Arial Narrow" w:hAnsi="Arial Narrow"/>
                <w:color w:val="000000"/>
              </w:rPr>
              <w:t>0.52</w:t>
            </w:r>
          </w:p>
        </w:tc>
      </w:tr>
    </w:tbl>
    <w:p w14:paraId="4671B9BA" w14:textId="77777777" w:rsidR="00D73026" w:rsidRDefault="00D73026" w:rsidP="00D73026">
      <w:pPr>
        <w:rPr>
          <w:lang w:val="en-US"/>
        </w:rPr>
      </w:pPr>
    </w:p>
    <w:p w14:paraId="66344E7B" w14:textId="77777777" w:rsidR="00D73026" w:rsidRDefault="00D73026" w:rsidP="00FF6E56">
      <w:pPr>
        <w:rPr>
          <w:lang w:val="en-US"/>
        </w:rPr>
      </w:pPr>
    </w:p>
    <w:p w14:paraId="00524C4C" w14:textId="77777777" w:rsidR="00FF6E56" w:rsidRDefault="00FF6E56" w:rsidP="00FF6E56">
      <w:pPr>
        <w:rPr>
          <w:lang w:val="en-US"/>
        </w:rPr>
      </w:pPr>
      <w:r>
        <w:rPr>
          <w:noProof/>
          <w:lang w:val="en-AU" w:eastAsia="en-AU"/>
        </w:rPr>
        <w:drawing>
          <wp:inline distT="0" distB="0" distL="0" distR="0" wp14:anchorId="2AA8414D" wp14:editId="5B520B52">
            <wp:extent cx="6120765" cy="4590415"/>
            <wp:effectExtent l="0" t="0" r="0" b="635"/>
            <wp:docPr id="236" name="Picture 236" descr="Plots of distributions of the index and each metric within each region. Includes summary of statistical tests for differences in distributions between regions. " title="Figure 8 Regional distribution of index and metr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regional scores box.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6120765" cy="4590415"/>
                    </a:xfrm>
                    <a:prstGeom prst="rect">
                      <a:avLst/>
                    </a:prstGeom>
                  </pic:spPr>
                </pic:pic>
              </a:graphicData>
            </a:graphic>
          </wp:inline>
        </w:drawing>
      </w:r>
    </w:p>
    <w:p w14:paraId="3CF9E468" w14:textId="5CAF7B2D" w:rsidR="00FF6E56" w:rsidRDefault="00D73026" w:rsidP="00D73026">
      <w:pPr>
        <w:pStyle w:val="Caption"/>
        <w:rPr>
          <w:rStyle w:val="IntenseReference"/>
          <w:rFonts w:eastAsia="SimSun"/>
        </w:rPr>
      </w:pPr>
      <w:bookmarkStart w:id="142" w:name="_Ref491161063"/>
      <w:bookmarkStart w:id="143" w:name="_Toc491846834"/>
      <w:r>
        <w:t xml:space="preserve">Figure </w:t>
      </w:r>
      <w:r>
        <w:fldChar w:fldCharType="begin"/>
      </w:r>
      <w:r>
        <w:instrText xml:space="preserve"> SEQ Figure \* ARABIC </w:instrText>
      </w:r>
      <w:r>
        <w:fldChar w:fldCharType="separate"/>
      </w:r>
      <w:r w:rsidR="00D806F2">
        <w:rPr>
          <w:noProof/>
        </w:rPr>
        <w:t>8</w:t>
      </w:r>
      <w:r>
        <w:fldChar w:fldCharType="end"/>
      </w:r>
      <w:bookmarkEnd w:id="142"/>
      <w:r>
        <w:t xml:space="preserve"> </w:t>
      </w:r>
      <w:r w:rsidRPr="005363B6">
        <w:t>Regional distributions of index and metric scores</w:t>
      </w:r>
      <w:r w:rsidR="006B1BD4" w:rsidRPr="002030AF">
        <w:rPr>
          <w:rStyle w:val="IntenseReference"/>
          <w:rFonts w:eastAsia="SimSun"/>
        </w:rPr>
        <w:t>. Boxplots show the median (bold horizontal line)</w:t>
      </w:r>
      <w:r w:rsidR="002030AF" w:rsidRPr="002030AF">
        <w:rPr>
          <w:rStyle w:val="IntenseReference"/>
          <w:rFonts w:eastAsia="SimSun"/>
        </w:rPr>
        <w:t xml:space="preserve"> 25th to 75th percentiles (box) and highest and lowest observations within 1.5 times the distance length of the box from the upper and lower box margins (vertical lines), observations beyond these values are represented as dots. For the composition score a bar chart represents the proportion of observations scored as improved (score = 1). Labels above bars or boxplot elements identify regions with statistically similar distributions.</w:t>
      </w:r>
      <w:bookmarkEnd w:id="143"/>
      <w:r w:rsidR="006B1BD4" w:rsidRPr="002030AF">
        <w:rPr>
          <w:rStyle w:val="IntenseReference"/>
          <w:rFonts w:eastAsia="SimSun"/>
        </w:rPr>
        <w:t xml:space="preserve"> </w:t>
      </w:r>
    </w:p>
    <w:p w14:paraId="45F7708C" w14:textId="15B2B258" w:rsidR="00BD49B5" w:rsidRDefault="00BD49B5" w:rsidP="00B9528B">
      <w:pPr>
        <w:pStyle w:val="Heading3"/>
      </w:pPr>
      <w:bookmarkStart w:id="144" w:name="_Toc493153324"/>
      <w:r>
        <w:t>5.1.2 Effect of depth</w:t>
      </w:r>
      <w:bookmarkEnd w:id="144"/>
    </w:p>
    <w:p w14:paraId="39CEDEA5" w14:textId="43830C2C" w:rsidR="00FF6E56" w:rsidRDefault="0076699E" w:rsidP="00FF6E56">
      <w:pPr>
        <w:rPr>
          <w:szCs w:val="22"/>
        </w:rPr>
      </w:pPr>
      <w:r>
        <w:rPr>
          <w:szCs w:val="22"/>
        </w:rPr>
        <w:t>I</w:t>
      </w:r>
      <w:r w:rsidR="00FF6E56">
        <w:rPr>
          <w:szCs w:val="22"/>
        </w:rPr>
        <w:t xml:space="preserve">ndex scores </w:t>
      </w:r>
      <w:r>
        <w:rPr>
          <w:szCs w:val="22"/>
        </w:rPr>
        <w:t xml:space="preserve">observed in 2016 did not differ consistently </w:t>
      </w:r>
      <w:r w:rsidR="00FF6E56">
        <w:rPr>
          <w:szCs w:val="22"/>
        </w:rPr>
        <w:t>between 2 m and 5 m depths (</w:t>
      </w:r>
      <w:r w:rsidR="006B4B65">
        <w:rPr>
          <w:szCs w:val="22"/>
        </w:rPr>
        <w:fldChar w:fldCharType="begin"/>
      </w:r>
      <w:r w:rsidR="006B4B65">
        <w:rPr>
          <w:szCs w:val="22"/>
        </w:rPr>
        <w:instrText xml:space="preserve"> REF _Ref491162911 \h </w:instrText>
      </w:r>
      <w:r w:rsidR="006B4B65">
        <w:rPr>
          <w:szCs w:val="22"/>
        </w:rPr>
      </w:r>
      <w:r w:rsidR="006B4B65">
        <w:rPr>
          <w:szCs w:val="22"/>
        </w:rPr>
        <w:fldChar w:fldCharType="separate"/>
      </w:r>
      <w:r w:rsidR="00D806F2">
        <w:t xml:space="preserve">Table </w:t>
      </w:r>
      <w:r w:rsidR="00D806F2">
        <w:rPr>
          <w:noProof/>
        </w:rPr>
        <w:t>8</w:t>
      </w:r>
      <w:r w:rsidR="006B4B65">
        <w:rPr>
          <w:szCs w:val="22"/>
        </w:rPr>
        <w:fldChar w:fldCharType="end"/>
      </w:r>
      <w:r w:rsidR="00FF6E56">
        <w:rPr>
          <w:szCs w:val="22"/>
        </w:rPr>
        <w:t xml:space="preserve">). </w:t>
      </w:r>
      <w:r>
        <w:rPr>
          <w:szCs w:val="22"/>
        </w:rPr>
        <w:t xml:space="preserve">Of the individual indicator metrics only the Coral change scores in the Mackay </w:t>
      </w:r>
      <w:r w:rsidR="00FF6E56">
        <w:rPr>
          <w:szCs w:val="22"/>
        </w:rPr>
        <w:t>W</w:t>
      </w:r>
      <w:r>
        <w:rPr>
          <w:szCs w:val="22"/>
        </w:rPr>
        <w:t>h</w:t>
      </w:r>
      <w:r w:rsidR="00FF6E56">
        <w:rPr>
          <w:szCs w:val="22"/>
        </w:rPr>
        <w:t xml:space="preserve">itsunday region </w:t>
      </w:r>
      <w:r>
        <w:rPr>
          <w:szCs w:val="22"/>
        </w:rPr>
        <w:t xml:space="preserve">were consistently lower at 5 m than at </w:t>
      </w:r>
      <w:r w:rsidR="00AA72A3">
        <w:rPr>
          <w:szCs w:val="22"/>
        </w:rPr>
        <w:t>2 m</w:t>
      </w:r>
      <w:r>
        <w:rPr>
          <w:szCs w:val="22"/>
        </w:rPr>
        <w:t xml:space="preserve">. Conversely, the Juvenile metric scores were consistently </w:t>
      </w:r>
      <w:r w:rsidR="00FF6E56">
        <w:rPr>
          <w:szCs w:val="22"/>
        </w:rPr>
        <w:t xml:space="preserve">higher at </w:t>
      </w:r>
      <w:r w:rsidR="00AA72A3">
        <w:rPr>
          <w:szCs w:val="22"/>
        </w:rPr>
        <w:t>5 m</w:t>
      </w:r>
      <w:r w:rsidR="00FF6E56">
        <w:rPr>
          <w:szCs w:val="22"/>
        </w:rPr>
        <w:t xml:space="preserve"> depth in the Burdekin Region. (</w:t>
      </w:r>
      <w:r w:rsidR="006B4B65">
        <w:rPr>
          <w:szCs w:val="22"/>
        </w:rPr>
        <w:fldChar w:fldCharType="begin"/>
      </w:r>
      <w:r w:rsidR="006B4B65">
        <w:rPr>
          <w:szCs w:val="22"/>
        </w:rPr>
        <w:instrText xml:space="preserve"> REF _Ref491162911 \h </w:instrText>
      </w:r>
      <w:r w:rsidR="006B4B65">
        <w:rPr>
          <w:szCs w:val="22"/>
        </w:rPr>
      </w:r>
      <w:r w:rsidR="006B4B65">
        <w:rPr>
          <w:szCs w:val="22"/>
        </w:rPr>
        <w:fldChar w:fldCharType="separate"/>
      </w:r>
      <w:r w:rsidR="00D806F2">
        <w:t xml:space="preserve">Table </w:t>
      </w:r>
      <w:r w:rsidR="00D806F2">
        <w:rPr>
          <w:noProof/>
        </w:rPr>
        <w:t>8</w:t>
      </w:r>
      <w:r w:rsidR="006B4B65">
        <w:rPr>
          <w:szCs w:val="22"/>
        </w:rPr>
        <w:fldChar w:fldCharType="end"/>
      </w:r>
      <w:r w:rsidR="00FF6E56">
        <w:rPr>
          <w:szCs w:val="22"/>
        </w:rPr>
        <w:t xml:space="preserve">). </w:t>
      </w:r>
    </w:p>
    <w:p w14:paraId="4CA78BCD" w14:textId="5667CAFF" w:rsidR="00FF6E56" w:rsidRPr="0076699E" w:rsidRDefault="006B4B65" w:rsidP="006B4B65">
      <w:pPr>
        <w:pStyle w:val="Caption"/>
        <w:rPr>
          <w:rStyle w:val="IntenseReference"/>
          <w:rFonts w:eastAsia="SimSun"/>
        </w:rPr>
      </w:pPr>
      <w:bookmarkStart w:id="145" w:name="_Ref491162911"/>
      <w:bookmarkStart w:id="146" w:name="_Toc491847027"/>
      <w:r>
        <w:t xml:space="preserve">Table </w:t>
      </w:r>
      <w:r>
        <w:fldChar w:fldCharType="begin"/>
      </w:r>
      <w:r>
        <w:instrText xml:space="preserve"> SEQ Table \* ARABIC </w:instrText>
      </w:r>
      <w:r>
        <w:fldChar w:fldCharType="separate"/>
      </w:r>
      <w:r w:rsidR="00D806F2">
        <w:rPr>
          <w:noProof/>
        </w:rPr>
        <w:t>8</w:t>
      </w:r>
      <w:r>
        <w:fldChar w:fldCharType="end"/>
      </w:r>
      <w:bookmarkEnd w:id="145"/>
      <w:r>
        <w:t xml:space="preserve"> Influence of depth on index and metric scores</w:t>
      </w:r>
      <w:r w:rsidR="0076699E">
        <w:rPr>
          <w:lang w:val="en-US"/>
        </w:rPr>
        <w:t>.</w:t>
      </w:r>
      <w:r w:rsidR="00FF6E56">
        <w:rPr>
          <w:lang w:val="en-US"/>
        </w:rPr>
        <w:t xml:space="preserve"> </w:t>
      </w:r>
      <w:r w:rsidR="00FF6E56" w:rsidRPr="0076699E">
        <w:rPr>
          <w:rStyle w:val="IntenseReference"/>
          <w:rFonts w:eastAsia="SimSun"/>
        </w:rPr>
        <w:t xml:space="preserve">Tabulated values represent the upper (u) and lower (l) 95% credible limits to the pair-wise comparison of scores between </w:t>
      </w:r>
      <w:r w:rsidR="00AA72A3">
        <w:rPr>
          <w:rStyle w:val="IntenseReference"/>
          <w:rFonts w:eastAsia="SimSun"/>
        </w:rPr>
        <w:t>2 m</w:t>
      </w:r>
      <w:r w:rsidR="00FF6E56" w:rsidRPr="0076699E">
        <w:rPr>
          <w:rStyle w:val="IntenseReference"/>
          <w:rFonts w:eastAsia="SimSun"/>
        </w:rPr>
        <w:t xml:space="preserve"> and </w:t>
      </w:r>
      <w:r w:rsidR="00AA72A3">
        <w:rPr>
          <w:rStyle w:val="IntenseReference"/>
          <w:rFonts w:eastAsia="SimSun"/>
        </w:rPr>
        <w:t>5 m</w:t>
      </w:r>
      <w:r w:rsidR="00FF6E56" w:rsidRPr="0076699E">
        <w:rPr>
          <w:rStyle w:val="IntenseReference"/>
          <w:rFonts w:eastAsia="SimSun"/>
        </w:rPr>
        <w:t xml:space="preserve"> depths within each region. Shading highlights where depth differences in scores were supported on the basis that the distribution of predicted differences excluded zero. Green shading indicates score</w:t>
      </w:r>
      <w:r>
        <w:rPr>
          <w:rStyle w:val="IntenseReference"/>
          <w:rFonts w:eastAsia="SimSun"/>
        </w:rPr>
        <w:t>s</w:t>
      </w:r>
      <w:r w:rsidR="00FF6E56" w:rsidRPr="0076699E">
        <w:rPr>
          <w:rStyle w:val="IntenseReference"/>
          <w:rFonts w:eastAsia="SimSun"/>
        </w:rPr>
        <w:t xml:space="preserve"> were higher at </w:t>
      </w:r>
      <w:r w:rsidR="00AA72A3">
        <w:rPr>
          <w:rStyle w:val="IntenseReference"/>
          <w:rFonts w:eastAsia="SimSun"/>
        </w:rPr>
        <w:t>2 m</w:t>
      </w:r>
      <w:r w:rsidR="00FF6E56" w:rsidRPr="0076699E">
        <w:rPr>
          <w:rStyle w:val="IntenseReference"/>
          <w:rFonts w:eastAsia="SimSun"/>
        </w:rPr>
        <w:t xml:space="preserve"> depths, red shading indicates scores were higher at </w:t>
      </w:r>
      <w:r w:rsidR="00AA72A3">
        <w:rPr>
          <w:rStyle w:val="IntenseReference"/>
          <w:rFonts w:eastAsia="SimSun"/>
        </w:rPr>
        <w:t>5 m</w:t>
      </w:r>
      <w:r w:rsidR="00FF6E56" w:rsidRPr="0076699E">
        <w:rPr>
          <w:rStyle w:val="IntenseReference"/>
          <w:rFonts w:eastAsia="SimSun"/>
        </w:rPr>
        <w:t xml:space="preserve"> depth.</w:t>
      </w:r>
      <w:bookmarkEnd w:id="146"/>
    </w:p>
    <w:tbl>
      <w:tblPr>
        <w:tblStyle w:val="TableGrid"/>
        <w:tblW w:w="0" w:type="auto"/>
        <w:tblLook w:val="04A0" w:firstRow="1" w:lastRow="0" w:firstColumn="1" w:lastColumn="0" w:noHBand="0" w:noVBand="1"/>
      </w:tblPr>
      <w:tblGrid>
        <w:gridCol w:w="2443"/>
        <w:gridCol w:w="589"/>
        <w:gridCol w:w="523"/>
        <w:gridCol w:w="649"/>
        <w:gridCol w:w="587"/>
        <w:gridCol w:w="574"/>
        <w:gridCol w:w="623"/>
        <w:gridCol w:w="574"/>
        <w:gridCol w:w="623"/>
        <w:gridCol w:w="574"/>
        <w:gridCol w:w="663"/>
        <w:gridCol w:w="668"/>
        <w:gridCol w:w="539"/>
      </w:tblGrid>
      <w:tr w:rsidR="00FF6E56" w:rsidRPr="003A1DD4" w14:paraId="0006E746" w14:textId="77777777" w:rsidTr="006B4B65">
        <w:trPr>
          <w:cantSplit/>
          <w:trHeight w:val="1158"/>
        </w:trPr>
        <w:tc>
          <w:tcPr>
            <w:tcW w:w="2518" w:type="dxa"/>
            <w:noWrap/>
            <w:hideMark/>
          </w:tcPr>
          <w:p w14:paraId="52AB0865" w14:textId="77777777" w:rsidR="00FF6E56" w:rsidRPr="000B11D5" w:rsidRDefault="00FF6E56" w:rsidP="00FE55D4">
            <w:pPr>
              <w:rPr>
                <w:rFonts w:ascii="Arial Narrow" w:hAnsi="Arial Narrow"/>
              </w:rPr>
            </w:pPr>
          </w:p>
        </w:tc>
        <w:tc>
          <w:tcPr>
            <w:tcW w:w="1134" w:type="dxa"/>
            <w:gridSpan w:val="2"/>
            <w:noWrap/>
            <w:textDirection w:val="btLr"/>
            <w:hideMark/>
          </w:tcPr>
          <w:p w14:paraId="066DEB21" w14:textId="77777777" w:rsidR="00FF6E56" w:rsidRPr="000B11D5" w:rsidRDefault="00FF6E56" w:rsidP="00FE55D4">
            <w:pPr>
              <w:ind w:left="113" w:right="113"/>
              <w:jc w:val="center"/>
              <w:rPr>
                <w:rFonts w:ascii="Arial Narrow" w:hAnsi="Arial Narrow"/>
              </w:rPr>
            </w:pPr>
            <w:r w:rsidRPr="000B11D5">
              <w:rPr>
                <w:rFonts w:ascii="Arial Narrow" w:hAnsi="Arial Narrow"/>
              </w:rPr>
              <w:t>Index</w:t>
            </w:r>
          </w:p>
        </w:tc>
        <w:tc>
          <w:tcPr>
            <w:tcW w:w="1262" w:type="dxa"/>
            <w:gridSpan w:val="2"/>
            <w:noWrap/>
            <w:textDirection w:val="btLr"/>
            <w:hideMark/>
          </w:tcPr>
          <w:p w14:paraId="41E1FBB3" w14:textId="77777777" w:rsidR="00FF6E56" w:rsidRPr="000B11D5" w:rsidRDefault="00FF6E56" w:rsidP="00FE55D4">
            <w:pPr>
              <w:ind w:left="113" w:right="113"/>
              <w:jc w:val="center"/>
              <w:rPr>
                <w:rFonts w:ascii="Arial Narrow" w:hAnsi="Arial Narrow"/>
              </w:rPr>
            </w:pPr>
            <w:r w:rsidRPr="000B11D5">
              <w:rPr>
                <w:rFonts w:ascii="Arial Narrow" w:hAnsi="Arial Narrow"/>
              </w:rPr>
              <w:t>Coral cover</w:t>
            </w:r>
          </w:p>
        </w:tc>
        <w:tc>
          <w:tcPr>
            <w:tcW w:w="1222" w:type="dxa"/>
            <w:gridSpan w:val="2"/>
            <w:noWrap/>
            <w:textDirection w:val="btLr"/>
            <w:hideMark/>
          </w:tcPr>
          <w:p w14:paraId="1581CA09" w14:textId="77777777" w:rsidR="00FF6E56" w:rsidRPr="000B11D5" w:rsidRDefault="00FF6E56" w:rsidP="00FE55D4">
            <w:pPr>
              <w:ind w:left="113" w:right="113"/>
              <w:jc w:val="center"/>
              <w:rPr>
                <w:rFonts w:ascii="Arial Narrow" w:hAnsi="Arial Narrow"/>
              </w:rPr>
            </w:pPr>
            <w:r w:rsidRPr="000B11D5">
              <w:rPr>
                <w:rFonts w:ascii="Arial Narrow" w:hAnsi="Arial Narrow"/>
              </w:rPr>
              <w:t>Macroalgae</w:t>
            </w:r>
          </w:p>
        </w:tc>
        <w:tc>
          <w:tcPr>
            <w:tcW w:w="1222" w:type="dxa"/>
            <w:gridSpan w:val="2"/>
            <w:noWrap/>
            <w:textDirection w:val="btLr"/>
            <w:hideMark/>
          </w:tcPr>
          <w:p w14:paraId="2F30841A" w14:textId="29473955" w:rsidR="00FF6E56" w:rsidRPr="000B11D5" w:rsidRDefault="00FF6E56" w:rsidP="00FE55D4">
            <w:pPr>
              <w:ind w:left="113" w:right="113"/>
              <w:jc w:val="center"/>
              <w:rPr>
                <w:rFonts w:ascii="Arial Narrow" w:hAnsi="Arial Narrow"/>
              </w:rPr>
            </w:pPr>
            <w:r w:rsidRPr="000B11D5">
              <w:rPr>
                <w:rFonts w:ascii="Arial Narrow" w:hAnsi="Arial Narrow"/>
              </w:rPr>
              <w:t xml:space="preserve">Cover </w:t>
            </w:r>
            <w:r w:rsidR="00F872DF">
              <w:rPr>
                <w:rFonts w:ascii="Arial Narrow" w:hAnsi="Arial Narrow"/>
              </w:rPr>
              <w:t>c</w:t>
            </w:r>
            <w:r w:rsidRPr="000B11D5">
              <w:rPr>
                <w:rFonts w:ascii="Arial Narrow" w:hAnsi="Arial Narrow"/>
              </w:rPr>
              <w:t>hange</w:t>
            </w:r>
          </w:p>
        </w:tc>
        <w:tc>
          <w:tcPr>
            <w:tcW w:w="1264" w:type="dxa"/>
            <w:gridSpan w:val="2"/>
            <w:noWrap/>
            <w:textDirection w:val="btLr"/>
            <w:hideMark/>
          </w:tcPr>
          <w:p w14:paraId="7348A233" w14:textId="77777777" w:rsidR="00FF6E56" w:rsidRPr="000B11D5" w:rsidRDefault="00FF6E56" w:rsidP="00FE55D4">
            <w:pPr>
              <w:ind w:left="113" w:right="113"/>
              <w:jc w:val="center"/>
              <w:rPr>
                <w:rFonts w:ascii="Arial Narrow" w:hAnsi="Arial Narrow"/>
              </w:rPr>
            </w:pPr>
            <w:r w:rsidRPr="000B11D5">
              <w:rPr>
                <w:rFonts w:ascii="Arial Narrow" w:hAnsi="Arial Narrow"/>
              </w:rPr>
              <w:t>Juvenile</w:t>
            </w:r>
          </w:p>
        </w:tc>
        <w:tc>
          <w:tcPr>
            <w:tcW w:w="1233" w:type="dxa"/>
            <w:gridSpan w:val="2"/>
            <w:noWrap/>
            <w:textDirection w:val="btLr"/>
            <w:hideMark/>
          </w:tcPr>
          <w:p w14:paraId="448366AD" w14:textId="77777777" w:rsidR="00FF6E56" w:rsidRPr="000B11D5" w:rsidRDefault="00FF6E56" w:rsidP="00FE55D4">
            <w:pPr>
              <w:ind w:left="113" w:right="113"/>
              <w:jc w:val="center"/>
              <w:rPr>
                <w:rFonts w:ascii="Arial Narrow" w:hAnsi="Arial Narrow"/>
              </w:rPr>
            </w:pPr>
            <w:r w:rsidRPr="000B11D5">
              <w:rPr>
                <w:rFonts w:ascii="Arial Narrow" w:hAnsi="Arial Narrow"/>
              </w:rPr>
              <w:t>Composition</w:t>
            </w:r>
          </w:p>
        </w:tc>
      </w:tr>
      <w:tr w:rsidR="00FF6E56" w:rsidRPr="003A1DD4" w14:paraId="41AEBED1" w14:textId="77777777" w:rsidTr="00FE55D4">
        <w:trPr>
          <w:trHeight w:val="300"/>
        </w:trPr>
        <w:tc>
          <w:tcPr>
            <w:tcW w:w="2518" w:type="dxa"/>
            <w:noWrap/>
            <w:hideMark/>
          </w:tcPr>
          <w:p w14:paraId="23E3158A" w14:textId="77777777" w:rsidR="00FF6E56" w:rsidRPr="000B11D5" w:rsidRDefault="00FF6E56" w:rsidP="00FE55D4">
            <w:pPr>
              <w:rPr>
                <w:rFonts w:ascii="Arial Narrow" w:hAnsi="Arial Narrow"/>
              </w:rPr>
            </w:pPr>
            <w:r w:rsidRPr="000B11D5">
              <w:rPr>
                <w:rFonts w:ascii="Arial Narrow" w:hAnsi="Arial Narrow"/>
              </w:rPr>
              <w:t>Regions</w:t>
            </w:r>
          </w:p>
        </w:tc>
        <w:tc>
          <w:tcPr>
            <w:tcW w:w="601" w:type="dxa"/>
            <w:noWrap/>
            <w:hideMark/>
          </w:tcPr>
          <w:p w14:paraId="59BE0FF2" w14:textId="77777777" w:rsidR="00FF6E56" w:rsidRPr="000B11D5" w:rsidRDefault="00FF6E56" w:rsidP="00FE55D4">
            <w:pPr>
              <w:rPr>
                <w:rFonts w:ascii="Arial Narrow" w:hAnsi="Arial Narrow"/>
              </w:rPr>
            </w:pPr>
            <w:r w:rsidRPr="000B11D5">
              <w:rPr>
                <w:rFonts w:ascii="Arial Narrow" w:hAnsi="Arial Narrow"/>
              </w:rPr>
              <w:t>u</w:t>
            </w:r>
          </w:p>
        </w:tc>
        <w:tc>
          <w:tcPr>
            <w:tcW w:w="533" w:type="dxa"/>
            <w:noWrap/>
            <w:hideMark/>
          </w:tcPr>
          <w:p w14:paraId="6B76A2F5" w14:textId="77777777" w:rsidR="00FF6E56" w:rsidRPr="000B11D5" w:rsidRDefault="00FF6E56" w:rsidP="00FE55D4">
            <w:pPr>
              <w:rPr>
                <w:rFonts w:ascii="Arial Narrow" w:hAnsi="Arial Narrow"/>
              </w:rPr>
            </w:pPr>
            <w:r w:rsidRPr="000B11D5">
              <w:rPr>
                <w:rFonts w:ascii="Arial Narrow" w:hAnsi="Arial Narrow"/>
              </w:rPr>
              <w:t>l</w:t>
            </w:r>
          </w:p>
        </w:tc>
        <w:tc>
          <w:tcPr>
            <w:tcW w:w="663" w:type="dxa"/>
            <w:noWrap/>
            <w:hideMark/>
          </w:tcPr>
          <w:p w14:paraId="41568E5C" w14:textId="77777777" w:rsidR="00FF6E56" w:rsidRPr="000B11D5" w:rsidRDefault="00FF6E56" w:rsidP="00FE55D4">
            <w:pPr>
              <w:rPr>
                <w:rFonts w:ascii="Arial Narrow" w:hAnsi="Arial Narrow"/>
              </w:rPr>
            </w:pPr>
            <w:r w:rsidRPr="000B11D5">
              <w:rPr>
                <w:rFonts w:ascii="Arial Narrow" w:hAnsi="Arial Narrow"/>
              </w:rPr>
              <w:t>u</w:t>
            </w:r>
          </w:p>
        </w:tc>
        <w:tc>
          <w:tcPr>
            <w:tcW w:w="599" w:type="dxa"/>
            <w:noWrap/>
            <w:hideMark/>
          </w:tcPr>
          <w:p w14:paraId="30A034EB" w14:textId="77777777" w:rsidR="00FF6E56" w:rsidRPr="000B11D5" w:rsidRDefault="00FF6E56" w:rsidP="00FE55D4">
            <w:pPr>
              <w:rPr>
                <w:rFonts w:ascii="Arial Narrow" w:hAnsi="Arial Narrow"/>
              </w:rPr>
            </w:pPr>
            <w:r w:rsidRPr="000B11D5">
              <w:rPr>
                <w:rFonts w:ascii="Arial Narrow" w:hAnsi="Arial Narrow"/>
              </w:rPr>
              <w:t>l</w:t>
            </w:r>
          </w:p>
        </w:tc>
        <w:tc>
          <w:tcPr>
            <w:tcW w:w="586" w:type="dxa"/>
            <w:noWrap/>
            <w:hideMark/>
          </w:tcPr>
          <w:p w14:paraId="0D1AD884" w14:textId="77777777" w:rsidR="00FF6E56" w:rsidRPr="000B11D5" w:rsidRDefault="00FF6E56" w:rsidP="00FE55D4">
            <w:pPr>
              <w:rPr>
                <w:rFonts w:ascii="Arial Narrow" w:hAnsi="Arial Narrow"/>
              </w:rPr>
            </w:pPr>
            <w:r w:rsidRPr="000B11D5">
              <w:rPr>
                <w:rFonts w:ascii="Arial Narrow" w:hAnsi="Arial Narrow"/>
              </w:rPr>
              <w:t>u</w:t>
            </w:r>
          </w:p>
        </w:tc>
        <w:tc>
          <w:tcPr>
            <w:tcW w:w="636" w:type="dxa"/>
            <w:noWrap/>
            <w:hideMark/>
          </w:tcPr>
          <w:p w14:paraId="59F0FBD2" w14:textId="77777777" w:rsidR="00FF6E56" w:rsidRPr="000B11D5" w:rsidRDefault="00FF6E56" w:rsidP="00FE55D4">
            <w:pPr>
              <w:rPr>
                <w:rFonts w:ascii="Arial Narrow" w:hAnsi="Arial Narrow"/>
              </w:rPr>
            </w:pPr>
            <w:r w:rsidRPr="000B11D5">
              <w:rPr>
                <w:rFonts w:ascii="Arial Narrow" w:hAnsi="Arial Narrow"/>
              </w:rPr>
              <w:t>l</w:t>
            </w:r>
          </w:p>
        </w:tc>
        <w:tc>
          <w:tcPr>
            <w:tcW w:w="586" w:type="dxa"/>
            <w:noWrap/>
            <w:hideMark/>
          </w:tcPr>
          <w:p w14:paraId="0CF98627" w14:textId="77777777" w:rsidR="00FF6E56" w:rsidRPr="000B11D5" w:rsidRDefault="00FF6E56" w:rsidP="00FE55D4">
            <w:pPr>
              <w:rPr>
                <w:rFonts w:ascii="Arial Narrow" w:hAnsi="Arial Narrow"/>
              </w:rPr>
            </w:pPr>
            <w:r w:rsidRPr="000B11D5">
              <w:rPr>
                <w:rFonts w:ascii="Arial Narrow" w:hAnsi="Arial Narrow"/>
              </w:rPr>
              <w:t>u</w:t>
            </w:r>
          </w:p>
        </w:tc>
        <w:tc>
          <w:tcPr>
            <w:tcW w:w="636" w:type="dxa"/>
            <w:noWrap/>
            <w:hideMark/>
          </w:tcPr>
          <w:p w14:paraId="5B9C37FE" w14:textId="77777777" w:rsidR="00FF6E56" w:rsidRPr="000B11D5" w:rsidRDefault="00FF6E56" w:rsidP="00FE55D4">
            <w:pPr>
              <w:rPr>
                <w:rFonts w:ascii="Arial Narrow" w:hAnsi="Arial Narrow"/>
              </w:rPr>
            </w:pPr>
            <w:r w:rsidRPr="000B11D5">
              <w:rPr>
                <w:rFonts w:ascii="Arial Narrow" w:hAnsi="Arial Narrow"/>
              </w:rPr>
              <w:t>l</w:t>
            </w:r>
          </w:p>
        </w:tc>
        <w:tc>
          <w:tcPr>
            <w:tcW w:w="586" w:type="dxa"/>
            <w:noWrap/>
            <w:hideMark/>
          </w:tcPr>
          <w:p w14:paraId="131D0376" w14:textId="77777777" w:rsidR="00FF6E56" w:rsidRPr="000B11D5" w:rsidRDefault="00FF6E56" w:rsidP="00FE55D4">
            <w:pPr>
              <w:rPr>
                <w:rFonts w:ascii="Arial Narrow" w:hAnsi="Arial Narrow"/>
              </w:rPr>
            </w:pPr>
            <w:r w:rsidRPr="000B11D5">
              <w:rPr>
                <w:rFonts w:ascii="Arial Narrow" w:hAnsi="Arial Narrow"/>
              </w:rPr>
              <w:t>u</w:t>
            </w:r>
          </w:p>
        </w:tc>
        <w:tc>
          <w:tcPr>
            <w:tcW w:w="678" w:type="dxa"/>
            <w:noWrap/>
            <w:hideMark/>
          </w:tcPr>
          <w:p w14:paraId="5B1A86D4" w14:textId="77777777" w:rsidR="00FF6E56" w:rsidRPr="000B11D5" w:rsidRDefault="00FF6E56" w:rsidP="00FE55D4">
            <w:pPr>
              <w:rPr>
                <w:rFonts w:ascii="Arial Narrow" w:hAnsi="Arial Narrow"/>
              </w:rPr>
            </w:pPr>
            <w:r w:rsidRPr="000B11D5">
              <w:rPr>
                <w:rFonts w:ascii="Arial Narrow" w:hAnsi="Arial Narrow"/>
              </w:rPr>
              <w:t>l</w:t>
            </w:r>
          </w:p>
        </w:tc>
        <w:tc>
          <w:tcPr>
            <w:tcW w:w="683" w:type="dxa"/>
            <w:noWrap/>
            <w:hideMark/>
          </w:tcPr>
          <w:p w14:paraId="23B35F5D" w14:textId="77777777" w:rsidR="00FF6E56" w:rsidRPr="000B11D5" w:rsidRDefault="00FF6E56" w:rsidP="00FE55D4">
            <w:pPr>
              <w:rPr>
                <w:rFonts w:ascii="Arial Narrow" w:hAnsi="Arial Narrow"/>
              </w:rPr>
            </w:pPr>
            <w:r w:rsidRPr="000B11D5">
              <w:rPr>
                <w:rFonts w:ascii="Arial Narrow" w:hAnsi="Arial Narrow"/>
              </w:rPr>
              <w:t>u</w:t>
            </w:r>
          </w:p>
        </w:tc>
        <w:tc>
          <w:tcPr>
            <w:tcW w:w="550" w:type="dxa"/>
            <w:noWrap/>
            <w:hideMark/>
          </w:tcPr>
          <w:p w14:paraId="335E3F4A" w14:textId="77777777" w:rsidR="00FF6E56" w:rsidRPr="000B11D5" w:rsidRDefault="00FF6E56" w:rsidP="00FE55D4">
            <w:pPr>
              <w:rPr>
                <w:rFonts w:ascii="Arial Narrow" w:hAnsi="Arial Narrow"/>
              </w:rPr>
            </w:pPr>
            <w:r w:rsidRPr="000B11D5">
              <w:rPr>
                <w:rFonts w:ascii="Arial Narrow" w:hAnsi="Arial Narrow"/>
              </w:rPr>
              <w:t>l</w:t>
            </w:r>
          </w:p>
        </w:tc>
      </w:tr>
      <w:tr w:rsidR="00FF6E56" w:rsidRPr="003A1DD4" w14:paraId="7DAEAD61" w14:textId="77777777" w:rsidTr="00FE55D4">
        <w:trPr>
          <w:trHeight w:val="300"/>
        </w:trPr>
        <w:tc>
          <w:tcPr>
            <w:tcW w:w="2518" w:type="dxa"/>
            <w:noWrap/>
            <w:tcMar>
              <w:left w:w="57" w:type="dxa"/>
              <w:right w:w="57" w:type="dxa"/>
            </w:tcMar>
            <w:hideMark/>
          </w:tcPr>
          <w:p w14:paraId="67DB35F5" w14:textId="77777777" w:rsidR="00FF6E56" w:rsidRPr="000B11D5" w:rsidRDefault="00FF6E56" w:rsidP="00FE55D4">
            <w:pPr>
              <w:jc w:val="left"/>
              <w:rPr>
                <w:rFonts w:ascii="Arial Narrow" w:hAnsi="Arial Narrow"/>
              </w:rPr>
            </w:pPr>
            <w:r w:rsidRPr="000B11D5">
              <w:rPr>
                <w:rFonts w:ascii="Arial Narrow" w:hAnsi="Arial Narrow"/>
              </w:rPr>
              <w:t xml:space="preserve">Wet Tropics </w:t>
            </w:r>
          </w:p>
        </w:tc>
        <w:tc>
          <w:tcPr>
            <w:tcW w:w="601" w:type="dxa"/>
            <w:shd w:val="clear" w:color="auto" w:fill="auto"/>
            <w:noWrap/>
            <w:tcMar>
              <w:left w:w="57" w:type="dxa"/>
              <w:right w:w="57" w:type="dxa"/>
            </w:tcMar>
            <w:vAlign w:val="bottom"/>
            <w:hideMark/>
          </w:tcPr>
          <w:p w14:paraId="5FB1F6A2" w14:textId="77777777" w:rsidR="00FF6E56" w:rsidRPr="00926663" w:rsidRDefault="00FF6E56" w:rsidP="00FE55D4">
            <w:pPr>
              <w:rPr>
                <w:rFonts w:ascii="Arial Narrow" w:hAnsi="Arial Narrow"/>
              </w:rPr>
            </w:pPr>
            <w:r w:rsidRPr="00836156">
              <w:rPr>
                <w:rFonts w:ascii="Arial Narrow" w:hAnsi="Arial Narrow"/>
                <w:color w:val="000000"/>
              </w:rPr>
              <w:t>-0.05</w:t>
            </w:r>
          </w:p>
        </w:tc>
        <w:tc>
          <w:tcPr>
            <w:tcW w:w="533" w:type="dxa"/>
            <w:shd w:val="clear" w:color="auto" w:fill="auto"/>
            <w:noWrap/>
            <w:tcMar>
              <w:left w:w="57" w:type="dxa"/>
              <w:right w:w="57" w:type="dxa"/>
            </w:tcMar>
            <w:vAlign w:val="bottom"/>
            <w:hideMark/>
          </w:tcPr>
          <w:p w14:paraId="494F7DA4" w14:textId="77777777" w:rsidR="00FF6E56" w:rsidRPr="00926663" w:rsidRDefault="00FF6E56" w:rsidP="00FE55D4">
            <w:pPr>
              <w:rPr>
                <w:rFonts w:ascii="Arial Narrow" w:hAnsi="Arial Narrow"/>
              </w:rPr>
            </w:pPr>
            <w:r w:rsidRPr="00836156">
              <w:rPr>
                <w:rFonts w:ascii="Arial Narrow" w:hAnsi="Arial Narrow"/>
                <w:color w:val="000000"/>
              </w:rPr>
              <w:t>0.16</w:t>
            </w:r>
          </w:p>
        </w:tc>
        <w:tc>
          <w:tcPr>
            <w:tcW w:w="663" w:type="dxa"/>
            <w:shd w:val="clear" w:color="auto" w:fill="auto"/>
            <w:noWrap/>
            <w:tcMar>
              <w:left w:w="57" w:type="dxa"/>
              <w:right w:w="57" w:type="dxa"/>
            </w:tcMar>
            <w:vAlign w:val="bottom"/>
            <w:hideMark/>
          </w:tcPr>
          <w:p w14:paraId="0993DFC9" w14:textId="77777777" w:rsidR="00FF6E56" w:rsidRPr="00926663" w:rsidRDefault="00FF6E56" w:rsidP="00FE55D4">
            <w:pPr>
              <w:rPr>
                <w:rFonts w:ascii="Arial Narrow" w:hAnsi="Arial Narrow"/>
              </w:rPr>
            </w:pPr>
            <w:r w:rsidRPr="00836156">
              <w:rPr>
                <w:rFonts w:ascii="Arial Narrow" w:hAnsi="Arial Narrow"/>
                <w:color w:val="000000"/>
              </w:rPr>
              <w:t>-0.14</w:t>
            </w:r>
          </w:p>
        </w:tc>
        <w:tc>
          <w:tcPr>
            <w:tcW w:w="599" w:type="dxa"/>
            <w:shd w:val="clear" w:color="auto" w:fill="auto"/>
            <w:noWrap/>
            <w:tcMar>
              <w:left w:w="57" w:type="dxa"/>
              <w:right w:w="57" w:type="dxa"/>
            </w:tcMar>
            <w:vAlign w:val="bottom"/>
            <w:hideMark/>
          </w:tcPr>
          <w:p w14:paraId="08FCE862" w14:textId="77777777" w:rsidR="00FF6E56" w:rsidRPr="00926663" w:rsidRDefault="00FF6E56" w:rsidP="00FE55D4">
            <w:pPr>
              <w:rPr>
                <w:rFonts w:ascii="Arial Narrow" w:hAnsi="Arial Narrow"/>
              </w:rPr>
            </w:pPr>
            <w:r w:rsidRPr="00836156">
              <w:rPr>
                <w:rFonts w:ascii="Arial Narrow" w:hAnsi="Arial Narrow"/>
                <w:color w:val="000000"/>
              </w:rPr>
              <w:t>0.13</w:t>
            </w:r>
          </w:p>
        </w:tc>
        <w:tc>
          <w:tcPr>
            <w:tcW w:w="586" w:type="dxa"/>
            <w:shd w:val="clear" w:color="auto" w:fill="auto"/>
            <w:noWrap/>
            <w:tcMar>
              <w:left w:w="57" w:type="dxa"/>
              <w:right w:w="57" w:type="dxa"/>
            </w:tcMar>
            <w:vAlign w:val="bottom"/>
            <w:hideMark/>
          </w:tcPr>
          <w:p w14:paraId="696B9A37" w14:textId="77777777" w:rsidR="00FF6E56" w:rsidRPr="00926663" w:rsidRDefault="00FF6E56" w:rsidP="00FE55D4">
            <w:pPr>
              <w:rPr>
                <w:rFonts w:ascii="Arial Narrow" w:hAnsi="Arial Narrow"/>
              </w:rPr>
            </w:pPr>
            <w:r w:rsidRPr="00836156">
              <w:rPr>
                <w:rFonts w:ascii="Arial Narrow" w:hAnsi="Arial Narrow"/>
                <w:color w:val="000000"/>
              </w:rPr>
              <w:t>-0.21</w:t>
            </w:r>
          </w:p>
        </w:tc>
        <w:tc>
          <w:tcPr>
            <w:tcW w:w="636" w:type="dxa"/>
            <w:shd w:val="clear" w:color="auto" w:fill="auto"/>
            <w:noWrap/>
            <w:tcMar>
              <w:left w:w="57" w:type="dxa"/>
              <w:right w:w="57" w:type="dxa"/>
            </w:tcMar>
            <w:vAlign w:val="bottom"/>
            <w:hideMark/>
          </w:tcPr>
          <w:p w14:paraId="60082D09" w14:textId="77777777" w:rsidR="00FF6E56" w:rsidRPr="00926663" w:rsidRDefault="00FF6E56" w:rsidP="00FE55D4">
            <w:pPr>
              <w:rPr>
                <w:rFonts w:ascii="Arial Narrow" w:hAnsi="Arial Narrow"/>
              </w:rPr>
            </w:pPr>
            <w:r w:rsidRPr="00836156">
              <w:rPr>
                <w:rFonts w:ascii="Arial Narrow" w:hAnsi="Arial Narrow"/>
                <w:color w:val="000000"/>
              </w:rPr>
              <w:t>0.29</w:t>
            </w:r>
          </w:p>
        </w:tc>
        <w:tc>
          <w:tcPr>
            <w:tcW w:w="586" w:type="dxa"/>
            <w:shd w:val="clear" w:color="auto" w:fill="auto"/>
            <w:noWrap/>
            <w:tcMar>
              <w:left w:w="57" w:type="dxa"/>
              <w:right w:w="57" w:type="dxa"/>
            </w:tcMar>
            <w:vAlign w:val="bottom"/>
            <w:hideMark/>
          </w:tcPr>
          <w:p w14:paraId="34B4922E" w14:textId="77777777" w:rsidR="00FF6E56" w:rsidRPr="00926663" w:rsidRDefault="00FF6E56" w:rsidP="00FE55D4">
            <w:pPr>
              <w:rPr>
                <w:rFonts w:ascii="Arial Narrow" w:hAnsi="Arial Narrow"/>
              </w:rPr>
            </w:pPr>
            <w:r w:rsidRPr="00836156">
              <w:rPr>
                <w:rFonts w:ascii="Arial Narrow" w:hAnsi="Arial Narrow"/>
                <w:color w:val="000000"/>
              </w:rPr>
              <w:t>-0.03</w:t>
            </w:r>
          </w:p>
        </w:tc>
        <w:tc>
          <w:tcPr>
            <w:tcW w:w="636" w:type="dxa"/>
            <w:shd w:val="clear" w:color="auto" w:fill="auto"/>
            <w:noWrap/>
            <w:tcMar>
              <w:left w:w="57" w:type="dxa"/>
              <w:right w:w="57" w:type="dxa"/>
            </w:tcMar>
            <w:vAlign w:val="bottom"/>
            <w:hideMark/>
          </w:tcPr>
          <w:p w14:paraId="0E58B55F" w14:textId="77777777" w:rsidR="00FF6E56" w:rsidRPr="00926663" w:rsidRDefault="00FF6E56" w:rsidP="00FE55D4">
            <w:pPr>
              <w:rPr>
                <w:rFonts w:ascii="Arial Narrow" w:hAnsi="Arial Narrow"/>
              </w:rPr>
            </w:pPr>
            <w:r w:rsidRPr="00836156">
              <w:rPr>
                <w:rFonts w:ascii="Arial Narrow" w:hAnsi="Arial Narrow"/>
                <w:color w:val="000000"/>
              </w:rPr>
              <w:t>0.31</w:t>
            </w:r>
          </w:p>
        </w:tc>
        <w:tc>
          <w:tcPr>
            <w:tcW w:w="586" w:type="dxa"/>
            <w:shd w:val="clear" w:color="auto" w:fill="auto"/>
            <w:noWrap/>
            <w:tcMar>
              <w:left w:w="57" w:type="dxa"/>
              <w:right w:w="57" w:type="dxa"/>
            </w:tcMar>
            <w:vAlign w:val="bottom"/>
            <w:hideMark/>
          </w:tcPr>
          <w:p w14:paraId="7C32BC00" w14:textId="77777777" w:rsidR="00FF6E56" w:rsidRPr="00926663" w:rsidRDefault="00FF6E56" w:rsidP="00FE55D4">
            <w:pPr>
              <w:rPr>
                <w:rFonts w:ascii="Arial Narrow" w:hAnsi="Arial Narrow"/>
              </w:rPr>
            </w:pPr>
            <w:r w:rsidRPr="00836156">
              <w:rPr>
                <w:rFonts w:ascii="Arial Narrow" w:hAnsi="Arial Narrow"/>
                <w:color w:val="000000"/>
              </w:rPr>
              <w:t>-</w:t>
            </w:r>
            <w:r>
              <w:rPr>
                <w:rFonts w:ascii="Arial Narrow" w:hAnsi="Arial Narrow"/>
                <w:color w:val="000000"/>
              </w:rPr>
              <w:t>0</w:t>
            </w:r>
            <w:r w:rsidRPr="00836156">
              <w:rPr>
                <w:rFonts w:ascii="Arial Narrow" w:hAnsi="Arial Narrow"/>
                <w:color w:val="000000"/>
              </w:rPr>
              <w:t>.02</w:t>
            </w:r>
          </w:p>
        </w:tc>
        <w:tc>
          <w:tcPr>
            <w:tcW w:w="678" w:type="dxa"/>
            <w:shd w:val="clear" w:color="auto" w:fill="auto"/>
            <w:noWrap/>
            <w:tcMar>
              <w:left w:w="57" w:type="dxa"/>
              <w:right w:w="57" w:type="dxa"/>
            </w:tcMar>
            <w:vAlign w:val="bottom"/>
            <w:hideMark/>
          </w:tcPr>
          <w:p w14:paraId="41633892" w14:textId="77777777" w:rsidR="00FF6E56" w:rsidRPr="00926663" w:rsidRDefault="00FF6E56" w:rsidP="00FE55D4">
            <w:pPr>
              <w:rPr>
                <w:rFonts w:ascii="Arial Narrow" w:hAnsi="Arial Narrow"/>
              </w:rPr>
            </w:pPr>
            <w:r w:rsidRPr="00836156">
              <w:rPr>
                <w:rFonts w:ascii="Arial Narrow" w:hAnsi="Arial Narrow"/>
                <w:color w:val="000000"/>
              </w:rPr>
              <w:t>0.28</w:t>
            </w:r>
          </w:p>
        </w:tc>
        <w:tc>
          <w:tcPr>
            <w:tcW w:w="683" w:type="dxa"/>
            <w:noWrap/>
            <w:tcMar>
              <w:left w:w="57" w:type="dxa"/>
              <w:right w:w="57" w:type="dxa"/>
            </w:tcMar>
            <w:hideMark/>
          </w:tcPr>
          <w:p w14:paraId="167E1A86" w14:textId="77777777" w:rsidR="00FF6E56" w:rsidRPr="000B11D5" w:rsidRDefault="00FF6E56" w:rsidP="00FE55D4">
            <w:pPr>
              <w:rPr>
                <w:rFonts w:ascii="Arial Narrow" w:hAnsi="Arial Narrow"/>
              </w:rPr>
            </w:pPr>
          </w:p>
        </w:tc>
        <w:tc>
          <w:tcPr>
            <w:tcW w:w="550" w:type="dxa"/>
            <w:noWrap/>
            <w:tcMar>
              <w:left w:w="57" w:type="dxa"/>
              <w:right w:w="57" w:type="dxa"/>
            </w:tcMar>
            <w:hideMark/>
          </w:tcPr>
          <w:p w14:paraId="7ECC4637" w14:textId="77777777" w:rsidR="00FF6E56" w:rsidRPr="000B11D5" w:rsidRDefault="00FF6E56" w:rsidP="00FE55D4">
            <w:pPr>
              <w:rPr>
                <w:rFonts w:ascii="Arial Narrow" w:hAnsi="Arial Narrow"/>
              </w:rPr>
            </w:pPr>
          </w:p>
        </w:tc>
      </w:tr>
      <w:tr w:rsidR="00FF6E56" w:rsidRPr="003A1DD4" w14:paraId="2D8B4CE6" w14:textId="77777777" w:rsidTr="00FE55D4">
        <w:trPr>
          <w:trHeight w:val="300"/>
        </w:trPr>
        <w:tc>
          <w:tcPr>
            <w:tcW w:w="2518" w:type="dxa"/>
            <w:noWrap/>
            <w:tcMar>
              <w:left w:w="57" w:type="dxa"/>
              <w:right w:w="57" w:type="dxa"/>
            </w:tcMar>
            <w:hideMark/>
          </w:tcPr>
          <w:p w14:paraId="313E56C1" w14:textId="77777777" w:rsidR="00FF6E56" w:rsidRPr="000B11D5" w:rsidRDefault="00FF6E56" w:rsidP="00FE55D4">
            <w:pPr>
              <w:jc w:val="left"/>
              <w:rPr>
                <w:rFonts w:ascii="Arial Narrow" w:hAnsi="Arial Narrow"/>
              </w:rPr>
            </w:pPr>
            <w:r>
              <w:rPr>
                <w:rFonts w:ascii="Arial Narrow" w:hAnsi="Arial Narrow"/>
              </w:rPr>
              <w:t>Burdekin</w:t>
            </w:r>
          </w:p>
        </w:tc>
        <w:tc>
          <w:tcPr>
            <w:tcW w:w="601" w:type="dxa"/>
            <w:shd w:val="clear" w:color="auto" w:fill="auto"/>
            <w:noWrap/>
            <w:tcMar>
              <w:left w:w="57" w:type="dxa"/>
              <w:right w:w="57" w:type="dxa"/>
            </w:tcMar>
            <w:vAlign w:val="bottom"/>
            <w:hideMark/>
          </w:tcPr>
          <w:p w14:paraId="3F92EEF9" w14:textId="77777777" w:rsidR="00FF6E56" w:rsidRPr="00926663" w:rsidRDefault="00FF6E56" w:rsidP="00FE55D4">
            <w:pPr>
              <w:rPr>
                <w:rFonts w:ascii="Arial Narrow" w:hAnsi="Arial Narrow"/>
              </w:rPr>
            </w:pPr>
            <w:r w:rsidRPr="00836156">
              <w:rPr>
                <w:rFonts w:ascii="Arial Narrow" w:hAnsi="Arial Narrow"/>
                <w:color w:val="000000"/>
              </w:rPr>
              <w:t>-0.13</w:t>
            </w:r>
          </w:p>
        </w:tc>
        <w:tc>
          <w:tcPr>
            <w:tcW w:w="533" w:type="dxa"/>
            <w:shd w:val="clear" w:color="auto" w:fill="auto"/>
            <w:noWrap/>
            <w:tcMar>
              <w:left w:w="57" w:type="dxa"/>
              <w:right w:w="57" w:type="dxa"/>
            </w:tcMar>
            <w:vAlign w:val="bottom"/>
            <w:hideMark/>
          </w:tcPr>
          <w:p w14:paraId="02E69D87" w14:textId="77777777" w:rsidR="00FF6E56" w:rsidRPr="00926663" w:rsidRDefault="00FF6E56" w:rsidP="00FE55D4">
            <w:pPr>
              <w:rPr>
                <w:rFonts w:ascii="Arial Narrow" w:hAnsi="Arial Narrow"/>
              </w:rPr>
            </w:pPr>
            <w:r w:rsidRPr="00836156">
              <w:rPr>
                <w:rFonts w:ascii="Arial Narrow" w:hAnsi="Arial Narrow"/>
                <w:color w:val="000000"/>
              </w:rPr>
              <w:t>0.14</w:t>
            </w:r>
          </w:p>
        </w:tc>
        <w:tc>
          <w:tcPr>
            <w:tcW w:w="663" w:type="dxa"/>
            <w:shd w:val="clear" w:color="auto" w:fill="auto"/>
            <w:noWrap/>
            <w:tcMar>
              <w:left w:w="57" w:type="dxa"/>
              <w:right w:w="57" w:type="dxa"/>
            </w:tcMar>
            <w:vAlign w:val="bottom"/>
            <w:hideMark/>
          </w:tcPr>
          <w:p w14:paraId="6435FA10" w14:textId="77777777" w:rsidR="00FF6E56" w:rsidRPr="00926663" w:rsidRDefault="00FF6E56" w:rsidP="00FE55D4">
            <w:pPr>
              <w:rPr>
                <w:rFonts w:ascii="Arial Narrow" w:hAnsi="Arial Narrow"/>
              </w:rPr>
            </w:pPr>
            <w:r w:rsidRPr="00836156">
              <w:rPr>
                <w:rFonts w:ascii="Arial Narrow" w:hAnsi="Arial Narrow"/>
                <w:color w:val="000000"/>
              </w:rPr>
              <w:t>-0.19</w:t>
            </w:r>
          </w:p>
        </w:tc>
        <w:tc>
          <w:tcPr>
            <w:tcW w:w="599" w:type="dxa"/>
            <w:shd w:val="clear" w:color="auto" w:fill="auto"/>
            <w:noWrap/>
            <w:tcMar>
              <w:left w:w="57" w:type="dxa"/>
              <w:right w:w="57" w:type="dxa"/>
            </w:tcMar>
            <w:vAlign w:val="bottom"/>
            <w:hideMark/>
          </w:tcPr>
          <w:p w14:paraId="05C73699" w14:textId="77777777" w:rsidR="00FF6E56" w:rsidRPr="00926663" w:rsidRDefault="00FF6E56" w:rsidP="00FE55D4">
            <w:pPr>
              <w:rPr>
                <w:rFonts w:ascii="Arial Narrow" w:hAnsi="Arial Narrow"/>
              </w:rPr>
            </w:pPr>
            <w:r w:rsidRPr="00836156">
              <w:rPr>
                <w:rFonts w:ascii="Arial Narrow" w:hAnsi="Arial Narrow"/>
                <w:color w:val="000000"/>
              </w:rPr>
              <w:t>0.16</w:t>
            </w:r>
          </w:p>
        </w:tc>
        <w:tc>
          <w:tcPr>
            <w:tcW w:w="586" w:type="dxa"/>
            <w:shd w:val="clear" w:color="auto" w:fill="auto"/>
            <w:noWrap/>
            <w:tcMar>
              <w:left w:w="57" w:type="dxa"/>
              <w:right w:w="57" w:type="dxa"/>
            </w:tcMar>
            <w:vAlign w:val="bottom"/>
            <w:hideMark/>
          </w:tcPr>
          <w:p w14:paraId="46863C96" w14:textId="77777777" w:rsidR="00FF6E56" w:rsidRPr="00926663" w:rsidRDefault="00FF6E56" w:rsidP="00FE55D4">
            <w:pPr>
              <w:rPr>
                <w:rFonts w:ascii="Arial Narrow" w:hAnsi="Arial Narrow"/>
              </w:rPr>
            </w:pPr>
            <w:r w:rsidRPr="00836156">
              <w:rPr>
                <w:rFonts w:ascii="Arial Narrow" w:hAnsi="Arial Narrow"/>
                <w:color w:val="000000"/>
              </w:rPr>
              <w:t>-0.37</w:t>
            </w:r>
          </w:p>
        </w:tc>
        <w:tc>
          <w:tcPr>
            <w:tcW w:w="636" w:type="dxa"/>
            <w:shd w:val="clear" w:color="auto" w:fill="auto"/>
            <w:noWrap/>
            <w:tcMar>
              <w:left w:w="57" w:type="dxa"/>
              <w:right w:w="57" w:type="dxa"/>
            </w:tcMar>
            <w:vAlign w:val="bottom"/>
            <w:hideMark/>
          </w:tcPr>
          <w:p w14:paraId="26CF1864" w14:textId="77777777" w:rsidR="00FF6E56" w:rsidRPr="00926663" w:rsidRDefault="00FF6E56" w:rsidP="00FE55D4">
            <w:pPr>
              <w:rPr>
                <w:rFonts w:ascii="Arial Narrow" w:hAnsi="Arial Narrow"/>
              </w:rPr>
            </w:pPr>
            <w:r w:rsidRPr="00836156">
              <w:rPr>
                <w:rFonts w:ascii="Arial Narrow" w:hAnsi="Arial Narrow"/>
                <w:color w:val="000000"/>
              </w:rPr>
              <w:t>0.20</w:t>
            </w:r>
          </w:p>
        </w:tc>
        <w:tc>
          <w:tcPr>
            <w:tcW w:w="586" w:type="dxa"/>
            <w:shd w:val="clear" w:color="auto" w:fill="auto"/>
            <w:noWrap/>
            <w:tcMar>
              <w:left w:w="57" w:type="dxa"/>
              <w:right w:w="57" w:type="dxa"/>
            </w:tcMar>
            <w:vAlign w:val="bottom"/>
            <w:hideMark/>
          </w:tcPr>
          <w:p w14:paraId="71E77C42" w14:textId="77777777" w:rsidR="00FF6E56" w:rsidRPr="00926663" w:rsidRDefault="00FF6E56" w:rsidP="00FE55D4">
            <w:pPr>
              <w:rPr>
                <w:rFonts w:ascii="Arial Narrow" w:hAnsi="Arial Narrow"/>
              </w:rPr>
            </w:pPr>
            <w:r w:rsidRPr="00836156">
              <w:rPr>
                <w:rFonts w:ascii="Arial Narrow" w:hAnsi="Arial Narrow"/>
                <w:color w:val="000000"/>
              </w:rPr>
              <w:t>-0.37</w:t>
            </w:r>
          </w:p>
        </w:tc>
        <w:tc>
          <w:tcPr>
            <w:tcW w:w="636" w:type="dxa"/>
            <w:shd w:val="clear" w:color="auto" w:fill="auto"/>
            <w:noWrap/>
            <w:tcMar>
              <w:left w:w="57" w:type="dxa"/>
              <w:right w:w="57" w:type="dxa"/>
            </w:tcMar>
            <w:vAlign w:val="bottom"/>
            <w:hideMark/>
          </w:tcPr>
          <w:p w14:paraId="5896D833" w14:textId="77777777" w:rsidR="00FF6E56" w:rsidRPr="00926663" w:rsidRDefault="00FF6E56" w:rsidP="00FE55D4">
            <w:pPr>
              <w:rPr>
                <w:rFonts w:ascii="Arial Narrow" w:hAnsi="Arial Narrow"/>
              </w:rPr>
            </w:pPr>
            <w:r w:rsidRPr="00836156">
              <w:rPr>
                <w:rFonts w:ascii="Arial Narrow" w:hAnsi="Arial Narrow"/>
                <w:color w:val="000000"/>
              </w:rPr>
              <w:t>0.17</w:t>
            </w:r>
          </w:p>
        </w:tc>
        <w:tc>
          <w:tcPr>
            <w:tcW w:w="586" w:type="dxa"/>
            <w:shd w:val="clear" w:color="auto" w:fill="E5B8B7" w:themeFill="accent2" w:themeFillTint="66"/>
            <w:noWrap/>
            <w:tcMar>
              <w:left w:w="57" w:type="dxa"/>
              <w:right w:w="57" w:type="dxa"/>
            </w:tcMar>
            <w:vAlign w:val="bottom"/>
            <w:hideMark/>
          </w:tcPr>
          <w:p w14:paraId="2DF10FD8" w14:textId="77777777" w:rsidR="00FF6E56" w:rsidRPr="00926663" w:rsidRDefault="00FF6E56" w:rsidP="00FE55D4">
            <w:pPr>
              <w:rPr>
                <w:rFonts w:ascii="Arial Narrow" w:hAnsi="Arial Narrow"/>
              </w:rPr>
            </w:pPr>
            <w:r w:rsidRPr="00836156">
              <w:rPr>
                <w:rFonts w:ascii="Arial Narrow" w:hAnsi="Arial Narrow"/>
                <w:color w:val="000000"/>
              </w:rPr>
              <w:t>0.03</w:t>
            </w:r>
          </w:p>
        </w:tc>
        <w:tc>
          <w:tcPr>
            <w:tcW w:w="678" w:type="dxa"/>
            <w:shd w:val="clear" w:color="auto" w:fill="E5B8B7" w:themeFill="accent2" w:themeFillTint="66"/>
            <w:noWrap/>
            <w:tcMar>
              <w:left w:w="57" w:type="dxa"/>
              <w:right w:w="57" w:type="dxa"/>
            </w:tcMar>
            <w:vAlign w:val="bottom"/>
            <w:hideMark/>
          </w:tcPr>
          <w:p w14:paraId="13F999DA" w14:textId="77777777" w:rsidR="00FF6E56" w:rsidRPr="00926663" w:rsidRDefault="00FF6E56" w:rsidP="00FE55D4">
            <w:pPr>
              <w:rPr>
                <w:rFonts w:ascii="Arial Narrow" w:hAnsi="Arial Narrow"/>
              </w:rPr>
            </w:pPr>
            <w:r w:rsidRPr="00836156">
              <w:rPr>
                <w:rFonts w:ascii="Arial Narrow" w:hAnsi="Arial Narrow"/>
                <w:color w:val="000000"/>
              </w:rPr>
              <w:t>0.47</w:t>
            </w:r>
          </w:p>
        </w:tc>
        <w:tc>
          <w:tcPr>
            <w:tcW w:w="683" w:type="dxa"/>
            <w:noWrap/>
            <w:tcMar>
              <w:left w:w="57" w:type="dxa"/>
              <w:right w:w="57" w:type="dxa"/>
            </w:tcMar>
            <w:hideMark/>
          </w:tcPr>
          <w:p w14:paraId="69900580" w14:textId="77777777" w:rsidR="00FF6E56" w:rsidRPr="000B11D5" w:rsidRDefault="00FF6E56" w:rsidP="00FE55D4">
            <w:pPr>
              <w:rPr>
                <w:rFonts w:ascii="Arial Narrow" w:hAnsi="Arial Narrow"/>
              </w:rPr>
            </w:pPr>
          </w:p>
        </w:tc>
        <w:tc>
          <w:tcPr>
            <w:tcW w:w="550" w:type="dxa"/>
            <w:noWrap/>
            <w:tcMar>
              <w:left w:w="57" w:type="dxa"/>
              <w:right w:w="57" w:type="dxa"/>
            </w:tcMar>
            <w:hideMark/>
          </w:tcPr>
          <w:p w14:paraId="55300060" w14:textId="77777777" w:rsidR="00FF6E56" w:rsidRPr="000B11D5" w:rsidRDefault="00FF6E56" w:rsidP="00FE55D4">
            <w:pPr>
              <w:rPr>
                <w:rFonts w:ascii="Arial Narrow" w:hAnsi="Arial Narrow"/>
              </w:rPr>
            </w:pPr>
          </w:p>
        </w:tc>
      </w:tr>
      <w:tr w:rsidR="00FF6E56" w:rsidRPr="003A1DD4" w14:paraId="42FB0965" w14:textId="77777777" w:rsidTr="00FE55D4">
        <w:trPr>
          <w:trHeight w:val="300"/>
        </w:trPr>
        <w:tc>
          <w:tcPr>
            <w:tcW w:w="2518" w:type="dxa"/>
            <w:noWrap/>
            <w:tcMar>
              <w:left w:w="57" w:type="dxa"/>
              <w:right w:w="57" w:type="dxa"/>
            </w:tcMar>
            <w:hideMark/>
          </w:tcPr>
          <w:p w14:paraId="5411EE38" w14:textId="77777777" w:rsidR="00FF6E56" w:rsidRPr="000B11D5" w:rsidRDefault="00FF6E56" w:rsidP="00FE55D4">
            <w:pPr>
              <w:jc w:val="left"/>
              <w:rPr>
                <w:rFonts w:ascii="Arial Narrow" w:hAnsi="Arial Narrow"/>
              </w:rPr>
            </w:pPr>
            <w:r>
              <w:rPr>
                <w:rFonts w:ascii="Arial Narrow" w:hAnsi="Arial Narrow"/>
              </w:rPr>
              <w:t>Mackay Whitsunday</w:t>
            </w:r>
            <w:r w:rsidRPr="000B11D5">
              <w:rPr>
                <w:rFonts w:ascii="Arial Narrow" w:hAnsi="Arial Narrow"/>
              </w:rPr>
              <w:t xml:space="preserve"> </w:t>
            </w:r>
          </w:p>
        </w:tc>
        <w:tc>
          <w:tcPr>
            <w:tcW w:w="601" w:type="dxa"/>
            <w:shd w:val="clear" w:color="auto" w:fill="auto"/>
            <w:noWrap/>
            <w:tcMar>
              <w:left w:w="57" w:type="dxa"/>
              <w:right w:w="57" w:type="dxa"/>
            </w:tcMar>
            <w:vAlign w:val="bottom"/>
            <w:hideMark/>
          </w:tcPr>
          <w:p w14:paraId="4EECABF1" w14:textId="77777777" w:rsidR="00FF6E56" w:rsidRPr="00926663" w:rsidRDefault="00FF6E56" w:rsidP="00FE55D4">
            <w:pPr>
              <w:rPr>
                <w:rFonts w:ascii="Arial Narrow" w:hAnsi="Arial Narrow"/>
              </w:rPr>
            </w:pPr>
            <w:r w:rsidRPr="00836156">
              <w:rPr>
                <w:rFonts w:ascii="Arial Narrow" w:hAnsi="Arial Narrow"/>
                <w:color w:val="000000"/>
              </w:rPr>
              <w:t>-0.22</w:t>
            </w:r>
          </w:p>
        </w:tc>
        <w:tc>
          <w:tcPr>
            <w:tcW w:w="533" w:type="dxa"/>
            <w:shd w:val="clear" w:color="auto" w:fill="auto"/>
            <w:noWrap/>
            <w:tcMar>
              <w:left w:w="57" w:type="dxa"/>
              <w:right w:w="57" w:type="dxa"/>
            </w:tcMar>
            <w:vAlign w:val="bottom"/>
            <w:hideMark/>
          </w:tcPr>
          <w:p w14:paraId="688D0EF8" w14:textId="77777777" w:rsidR="00FF6E56" w:rsidRPr="00926663" w:rsidRDefault="00FF6E56" w:rsidP="00FE55D4">
            <w:pPr>
              <w:rPr>
                <w:rFonts w:ascii="Arial Narrow" w:hAnsi="Arial Narrow"/>
              </w:rPr>
            </w:pPr>
            <w:r w:rsidRPr="00836156">
              <w:rPr>
                <w:rFonts w:ascii="Arial Narrow" w:hAnsi="Arial Narrow"/>
                <w:color w:val="000000"/>
              </w:rPr>
              <w:t>0.03</w:t>
            </w:r>
          </w:p>
        </w:tc>
        <w:tc>
          <w:tcPr>
            <w:tcW w:w="663" w:type="dxa"/>
            <w:shd w:val="clear" w:color="auto" w:fill="auto"/>
            <w:noWrap/>
            <w:tcMar>
              <w:left w:w="57" w:type="dxa"/>
              <w:right w:w="57" w:type="dxa"/>
            </w:tcMar>
            <w:vAlign w:val="bottom"/>
            <w:hideMark/>
          </w:tcPr>
          <w:p w14:paraId="068438CF" w14:textId="77777777" w:rsidR="00FF6E56" w:rsidRPr="00926663" w:rsidRDefault="00FF6E56" w:rsidP="00FE55D4">
            <w:pPr>
              <w:rPr>
                <w:rFonts w:ascii="Arial Narrow" w:hAnsi="Arial Narrow"/>
              </w:rPr>
            </w:pPr>
            <w:r w:rsidRPr="00836156">
              <w:rPr>
                <w:rFonts w:ascii="Arial Narrow" w:hAnsi="Arial Narrow"/>
                <w:color w:val="000000"/>
              </w:rPr>
              <w:t>-0.29</w:t>
            </w:r>
          </w:p>
        </w:tc>
        <w:tc>
          <w:tcPr>
            <w:tcW w:w="599" w:type="dxa"/>
            <w:shd w:val="clear" w:color="auto" w:fill="auto"/>
            <w:noWrap/>
            <w:tcMar>
              <w:left w:w="57" w:type="dxa"/>
              <w:right w:w="57" w:type="dxa"/>
            </w:tcMar>
            <w:vAlign w:val="bottom"/>
            <w:hideMark/>
          </w:tcPr>
          <w:p w14:paraId="19840237" w14:textId="77777777" w:rsidR="00FF6E56" w:rsidRPr="00926663" w:rsidRDefault="00FF6E56" w:rsidP="00FE55D4">
            <w:pPr>
              <w:rPr>
                <w:rFonts w:ascii="Arial Narrow" w:hAnsi="Arial Narrow"/>
              </w:rPr>
            </w:pPr>
            <w:r w:rsidRPr="00836156">
              <w:rPr>
                <w:rFonts w:ascii="Arial Narrow" w:hAnsi="Arial Narrow"/>
                <w:color w:val="000000"/>
              </w:rPr>
              <w:t>0.01</w:t>
            </w:r>
          </w:p>
        </w:tc>
        <w:tc>
          <w:tcPr>
            <w:tcW w:w="586" w:type="dxa"/>
            <w:shd w:val="clear" w:color="auto" w:fill="auto"/>
            <w:noWrap/>
            <w:tcMar>
              <w:left w:w="57" w:type="dxa"/>
              <w:right w:w="57" w:type="dxa"/>
            </w:tcMar>
            <w:vAlign w:val="bottom"/>
            <w:hideMark/>
          </w:tcPr>
          <w:p w14:paraId="7855C77A" w14:textId="77777777" w:rsidR="00FF6E56" w:rsidRPr="00926663" w:rsidRDefault="00FF6E56" w:rsidP="00FE55D4">
            <w:pPr>
              <w:rPr>
                <w:rFonts w:ascii="Arial Narrow" w:hAnsi="Arial Narrow"/>
              </w:rPr>
            </w:pPr>
            <w:r w:rsidRPr="00836156">
              <w:rPr>
                <w:rFonts w:ascii="Arial Narrow" w:hAnsi="Arial Narrow"/>
                <w:color w:val="000000"/>
              </w:rPr>
              <w:t>-0.24</w:t>
            </w:r>
          </w:p>
        </w:tc>
        <w:tc>
          <w:tcPr>
            <w:tcW w:w="636" w:type="dxa"/>
            <w:shd w:val="clear" w:color="auto" w:fill="auto"/>
            <w:noWrap/>
            <w:tcMar>
              <w:left w:w="57" w:type="dxa"/>
              <w:right w:w="57" w:type="dxa"/>
            </w:tcMar>
            <w:vAlign w:val="bottom"/>
            <w:hideMark/>
          </w:tcPr>
          <w:p w14:paraId="0DD288D0" w14:textId="77777777" w:rsidR="00FF6E56" w:rsidRPr="00926663" w:rsidRDefault="00FF6E56" w:rsidP="00FE55D4">
            <w:pPr>
              <w:rPr>
                <w:rFonts w:ascii="Arial Narrow" w:hAnsi="Arial Narrow"/>
              </w:rPr>
            </w:pPr>
            <w:r w:rsidRPr="00836156">
              <w:rPr>
                <w:rFonts w:ascii="Arial Narrow" w:hAnsi="Arial Narrow"/>
                <w:color w:val="000000"/>
              </w:rPr>
              <w:t>0.31</w:t>
            </w:r>
          </w:p>
        </w:tc>
        <w:tc>
          <w:tcPr>
            <w:tcW w:w="586" w:type="dxa"/>
            <w:shd w:val="clear" w:color="auto" w:fill="C2D69B" w:themeFill="accent3" w:themeFillTint="99"/>
            <w:noWrap/>
            <w:tcMar>
              <w:left w:w="57" w:type="dxa"/>
              <w:right w:w="57" w:type="dxa"/>
            </w:tcMar>
            <w:vAlign w:val="bottom"/>
            <w:hideMark/>
          </w:tcPr>
          <w:p w14:paraId="60D73FD8" w14:textId="77777777" w:rsidR="00FF6E56" w:rsidRPr="00926663" w:rsidRDefault="00FF6E56" w:rsidP="00FE55D4">
            <w:pPr>
              <w:rPr>
                <w:rFonts w:ascii="Arial Narrow" w:hAnsi="Arial Narrow"/>
              </w:rPr>
            </w:pPr>
            <w:r w:rsidRPr="00836156">
              <w:rPr>
                <w:rFonts w:ascii="Arial Narrow" w:hAnsi="Arial Narrow"/>
                <w:color w:val="000000"/>
              </w:rPr>
              <w:t>-0.49</w:t>
            </w:r>
          </w:p>
        </w:tc>
        <w:tc>
          <w:tcPr>
            <w:tcW w:w="636" w:type="dxa"/>
            <w:shd w:val="clear" w:color="auto" w:fill="C2D69B" w:themeFill="accent3" w:themeFillTint="99"/>
            <w:noWrap/>
            <w:tcMar>
              <w:left w:w="57" w:type="dxa"/>
              <w:right w:w="57" w:type="dxa"/>
            </w:tcMar>
            <w:vAlign w:val="bottom"/>
            <w:hideMark/>
          </w:tcPr>
          <w:p w14:paraId="3CB928B8" w14:textId="77777777" w:rsidR="00FF6E56" w:rsidRPr="00926663" w:rsidRDefault="00FF6E56" w:rsidP="00FE55D4">
            <w:pPr>
              <w:rPr>
                <w:rFonts w:ascii="Arial Narrow" w:hAnsi="Arial Narrow"/>
              </w:rPr>
            </w:pPr>
            <w:r w:rsidRPr="00836156">
              <w:rPr>
                <w:rFonts w:ascii="Arial Narrow" w:hAnsi="Arial Narrow"/>
                <w:color w:val="000000"/>
              </w:rPr>
              <w:t>-0.02</w:t>
            </w:r>
          </w:p>
        </w:tc>
        <w:tc>
          <w:tcPr>
            <w:tcW w:w="586" w:type="dxa"/>
            <w:shd w:val="clear" w:color="auto" w:fill="auto"/>
            <w:noWrap/>
            <w:tcMar>
              <w:left w:w="57" w:type="dxa"/>
              <w:right w:w="57" w:type="dxa"/>
            </w:tcMar>
            <w:vAlign w:val="bottom"/>
            <w:hideMark/>
          </w:tcPr>
          <w:p w14:paraId="265C0039" w14:textId="77777777" w:rsidR="00FF6E56" w:rsidRPr="00926663" w:rsidRDefault="00FF6E56" w:rsidP="00FE55D4">
            <w:pPr>
              <w:rPr>
                <w:rFonts w:ascii="Arial Narrow" w:hAnsi="Arial Narrow"/>
              </w:rPr>
            </w:pPr>
            <w:r w:rsidRPr="00836156">
              <w:rPr>
                <w:rFonts w:ascii="Arial Narrow" w:hAnsi="Arial Narrow"/>
                <w:color w:val="000000"/>
              </w:rPr>
              <w:t>-0.17</w:t>
            </w:r>
          </w:p>
        </w:tc>
        <w:tc>
          <w:tcPr>
            <w:tcW w:w="678" w:type="dxa"/>
            <w:shd w:val="clear" w:color="auto" w:fill="auto"/>
            <w:noWrap/>
            <w:tcMar>
              <w:left w:w="57" w:type="dxa"/>
              <w:right w:w="57" w:type="dxa"/>
            </w:tcMar>
            <w:vAlign w:val="bottom"/>
            <w:hideMark/>
          </w:tcPr>
          <w:p w14:paraId="32815B55" w14:textId="77777777" w:rsidR="00FF6E56" w:rsidRPr="00926663" w:rsidRDefault="00FF6E56" w:rsidP="00FE55D4">
            <w:pPr>
              <w:rPr>
                <w:rFonts w:ascii="Arial Narrow" w:hAnsi="Arial Narrow"/>
              </w:rPr>
            </w:pPr>
            <w:r w:rsidRPr="00836156">
              <w:rPr>
                <w:rFonts w:ascii="Arial Narrow" w:hAnsi="Arial Narrow"/>
                <w:color w:val="000000"/>
              </w:rPr>
              <w:t>0.21</w:t>
            </w:r>
          </w:p>
        </w:tc>
        <w:tc>
          <w:tcPr>
            <w:tcW w:w="683" w:type="dxa"/>
            <w:noWrap/>
            <w:tcMar>
              <w:left w:w="57" w:type="dxa"/>
              <w:right w:w="57" w:type="dxa"/>
            </w:tcMar>
            <w:hideMark/>
          </w:tcPr>
          <w:p w14:paraId="27999071" w14:textId="77777777" w:rsidR="00FF6E56" w:rsidRPr="000B11D5" w:rsidRDefault="00FF6E56" w:rsidP="00FE55D4">
            <w:pPr>
              <w:rPr>
                <w:rFonts w:ascii="Arial Narrow" w:hAnsi="Arial Narrow"/>
              </w:rPr>
            </w:pPr>
          </w:p>
        </w:tc>
        <w:tc>
          <w:tcPr>
            <w:tcW w:w="550" w:type="dxa"/>
            <w:noWrap/>
            <w:tcMar>
              <w:left w:w="57" w:type="dxa"/>
              <w:right w:w="57" w:type="dxa"/>
            </w:tcMar>
            <w:hideMark/>
          </w:tcPr>
          <w:p w14:paraId="4946FA3E" w14:textId="77777777" w:rsidR="00FF6E56" w:rsidRPr="000B11D5" w:rsidRDefault="00FF6E56" w:rsidP="00FE55D4">
            <w:pPr>
              <w:rPr>
                <w:rFonts w:ascii="Arial Narrow" w:hAnsi="Arial Narrow"/>
              </w:rPr>
            </w:pPr>
          </w:p>
        </w:tc>
      </w:tr>
      <w:tr w:rsidR="00FF6E56" w:rsidRPr="003A1DD4" w14:paraId="6D120CFA" w14:textId="77777777" w:rsidTr="00FE55D4">
        <w:trPr>
          <w:trHeight w:val="300"/>
        </w:trPr>
        <w:tc>
          <w:tcPr>
            <w:tcW w:w="2518" w:type="dxa"/>
            <w:noWrap/>
            <w:tcMar>
              <w:left w:w="57" w:type="dxa"/>
              <w:right w:w="57" w:type="dxa"/>
            </w:tcMar>
            <w:hideMark/>
          </w:tcPr>
          <w:p w14:paraId="33A43E9C" w14:textId="77777777" w:rsidR="00FF6E56" w:rsidRPr="000B11D5" w:rsidRDefault="00FF6E56" w:rsidP="00FE55D4">
            <w:pPr>
              <w:jc w:val="left"/>
              <w:rPr>
                <w:rFonts w:ascii="Arial Narrow" w:hAnsi="Arial Narrow"/>
              </w:rPr>
            </w:pPr>
            <w:r w:rsidRPr="000B11D5">
              <w:rPr>
                <w:rFonts w:ascii="Arial Narrow" w:hAnsi="Arial Narrow"/>
              </w:rPr>
              <w:t>Fitzroy</w:t>
            </w:r>
          </w:p>
        </w:tc>
        <w:tc>
          <w:tcPr>
            <w:tcW w:w="601" w:type="dxa"/>
            <w:shd w:val="clear" w:color="auto" w:fill="auto"/>
            <w:noWrap/>
            <w:tcMar>
              <w:left w:w="57" w:type="dxa"/>
              <w:right w:w="57" w:type="dxa"/>
            </w:tcMar>
            <w:vAlign w:val="bottom"/>
            <w:hideMark/>
          </w:tcPr>
          <w:p w14:paraId="3F02B51F" w14:textId="77777777" w:rsidR="00FF6E56" w:rsidRPr="00926663" w:rsidRDefault="00FF6E56" w:rsidP="00FE55D4">
            <w:pPr>
              <w:rPr>
                <w:rFonts w:ascii="Arial Narrow" w:hAnsi="Arial Narrow"/>
              </w:rPr>
            </w:pPr>
            <w:r w:rsidRPr="00836156">
              <w:rPr>
                <w:rFonts w:ascii="Arial Narrow" w:hAnsi="Arial Narrow"/>
                <w:color w:val="000000"/>
              </w:rPr>
              <w:t>-0.12</w:t>
            </w:r>
          </w:p>
        </w:tc>
        <w:tc>
          <w:tcPr>
            <w:tcW w:w="533" w:type="dxa"/>
            <w:shd w:val="clear" w:color="auto" w:fill="auto"/>
            <w:noWrap/>
            <w:tcMar>
              <w:left w:w="57" w:type="dxa"/>
              <w:right w:w="57" w:type="dxa"/>
            </w:tcMar>
            <w:vAlign w:val="bottom"/>
            <w:hideMark/>
          </w:tcPr>
          <w:p w14:paraId="65EB46EB" w14:textId="77777777" w:rsidR="00FF6E56" w:rsidRPr="00926663" w:rsidRDefault="00FF6E56" w:rsidP="00FE55D4">
            <w:pPr>
              <w:rPr>
                <w:rFonts w:ascii="Arial Narrow" w:hAnsi="Arial Narrow"/>
              </w:rPr>
            </w:pPr>
            <w:r w:rsidRPr="00836156">
              <w:rPr>
                <w:rFonts w:ascii="Arial Narrow" w:hAnsi="Arial Narrow"/>
                <w:color w:val="000000"/>
              </w:rPr>
              <w:t>0.13</w:t>
            </w:r>
          </w:p>
        </w:tc>
        <w:tc>
          <w:tcPr>
            <w:tcW w:w="663" w:type="dxa"/>
            <w:shd w:val="clear" w:color="auto" w:fill="auto"/>
            <w:noWrap/>
            <w:tcMar>
              <w:left w:w="57" w:type="dxa"/>
              <w:right w:w="57" w:type="dxa"/>
            </w:tcMar>
            <w:vAlign w:val="bottom"/>
            <w:hideMark/>
          </w:tcPr>
          <w:p w14:paraId="0E0C8B5A" w14:textId="77777777" w:rsidR="00FF6E56" w:rsidRPr="00926663" w:rsidRDefault="00FF6E56" w:rsidP="00FE55D4">
            <w:pPr>
              <w:rPr>
                <w:rFonts w:ascii="Arial Narrow" w:hAnsi="Arial Narrow"/>
              </w:rPr>
            </w:pPr>
            <w:r w:rsidRPr="00836156">
              <w:rPr>
                <w:rFonts w:ascii="Arial Narrow" w:hAnsi="Arial Narrow"/>
                <w:color w:val="000000"/>
              </w:rPr>
              <w:t>-0.06</w:t>
            </w:r>
          </w:p>
        </w:tc>
        <w:tc>
          <w:tcPr>
            <w:tcW w:w="599" w:type="dxa"/>
            <w:shd w:val="clear" w:color="auto" w:fill="auto"/>
            <w:noWrap/>
            <w:tcMar>
              <w:left w:w="57" w:type="dxa"/>
              <w:right w:w="57" w:type="dxa"/>
            </w:tcMar>
            <w:vAlign w:val="bottom"/>
            <w:hideMark/>
          </w:tcPr>
          <w:p w14:paraId="124AB757" w14:textId="77777777" w:rsidR="00FF6E56" w:rsidRPr="00926663" w:rsidRDefault="00FF6E56" w:rsidP="00FE55D4">
            <w:pPr>
              <w:rPr>
                <w:rFonts w:ascii="Arial Narrow" w:hAnsi="Arial Narrow"/>
              </w:rPr>
            </w:pPr>
            <w:r w:rsidRPr="00836156">
              <w:rPr>
                <w:rFonts w:ascii="Arial Narrow" w:hAnsi="Arial Narrow"/>
                <w:color w:val="000000"/>
              </w:rPr>
              <w:t>0.28</w:t>
            </w:r>
          </w:p>
        </w:tc>
        <w:tc>
          <w:tcPr>
            <w:tcW w:w="586" w:type="dxa"/>
            <w:shd w:val="clear" w:color="auto" w:fill="auto"/>
            <w:noWrap/>
            <w:tcMar>
              <w:left w:w="57" w:type="dxa"/>
              <w:right w:w="57" w:type="dxa"/>
            </w:tcMar>
            <w:vAlign w:val="bottom"/>
            <w:hideMark/>
          </w:tcPr>
          <w:p w14:paraId="57684E8F" w14:textId="77777777" w:rsidR="00FF6E56" w:rsidRPr="00926663" w:rsidRDefault="00FF6E56" w:rsidP="00FE55D4">
            <w:pPr>
              <w:rPr>
                <w:rFonts w:ascii="Arial Narrow" w:hAnsi="Arial Narrow"/>
              </w:rPr>
            </w:pPr>
            <w:r w:rsidRPr="00836156">
              <w:rPr>
                <w:rFonts w:ascii="Arial Narrow" w:hAnsi="Arial Narrow"/>
                <w:color w:val="000000"/>
              </w:rPr>
              <w:t>-0.34</w:t>
            </w:r>
          </w:p>
        </w:tc>
        <w:tc>
          <w:tcPr>
            <w:tcW w:w="636" w:type="dxa"/>
            <w:shd w:val="clear" w:color="auto" w:fill="auto"/>
            <w:noWrap/>
            <w:tcMar>
              <w:left w:w="57" w:type="dxa"/>
              <w:right w:w="57" w:type="dxa"/>
            </w:tcMar>
            <w:vAlign w:val="bottom"/>
            <w:hideMark/>
          </w:tcPr>
          <w:p w14:paraId="579AA880" w14:textId="77777777" w:rsidR="00FF6E56" w:rsidRPr="00926663" w:rsidRDefault="00FF6E56" w:rsidP="00FE55D4">
            <w:pPr>
              <w:rPr>
                <w:rFonts w:ascii="Arial Narrow" w:hAnsi="Arial Narrow"/>
              </w:rPr>
            </w:pPr>
            <w:r w:rsidRPr="00836156">
              <w:rPr>
                <w:rFonts w:ascii="Arial Narrow" w:hAnsi="Arial Narrow"/>
                <w:color w:val="000000"/>
              </w:rPr>
              <w:t>0.21</w:t>
            </w:r>
          </w:p>
        </w:tc>
        <w:tc>
          <w:tcPr>
            <w:tcW w:w="586" w:type="dxa"/>
            <w:shd w:val="clear" w:color="auto" w:fill="auto"/>
            <w:noWrap/>
            <w:tcMar>
              <w:left w:w="57" w:type="dxa"/>
              <w:right w:w="57" w:type="dxa"/>
            </w:tcMar>
            <w:vAlign w:val="bottom"/>
            <w:hideMark/>
          </w:tcPr>
          <w:p w14:paraId="633F2D8F" w14:textId="77777777" w:rsidR="00FF6E56" w:rsidRPr="00926663" w:rsidRDefault="00FF6E56" w:rsidP="00FE55D4">
            <w:pPr>
              <w:rPr>
                <w:rFonts w:ascii="Arial Narrow" w:hAnsi="Arial Narrow"/>
              </w:rPr>
            </w:pPr>
            <w:r w:rsidRPr="00836156">
              <w:rPr>
                <w:rFonts w:ascii="Arial Narrow" w:hAnsi="Arial Narrow"/>
                <w:color w:val="000000"/>
              </w:rPr>
              <w:t>-0.34</w:t>
            </w:r>
          </w:p>
        </w:tc>
        <w:tc>
          <w:tcPr>
            <w:tcW w:w="636" w:type="dxa"/>
            <w:shd w:val="clear" w:color="auto" w:fill="auto"/>
            <w:noWrap/>
            <w:tcMar>
              <w:left w:w="57" w:type="dxa"/>
              <w:right w:w="57" w:type="dxa"/>
            </w:tcMar>
            <w:vAlign w:val="bottom"/>
            <w:hideMark/>
          </w:tcPr>
          <w:p w14:paraId="09C3B8D8" w14:textId="77777777" w:rsidR="00FF6E56" w:rsidRPr="00926663" w:rsidRDefault="00FF6E56" w:rsidP="00FE55D4">
            <w:pPr>
              <w:rPr>
                <w:rFonts w:ascii="Arial Narrow" w:hAnsi="Arial Narrow"/>
              </w:rPr>
            </w:pPr>
            <w:r w:rsidRPr="00836156">
              <w:rPr>
                <w:rFonts w:ascii="Arial Narrow" w:hAnsi="Arial Narrow"/>
                <w:color w:val="000000"/>
              </w:rPr>
              <w:t>0.27</w:t>
            </w:r>
          </w:p>
        </w:tc>
        <w:tc>
          <w:tcPr>
            <w:tcW w:w="586" w:type="dxa"/>
            <w:shd w:val="clear" w:color="auto" w:fill="auto"/>
            <w:noWrap/>
            <w:tcMar>
              <w:left w:w="57" w:type="dxa"/>
              <w:right w:w="57" w:type="dxa"/>
            </w:tcMar>
            <w:vAlign w:val="bottom"/>
            <w:hideMark/>
          </w:tcPr>
          <w:p w14:paraId="3496ED8B" w14:textId="77777777" w:rsidR="00FF6E56" w:rsidRPr="00926663" w:rsidRDefault="00FF6E56" w:rsidP="00FE55D4">
            <w:pPr>
              <w:rPr>
                <w:rFonts w:ascii="Arial Narrow" w:hAnsi="Arial Narrow"/>
              </w:rPr>
            </w:pPr>
            <w:r w:rsidRPr="00836156">
              <w:rPr>
                <w:rFonts w:ascii="Arial Narrow" w:hAnsi="Arial Narrow"/>
                <w:color w:val="000000"/>
              </w:rPr>
              <w:t>-0.22</w:t>
            </w:r>
          </w:p>
        </w:tc>
        <w:tc>
          <w:tcPr>
            <w:tcW w:w="678" w:type="dxa"/>
            <w:shd w:val="clear" w:color="auto" w:fill="auto"/>
            <w:noWrap/>
            <w:tcMar>
              <w:left w:w="57" w:type="dxa"/>
              <w:right w:w="57" w:type="dxa"/>
            </w:tcMar>
            <w:vAlign w:val="bottom"/>
            <w:hideMark/>
          </w:tcPr>
          <w:p w14:paraId="1D23B461" w14:textId="77777777" w:rsidR="00FF6E56" w:rsidRPr="00926663" w:rsidRDefault="00FF6E56" w:rsidP="00FE55D4">
            <w:pPr>
              <w:rPr>
                <w:rFonts w:ascii="Arial Narrow" w:hAnsi="Arial Narrow"/>
              </w:rPr>
            </w:pPr>
            <w:r w:rsidRPr="00836156">
              <w:rPr>
                <w:rFonts w:ascii="Arial Narrow" w:hAnsi="Arial Narrow"/>
                <w:color w:val="000000"/>
              </w:rPr>
              <w:t>0.17</w:t>
            </w:r>
          </w:p>
        </w:tc>
        <w:tc>
          <w:tcPr>
            <w:tcW w:w="683" w:type="dxa"/>
            <w:noWrap/>
            <w:tcMar>
              <w:left w:w="57" w:type="dxa"/>
              <w:right w:w="57" w:type="dxa"/>
            </w:tcMar>
            <w:hideMark/>
          </w:tcPr>
          <w:p w14:paraId="7DCBC0A1" w14:textId="77777777" w:rsidR="00FF6E56" w:rsidRPr="000B11D5" w:rsidRDefault="00FF6E56" w:rsidP="00FE55D4">
            <w:pPr>
              <w:rPr>
                <w:rFonts w:ascii="Arial Narrow" w:hAnsi="Arial Narrow"/>
              </w:rPr>
            </w:pPr>
          </w:p>
        </w:tc>
        <w:tc>
          <w:tcPr>
            <w:tcW w:w="550" w:type="dxa"/>
            <w:noWrap/>
            <w:tcMar>
              <w:left w:w="57" w:type="dxa"/>
              <w:right w:w="57" w:type="dxa"/>
            </w:tcMar>
            <w:hideMark/>
          </w:tcPr>
          <w:p w14:paraId="0CA9E710" w14:textId="77777777" w:rsidR="00FF6E56" w:rsidRPr="000B11D5" w:rsidRDefault="00FF6E56" w:rsidP="00FE55D4">
            <w:pPr>
              <w:rPr>
                <w:rFonts w:ascii="Arial Narrow" w:hAnsi="Arial Narrow"/>
              </w:rPr>
            </w:pPr>
          </w:p>
        </w:tc>
      </w:tr>
    </w:tbl>
    <w:p w14:paraId="6888CD8D" w14:textId="77777777" w:rsidR="00FF6E56" w:rsidRPr="00C00385" w:rsidRDefault="00FF6E56" w:rsidP="00FF6E56">
      <w:pPr>
        <w:rPr>
          <w:lang w:val="en-US"/>
        </w:rPr>
      </w:pPr>
    </w:p>
    <w:p w14:paraId="037090AC" w14:textId="1E0A42B6" w:rsidR="00BD49B5" w:rsidRDefault="00BD49B5" w:rsidP="00B9528B">
      <w:pPr>
        <w:pStyle w:val="Heading3"/>
      </w:pPr>
      <w:bookmarkStart w:id="147" w:name="_Toc493153325"/>
      <w:r>
        <w:t>5.1.3 Response to environmental gradients</w:t>
      </w:r>
      <w:bookmarkEnd w:id="147"/>
    </w:p>
    <w:p w14:paraId="322194D4" w14:textId="35ED2402" w:rsidR="00D57752" w:rsidRDefault="00D57752" w:rsidP="00D57752">
      <w:pPr>
        <w:rPr>
          <w:szCs w:val="22"/>
        </w:rPr>
      </w:pPr>
      <w:r>
        <w:rPr>
          <w:szCs w:val="22"/>
        </w:rPr>
        <w:t xml:space="preserve">Index scores in 2016 were significantly lower (r-square =0.89, p-value &lt;0.001) at sites where long-term mean </w:t>
      </w:r>
      <w:r w:rsidR="006B4B65">
        <w:rPr>
          <w:szCs w:val="22"/>
        </w:rPr>
        <w:t>Chl</w:t>
      </w:r>
      <w:r>
        <w:rPr>
          <w:szCs w:val="22"/>
        </w:rPr>
        <w:t xml:space="preserve"> </w:t>
      </w:r>
      <w:r w:rsidRPr="00491F0B">
        <w:rPr>
          <w:i/>
          <w:szCs w:val="22"/>
        </w:rPr>
        <w:t>a</w:t>
      </w:r>
      <w:r>
        <w:rPr>
          <w:szCs w:val="22"/>
        </w:rPr>
        <w:t xml:space="preserve"> levels exceeded 0.5</w:t>
      </w:r>
      <w:r w:rsidRPr="00E12B8D">
        <w:rPr>
          <w:rFonts w:cs="Arial"/>
          <w:szCs w:val="22"/>
        </w:rPr>
        <w:t xml:space="preserve"> </w:t>
      </w:r>
      <w:r>
        <w:rPr>
          <w:rFonts w:cs="Arial"/>
          <w:szCs w:val="22"/>
        </w:rPr>
        <w:t>µ</w:t>
      </w:r>
      <w:r>
        <w:rPr>
          <w:szCs w:val="22"/>
        </w:rPr>
        <w:t>gL</w:t>
      </w:r>
      <w:r w:rsidRPr="00491F0B">
        <w:rPr>
          <w:szCs w:val="22"/>
          <w:vertAlign w:val="superscript"/>
        </w:rPr>
        <w:t>-1</w:t>
      </w:r>
      <w:r>
        <w:rPr>
          <w:szCs w:val="22"/>
          <w:vertAlign w:val="superscript"/>
        </w:rPr>
        <w:t xml:space="preserve"> </w:t>
      </w:r>
      <w:r w:rsidRPr="00491F0B">
        <w:rPr>
          <w:szCs w:val="22"/>
        </w:rPr>
        <w:t>(</w:t>
      </w:r>
      <w:r w:rsidR="00E8797E">
        <w:rPr>
          <w:szCs w:val="22"/>
        </w:rPr>
        <w:fldChar w:fldCharType="begin"/>
      </w:r>
      <w:r w:rsidR="00E8797E">
        <w:rPr>
          <w:szCs w:val="22"/>
        </w:rPr>
        <w:instrText xml:space="preserve"> REF _Ref491163149 \h </w:instrText>
      </w:r>
      <w:r w:rsidR="00E8797E">
        <w:rPr>
          <w:szCs w:val="22"/>
        </w:rPr>
      </w:r>
      <w:r w:rsidR="00E8797E">
        <w:rPr>
          <w:szCs w:val="22"/>
        </w:rPr>
        <w:fldChar w:fldCharType="separate"/>
      </w:r>
      <w:r w:rsidR="00D806F2">
        <w:t xml:space="preserve">Figure </w:t>
      </w:r>
      <w:r w:rsidR="00D806F2">
        <w:rPr>
          <w:noProof/>
        </w:rPr>
        <w:t>9</w:t>
      </w:r>
      <w:r w:rsidR="00E8797E">
        <w:rPr>
          <w:szCs w:val="22"/>
        </w:rPr>
        <w:fldChar w:fldCharType="end"/>
      </w:r>
      <w:r w:rsidR="00E8797E">
        <w:rPr>
          <w:szCs w:val="22"/>
        </w:rPr>
        <w:t>a</w:t>
      </w:r>
      <w:r w:rsidRPr="00491F0B">
        <w:rPr>
          <w:szCs w:val="22"/>
        </w:rPr>
        <w:t>)</w:t>
      </w:r>
      <w:r w:rsidRPr="00C5534C">
        <w:rPr>
          <w:szCs w:val="22"/>
        </w:rPr>
        <w:t>.</w:t>
      </w:r>
      <w:r>
        <w:rPr>
          <w:szCs w:val="22"/>
        </w:rPr>
        <w:t xml:space="preserve"> The median effect size of </w:t>
      </w:r>
      <w:r w:rsidR="006B4B65">
        <w:rPr>
          <w:szCs w:val="22"/>
        </w:rPr>
        <w:t>Chl</w:t>
      </w:r>
      <w:r>
        <w:rPr>
          <w:szCs w:val="22"/>
        </w:rPr>
        <w:t xml:space="preserve"> </w:t>
      </w:r>
      <w:r w:rsidRPr="00663F7B">
        <w:rPr>
          <w:i/>
          <w:szCs w:val="22"/>
        </w:rPr>
        <w:t>a</w:t>
      </w:r>
      <w:r>
        <w:rPr>
          <w:szCs w:val="22"/>
        </w:rPr>
        <w:t xml:space="preserve"> over the range observed at inshore reefs is sufficient to reduce index scores from over 0.55 at lower concentrations to below 0.4 corresponding to a reduction in report card scores from moderate to poor. Neither the concentration of total suspended solids nor the composition of sediments at the monitoring sites clearly influenced index scores (</w:t>
      </w:r>
      <w:r w:rsidR="00E8797E">
        <w:rPr>
          <w:szCs w:val="22"/>
        </w:rPr>
        <w:fldChar w:fldCharType="begin"/>
      </w:r>
      <w:r w:rsidR="00E8797E">
        <w:rPr>
          <w:szCs w:val="22"/>
        </w:rPr>
        <w:instrText xml:space="preserve"> REF _Ref491163149 \h </w:instrText>
      </w:r>
      <w:r w:rsidR="00E8797E">
        <w:rPr>
          <w:szCs w:val="22"/>
        </w:rPr>
      </w:r>
      <w:r w:rsidR="00E8797E">
        <w:rPr>
          <w:szCs w:val="22"/>
        </w:rPr>
        <w:fldChar w:fldCharType="separate"/>
      </w:r>
      <w:r w:rsidR="00D806F2">
        <w:t xml:space="preserve">Figure </w:t>
      </w:r>
      <w:r w:rsidR="00D806F2">
        <w:rPr>
          <w:noProof/>
        </w:rPr>
        <w:t>9</w:t>
      </w:r>
      <w:r w:rsidR="00E8797E">
        <w:rPr>
          <w:szCs w:val="22"/>
        </w:rPr>
        <w:fldChar w:fldCharType="end"/>
      </w:r>
      <w:r w:rsidR="00E8797E">
        <w:rPr>
          <w:szCs w:val="22"/>
        </w:rPr>
        <w:t>b, c</w:t>
      </w:r>
      <w:r>
        <w:rPr>
          <w:szCs w:val="22"/>
        </w:rPr>
        <w:t>). Gradient boosted models applied to the separate metrics revealed that reduction</w:t>
      </w:r>
      <w:r w:rsidR="00E8797E">
        <w:rPr>
          <w:szCs w:val="22"/>
        </w:rPr>
        <w:t>s</w:t>
      </w:r>
      <w:r>
        <w:rPr>
          <w:szCs w:val="22"/>
        </w:rPr>
        <w:t xml:space="preserve"> in scores for </w:t>
      </w:r>
      <w:r w:rsidR="00E8797E">
        <w:rPr>
          <w:szCs w:val="22"/>
        </w:rPr>
        <w:t>M</w:t>
      </w:r>
      <w:r>
        <w:rPr>
          <w:szCs w:val="22"/>
        </w:rPr>
        <w:t xml:space="preserve">acroalgae and </w:t>
      </w:r>
      <w:r w:rsidR="00E8797E">
        <w:rPr>
          <w:szCs w:val="22"/>
        </w:rPr>
        <w:t>C</w:t>
      </w:r>
      <w:r>
        <w:rPr>
          <w:szCs w:val="22"/>
        </w:rPr>
        <w:t xml:space="preserve">oral </w:t>
      </w:r>
      <w:r w:rsidR="00E8797E">
        <w:rPr>
          <w:szCs w:val="22"/>
        </w:rPr>
        <w:t>C</w:t>
      </w:r>
      <w:r>
        <w:rPr>
          <w:szCs w:val="22"/>
        </w:rPr>
        <w:t xml:space="preserve">over </w:t>
      </w:r>
      <w:r w:rsidR="00E8797E">
        <w:rPr>
          <w:szCs w:val="22"/>
        </w:rPr>
        <w:t>metrics and a higher probability of a decline in the Composition metric at higher C</w:t>
      </w:r>
      <w:r>
        <w:rPr>
          <w:szCs w:val="22"/>
        </w:rPr>
        <w:t xml:space="preserve">hl </w:t>
      </w:r>
      <w:r w:rsidRPr="00D57752">
        <w:rPr>
          <w:i/>
          <w:szCs w:val="22"/>
        </w:rPr>
        <w:t>a</w:t>
      </w:r>
      <w:r>
        <w:rPr>
          <w:szCs w:val="22"/>
        </w:rPr>
        <w:t xml:space="preserve"> concentrations</w:t>
      </w:r>
      <w:r w:rsidR="00B03EE6">
        <w:rPr>
          <w:szCs w:val="22"/>
        </w:rPr>
        <w:t>,</w:t>
      </w:r>
      <w:r>
        <w:rPr>
          <w:szCs w:val="22"/>
        </w:rPr>
        <w:t xml:space="preserve"> </w:t>
      </w:r>
      <w:r w:rsidR="00E8797E">
        <w:rPr>
          <w:szCs w:val="22"/>
        </w:rPr>
        <w:t xml:space="preserve">all contribute to the </w:t>
      </w:r>
      <w:r>
        <w:rPr>
          <w:szCs w:val="22"/>
        </w:rPr>
        <w:t>reduced index scores (</w:t>
      </w:r>
      <w:r w:rsidR="00E8797E">
        <w:rPr>
          <w:szCs w:val="22"/>
        </w:rPr>
        <w:fldChar w:fldCharType="begin"/>
      </w:r>
      <w:r w:rsidR="00E8797E">
        <w:rPr>
          <w:szCs w:val="22"/>
        </w:rPr>
        <w:instrText xml:space="preserve"> REF _Ref491163585 \h </w:instrText>
      </w:r>
      <w:r w:rsidR="00E8797E">
        <w:rPr>
          <w:szCs w:val="22"/>
        </w:rPr>
      </w:r>
      <w:r w:rsidR="00E8797E">
        <w:rPr>
          <w:szCs w:val="22"/>
        </w:rPr>
        <w:fldChar w:fldCharType="separate"/>
      </w:r>
      <w:r w:rsidR="00D806F2">
        <w:t xml:space="preserve">Figure </w:t>
      </w:r>
      <w:r w:rsidR="00D806F2">
        <w:rPr>
          <w:noProof/>
        </w:rPr>
        <w:t>10</w:t>
      </w:r>
      <w:r w:rsidR="00E8797E">
        <w:rPr>
          <w:szCs w:val="22"/>
        </w:rPr>
        <w:fldChar w:fldCharType="end"/>
      </w:r>
      <w:r>
        <w:rPr>
          <w:szCs w:val="22"/>
        </w:rPr>
        <w:t xml:space="preserve">). There was no clear relationship between </w:t>
      </w:r>
      <w:r w:rsidR="00E8797E">
        <w:rPr>
          <w:szCs w:val="22"/>
        </w:rPr>
        <w:t>the scores for the Juvenile or Cover Change metrics observed in 2016 and the location</w:t>
      </w:r>
      <w:r>
        <w:rPr>
          <w:szCs w:val="22"/>
        </w:rPr>
        <w:t xml:space="preserve"> of reefs along </w:t>
      </w:r>
      <w:r w:rsidR="00E8797E">
        <w:rPr>
          <w:szCs w:val="22"/>
        </w:rPr>
        <w:t>the environmental gradients tested</w:t>
      </w:r>
      <w:r>
        <w:rPr>
          <w:szCs w:val="22"/>
        </w:rPr>
        <w:t xml:space="preserve"> (</w:t>
      </w:r>
      <w:r w:rsidR="00E8797E">
        <w:rPr>
          <w:szCs w:val="22"/>
        </w:rPr>
        <w:fldChar w:fldCharType="begin"/>
      </w:r>
      <w:r w:rsidR="00E8797E">
        <w:rPr>
          <w:szCs w:val="22"/>
        </w:rPr>
        <w:instrText xml:space="preserve"> REF _Ref491163585 \h </w:instrText>
      </w:r>
      <w:r w:rsidR="00E8797E">
        <w:rPr>
          <w:szCs w:val="22"/>
        </w:rPr>
      </w:r>
      <w:r w:rsidR="00E8797E">
        <w:rPr>
          <w:szCs w:val="22"/>
        </w:rPr>
        <w:fldChar w:fldCharType="separate"/>
      </w:r>
      <w:r w:rsidR="00D806F2">
        <w:t xml:space="preserve">Figure </w:t>
      </w:r>
      <w:r w:rsidR="00D806F2">
        <w:rPr>
          <w:noProof/>
        </w:rPr>
        <w:t>10</w:t>
      </w:r>
      <w:r w:rsidR="00E8797E">
        <w:rPr>
          <w:szCs w:val="22"/>
        </w:rPr>
        <w:fldChar w:fldCharType="end"/>
      </w:r>
      <w:r>
        <w:rPr>
          <w:szCs w:val="22"/>
        </w:rPr>
        <w:t xml:space="preserve">) </w:t>
      </w:r>
    </w:p>
    <w:p w14:paraId="0A793850" w14:textId="77777777" w:rsidR="00FF6E56" w:rsidRDefault="00FF6E56" w:rsidP="00FF6E56">
      <w:pPr>
        <w:rPr>
          <w:szCs w:val="22"/>
        </w:rPr>
      </w:pPr>
    </w:p>
    <w:p w14:paraId="7B2C5420" w14:textId="77777777" w:rsidR="00FF6E56" w:rsidRDefault="00FF6E56" w:rsidP="00FF6E56">
      <w:r>
        <w:rPr>
          <w:noProof/>
          <w:lang w:val="en-AU" w:eastAsia="en-AU"/>
        </w:rPr>
        <w:drawing>
          <wp:inline distT="0" distB="0" distL="0" distR="0" wp14:anchorId="45C0E985" wp14:editId="0EC329EF">
            <wp:extent cx="6120765" cy="2295525"/>
            <wp:effectExtent l="0" t="0" r="0" b="9525"/>
            <wp:docPr id="233" name="Picture 233" descr="Plot of the partial effects for the relationship between index scores, Chlorophyll a, total suspended solids and Clay silt content of reefal sediments." title="Figure 9 Relationship between index scores and environmental variab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index.gbm2016c.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6120765" cy="2295525"/>
                    </a:xfrm>
                    <a:prstGeom prst="rect">
                      <a:avLst/>
                    </a:prstGeom>
                  </pic:spPr>
                </pic:pic>
              </a:graphicData>
            </a:graphic>
          </wp:inline>
        </w:drawing>
      </w:r>
    </w:p>
    <w:p w14:paraId="079A1DC9" w14:textId="2B893710" w:rsidR="00357FC4" w:rsidRDefault="00E8797E" w:rsidP="00E8797E">
      <w:pPr>
        <w:pStyle w:val="Caption"/>
      </w:pPr>
      <w:bookmarkStart w:id="148" w:name="_Ref491163149"/>
      <w:bookmarkStart w:id="149" w:name="_Toc491846835"/>
      <w:r>
        <w:t xml:space="preserve">Figure </w:t>
      </w:r>
      <w:r>
        <w:fldChar w:fldCharType="begin"/>
      </w:r>
      <w:r>
        <w:instrText xml:space="preserve"> SEQ Figure \* ARABIC </w:instrText>
      </w:r>
      <w:r>
        <w:fldChar w:fldCharType="separate"/>
      </w:r>
      <w:r w:rsidR="00D806F2">
        <w:rPr>
          <w:noProof/>
        </w:rPr>
        <w:t>9</w:t>
      </w:r>
      <w:r>
        <w:fldChar w:fldCharType="end"/>
      </w:r>
      <w:bookmarkEnd w:id="148"/>
      <w:r>
        <w:t xml:space="preserve"> </w:t>
      </w:r>
      <w:r w:rsidRPr="0068301C">
        <w:t>Relationship between coral index scores and environmental conditions.</w:t>
      </w:r>
      <w:r w:rsidR="00357FC4">
        <w:t xml:space="preserve"> Predicted partial plots derived from gradient boosted model.</w:t>
      </w:r>
      <w:bookmarkEnd w:id="149"/>
      <w:r w:rsidR="00357FC4">
        <w:t xml:space="preserve"> </w:t>
      </w:r>
    </w:p>
    <w:p w14:paraId="6EA43E5E" w14:textId="649AFCB8" w:rsidR="00FF6E56" w:rsidRDefault="00FF6E56" w:rsidP="00FF6E56">
      <w:pPr>
        <w:rPr>
          <w:szCs w:val="22"/>
        </w:rPr>
      </w:pPr>
    </w:p>
    <w:p w14:paraId="58E21D9E" w14:textId="3D930583" w:rsidR="00FF6E56" w:rsidRDefault="001A4258" w:rsidP="00FF6E56">
      <w:pPr>
        <w:rPr>
          <w:szCs w:val="22"/>
        </w:rPr>
      </w:pPr>
      <w:r>
        <w:rPr>
          <w:noProof/>
          <w:szCs w:val="22"/>
          <w:lang w:val="en-AU" w:eastAsia="en-AU"/>
        </w:rPr>
        <w:drawing>
          <wp:inline distT="0" distB="0" distL="0" distR="0" wp14:anchorId="4C475605" wp14:editId="6895FDB9">
            <wp:extent cx="6120765" cy="7651115"/>
            <wp:effectExtent l="0" t="0" r="0" b="6985"/>
            <wp:docPr id="14" name="Picture 14" descr="Plot of the partial effects for the relationship between scores for each metric, Chlorophyll a, total suspended solids and Clay silt content of reefal sediments." title="Figure 10 Relationship between metric scores and environmental vari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metric.scores.gbm2016.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6120765" cy="7651115"/>
                    </a:xfrm>
                    <a:prstGeom prst="rect">
                      <a:avLst/>
                    </a:prstGeom>
                  </pic:spPr>
                </pic:pic>
              </a:graphicData>
            </a:graphic>
          </wp:inline>
        </w:drawing>
      </w:r>
    </w:p>
    <w:p w14:paraId="47C3F8BD" w14:textId="0729512F" w:rsidR="00357FC4" w:rsidRDefault="00E8797E" w:rsidP="00E8797E">
      <w:pPr>
        <w:pStyle w:val="Caption"/>
      </w:pPr>
      <w:bookmarkStart w:id="150" w:name="_Ref491163585"/>
      <w:bookmarkStart w:id="151" w:name="_Toc491846836"/>
      <w:r>
        <w:t xml:space="preserve">Figure </w:t>
      </w:r>
      <w:r>
        <w:fldChar w:fldCharType="begin"/>
      </w:r>
      <w:r>
        <w:instrText xml:space="preserve"> SEQ Figure \* ARABIC </w:instrText>
      </w:r>
      <w:r>
        <w:fldChar w:fldCharType="separate"/>
      </w:r>
      <w:r w:rsidR="00D806F2">
        <w:rPr>
          <w:noProof/>
        </w:rPr>
        <w:t>10</w:t>
      </w:r>
      <w:r>
        <w:fldChar w:fldCharType="end"/>
      </w:r>
      <w:bookmarkEnd w:id="150"/>
      <w:r>
        <w:t xml:space="preserve"> </w:t>
      </w:r>
      <w:r w:rsidRPr="00D73412">
        <w:t>Relationship between indicator metric scores and environmental conditions</w:t>
      </w:r>
      <w:r w:rsidR="00357FC4">
        <w:t>. Predicted partial plots derived from gradient boosted model.</w:t>
      </w:r>
      <w:bookmarkEnd w:id="151"/>
      <w:r w:rsidR="00357FC4">
        <w:t xml:space="preserve"> </w:t>
      </w:r>
      <w:r w:rsidR="00E94A89">
        <w:t>Dashed lines are 95% confidence intervals of the predictions.</w:t>
      </w:r>
    </w:p>
    <w:p w14:paraId="34197E36" w14:textId="77777777" w:rsidR="00357FC4" w:rsidRDefault="00357FC4" w:rsidP="00FF6E56">
      <w:pPr>
        <w:rPr>
          <w:szCs w:val="22"/>
        </w:rPr>
      </w:pPr>
    </w:p>
    <w:p w14:paraId="20CFBEC0" w14:textId="4A0D98D3" w:rsidR="00FF6E56" w:rsidRDefault="00FF6E56" w:rsidP="00FF6E56">
      <w:pPr>
        <w:rPr>
          <w:szCs w:val="22"/>
        </w:rPr>
      </w:pPr>
    </w:p>
    <w:p w14:paraId="258F5411" w14:textId="77777777" w:rsidR="00D57752" w:rsidRDefault="00D57752" w:rsidP="00357FC4">
      <w:pPr>
        <w:rPr>
          <w:lang w:val="en-AU"/>
        </w:rPr>
      </w:pPr>
    </w:p>
    <w:p w14:paraId="5118C0DA" w14:textId="74983353" w:rsidR="00BD49B5" w:rsidRDefault="00357FC4" w:rsidP="00B9528B">
      <w:pPr>
        <w:pStyle w:val="Heading3"/>
      </w:pPr>
      <w:r w:rsidRPr="007F5EA6">
        <w:rPr>
          <w:szCs w:val="22"/>
        </w:rPr>
        <w:t xml:space="preserve"> </w:t>
      </w:r>
      <w:bookmarkStart w:id="152" w:name="_Toc493153326"/>
      <w:r w:rsidR="00BD49B5">
        <w:t>5.1.4 Influence of discharge and catchment loads</w:t>
      </w:r>
      <w:bookmarkEnd w:id="152"/>
    </w:p>
    <w:p w14:paraId="6A7D404A" w14:textId="16D4C542" w:rsidR="00357FC4" w:rsidRDefault="00084D7B" w:rsidP="00357FC4">
      <w:pPr>
        <w:rPr>
          <w:b/>
          <w:szCs w:val="22"/>
          <w:highlight w:val="yellow"/>
        </w:rPr>
      </w:pPr>
      <w:r>
        <w:rPr>
          <w:b/>
          <w:noProof/>
          <w:szCs w:val="22"/>
          <w:lang w:val="en-AU" w:eastAsia="en-AU"/>
        </w:rPr>
        <w:drawing>
          <wp:inline distT="0" distB="0" distL="0" distR="0" wp14:anchorId="14424ED8" wp14:editId="282F2333">
            <wp:extent cx="6120765" cy="5720715"/>
            <wp:effectExtent l="0" t="0" r="0" b="0"/>
            <wp:docPr id="24" name="Picture 24" descr="Plots of the predicted relationship between changes in index scores and discharge from the rivers in each region. " title="Figure 11 Relationship between change in index scores and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discharge.index.paper.png"/>
                    <pic:cNvPicPr/>
                  </pic:nvPicPr>
                  <pic:blipFill rotWithShape="1">
                    <a:blip r:embed="rId46" cstate="print">
                      <a:extLst>
                        <a:ext uri="{28A0092B-C50C-407E-A947-70E740481C1C}">
                          <a14:useLocalDpi xmlns:a14="http://schemas.microsoft.com/office/drawing/2010/main" val="0"/>
                        </a:ext>
                      </a:extLst>
                    </a:blip>
                    <a:srcRect t="6536"/>
                    <a:stretch/>
                  </pic:blipFill>
                  <pic:spPr bwMode="auto">
                    <a:xfrm>
                      <a:off x="0" y="0"/>
                      <a:ext cx="6120765" cy="5720715"/>
                    </a:xfrm>
                    <a:prstGeom prst="rect">
                      <a:avLst/>
                    </a:prstGeom>
                    <a:ln>
                      <a:noFill/>
                    </a:ln>
                    <a:extLst>
                      <a:ext uri="{53640926-AAD7-44D8-BBD7-CCE9431645EC}">
                        <a14:shadowObscured xmlns:a14="http://schemas.microsoft.com/office/drawing/2010/main"/>
                      </a:ext>
                    </a:extLst>
                  </pic:spPr>
                </pic:pic>
              </a:graphicData>
            </a:graphic>
          </wp:inline>
        </w:drawing>
      </w:r>
    </w:p>
    <w:p w14:paraId="6E9AAF9D" w14:textId="658B444E" w:rsidR="00E8797E" w:rsidRDefault="00E8797E" w:rsidP="00E8797E">
      <w:pPr>
        <w:pStyle w:val="Caption"/>
      </w:pPr>
      <w:bookmarkStart w:id="153" w:name="_Ref491164700"/>
      <w:bookmarkStart w:id="154" w:name="_Toc491846837"/>
      <w:r>
        <w:t xml:space="preserve">Figure </w:t>
      </w:r>
      <w:r>
        <w:fldChar w:fldCharType="begin"/>
      </w:r>
      <w:r>
        <w:instrText xml:space="preserve"> SEQ Figure \* ARABIC </w:instrText>
      </w:r>
      <w:r>
        <w:fldChar w:fldCharType="separate"/>
      </w:r>
      <w:r w:rsidR="00D806F2">
        <w:rPr>
          <w:noProof/>
        </w:rPr>
        <w:t>11</w:t>
      </w:r>
      <w:r>
        <w:fldChar w:fldCharType="end"/>
      </w:r>
      <w:bookmarkEnd w:id="153"/>
      <w:r>
        <w:t xml:space="preserve"> </w:t>
      </w:r>
      <w:r w:rsidRPr="004F7A41">
        <w:t xml:space="preserve">Relationship between the coral index and </w:t>
      </w:r>
      <w:r w:rsidR="0042623E">
        <w:t>run-off</w:t>
      </w:r>
      <w:r w:rsidRPr="004F7A41">
        <w:t xml:space="preserve"> from local catchments</w:t>
      </w:r>
      <w:r>
        <w:t xml:space="preserve">. </w:t>
      </w:r>
      <w:r w:rsidR="00124525">
        <w:t xml:space="preserve">Plotted points represent observed change in the index score at each reef and depth over a two year period. Observations for which acute disturbances impacted communities in the period between samples were excluded. Discharge values represent the </w:t>
      </w:r>
      <w:r w:rsidR="00577377">
        <w:t>cumulative</w:t>
      </w:r>
      <w:r w:rsidR="00124525">
        <w:t xml:space="preserve"> discharge from the region’s major rivers over the two year period corresponding to index changes. For the Burdekin Region DIN load was a better predictor of index change than discharge and again DIN loads represent the </w:t>
      </w:r>
      <w:r w:rsidR="00577377">
        <w:t>cumulative</w:t>
      </w:r>
      <w:r w:rsidR="00124525">
        <w:t xml:space="preserve"> annual load</w:t>
      </w:r>
      <w:r w:rsidR="00577377">
        <w:t>s</w:t>
      </w:r>
      <w:r w:rsidR="00124525">
        <w:t xml:space="preserve"> over the two year period. Trend lines represent the predicted change in index scores (solid line) and the 95% confidence intervals of the prediction (dash lines).</w:t>
      </w:r>
      <w:bookmarkEnd w:id="154"/>
      <w:r w:rsidR="00124525">
        <w:t xml:space="preserve"> </w:t>
      </w:r>
    </w:p>
    <w:p w14:paraId="2DA0C867" w14:textId="01BFA316" w:rsidR="0011527C" w:rsidRDefault="00E15CD6" w:rsidP="00581589">
      <w:pPr>
        <w:rPr>
          <w:color w:val="000000" w:themeColor="text1"/>
        </w:rPr>
      </w:pPr>
      <w:r>
        <w:rPr>
          <w:color w:val="000000" w:themeColor="text1"/>
        </w:rPr>
        <w:t>Biennial changes in index scores si</w:t>
      </w:r>
      <w:r w:rsidR="00FD737A">
        <w:rPr>
          <w:color w:val="000000" w:themeColor="text1"/>
        </w:rPr>
        <w:t>nce 2005 demonstrate</w:t>
      </w:r>
      <w:r>
        <w:rPr>
          <w:color w:val="000000" w:themeColor="text1"/>
        </w:rPr>
        <w:t xml:space="preserve"> a negative relationship </w:t>
      </w:r>
      <w:r w:rsidR="00FD737A">
        <w:rPr>
          <w:color w:val="000000" w:themeColor="text1"/>
        </w:rPr>
        <w:t xml:space="preserve">to </w:t>
      </w:r>
      <w:r w:rsidR="0042623E">
        <w:rPr>
          <w:color w:val="000000" w:themeColor="text1"/>
        </w:rPr>
        <w:t>run-off</w:t>
      </w:r>
      <w:r>
        <w:rPr>
          <w:color w:val="000000" w:themeColor="text1"/>
        </w:rPr>
        <w:t xml:space="preserve"> from adjacent catchments in t</w:t>
      </w:r>
      <w:r w:rsidR="00A5040D">
        <w:rPr>
          <w:color w:val="000000" w:themeColor="text1"/>
        </w:rPr>
        <w:t>he Wet Tropics, Burdekin and Fitzroy regions</w:t>
      </w:r>
      <w:r>
        <w:rPr>
          <w:color w:val="000000" w:themeColor="text1"/>
        </w:rPr>
        <w:t>. For each region</w:t>
      </w:r>
      <w:r w:rsidR="00FD737A">
        <w:rPr>
          <w:color w:val="000000" w:themeColor="text1"/>
        </w:rPr>
        <w:t>,</w:t>
      </w:r>
      <w:r w:rsidR="00A5040D">
        <w:rPr>
          <w:color w:val="000000" w:themeColor="text1"/>
        </w:rPr>
        <w:t xml:space="preserve"> biennial change </w:t>
      </w:r>
      <w:r w:rsidR="00BD03D0">
        <w:rPr>
          <w:color w:val="000000" w:themeColor="text1"/>
        </w:rPr>
        <w:t>during years that individual reefs were not impacted by acute disturbances (cyclones, bleaching, COTS or direct exposure to low salinity floodwaters)</w:t>
      </w:r>
      <w:r w:rsidR="00FD737A">
        <w:rPr>
          <w:color w:val="000000" w:themeColor="text1"/>
        </w:rPr>
        <w:t>,</w:t>
      </w:r>
      <w:r w:rsidR="00BD03D0">
        <w:rPr>
          <w:color w:val="000000" w:themeColor="text1"/>
        </w:rPr>
        <w:t xml:space="preserve"> were modelled separately against three measures of </w:t>
      </w:r>
      <w:r w:rsidR="0042623E">
        <w:rPr>
          <w:color w:val="000000" w:themeColor="text1"/>
        </w:rPr>
        <w:t>run-off</w:t>
      </w:r>
      <w:r w:rsidR="008E1A90">
        <w:rPr>
          <w:color w:val="000000" w:themeColor="text1"/>
        </w:rPr>
        <w:t>:</w:t>
      </w:r>
      <w:r w:rsidR="00BD03D0">
        <w:rPr>
          <w:color w:val="000000" w:themeColor="text1"/>
        </w:rPr>
        <w:t xml:space="preserve"> the biennial totals for freshwater discharge, dissolved inorganic nitrogen load </w:t>
      </w:r>
      <w:r w:rsidR="0011527C">
        <w:rPr>
          <w:color w:val="000000" w:themeColor="text1"/>
        </w:rPr>
        <w:t xml:space="preserve">(DIN) </w:t>
      </w:r>
      <w:r w:rsidR="00BD03D0">
        <w:rPr>
          <w:color w:val="000000" w:themeColor="text1"/>
        </w:rPr>
        <w:t>and total suspended solids load</w:t>
      </w:r>
      <w:r w:rsidR="0011527C">
        <w:rPr>
          <w:color w:val="000000" w:themeColor="text1"/>
        </w:rPr>
        <w:t xml:space="preserve"> (TSS)</w:t>
      </w:r>
      <w:r w:rsidR="00BD03D0">
        <w:rPr>
          <w:color w:val="000000" w:themeColor="text1"/>
        </w:rPr>
        <w:t xml:space="preserve">. Of the three </w:t>
      </w:r>
      <w:r w:rsidR="0042623E">
        <w:rPr>
          <w:color w:val="000000" w:themeColor="text1"/>
        </w:rPr>
        <w:t>run-off</w:t>
      </w:r>
      <w:r w:rsidR="008E1A90">
        <w:rPr>
          <w:color w:val="000000" w:themeColor="text1"/>
        </w:rPr>
        <w:t xml:space="preserve"> </w:t>
      </w:r>
      <w:r w:rsidR="00BD03D0">
        <w:rPr>
          <w:color w:val="000000" w:themeColor="text1"/>
        </w:rPr>
        <w:t>variables applied</w:t>
      </w:r>
      <w:r w:rsidR="008E1A90">
        <w:rPr>
          <w:color w:val="000000" w:themeColor="text1"/>
        </w:rPr>
        <w:t>,</w:t>
      </w:r>
      <w:r w:rsidR="00BD03D0">
        <w:rPr>
          <w:color w:val="000000" w:themeColor="text1"/>
        </w:rPr>
        <w:t xml:space="preserve"> the variable explaining the highest variability in the change in the coral index </w:t>
      </w:r>
      <w:r w:rsidR="00577377">
        <w:rPr>
          <w:color w:val="000000" w:themeColor="text1"/>
        </w:rPr>
        <w:t xml:space="preserve">(model R-square, </w:t>
      </w:r>
      <w:r w:rsidR="00577377">
        <w:rPr>
          <w:color w:val="000000" w:themeColor="text1"/>
        </w:rPr>
        <w:fldChar w:fldCharType="begin"/>
      </w:r>
      <w:r w:rsidR="00577377">
        <w:rPr>
          <w:color w:val="000000" w:themeColor="text1"/>
        </w:rPr>
        <w:instrText xml:space="preserve"> REF _Ref491164625 \h </w:instrText>
      </w:r>
      <w:r w:rsidR="00577377">
        <w:rPr>
          <w:color w:val="000000" w:themeColor="text1"/>
        </w:rPr>
      </w:r>
      <w:r w:rsidR="00577377">
        <w:rPr>
          <w:color w:val="000000" w:themeColor="text1"/>
        </w:rPr>
        <w:fldChar w:fldCharType="separate"/>
      </w:r>
      <w:r w:rsidR="00D806F2">
        <w:t xml:space="preserve">Table </w:t>
      </w:r>
      <w:r w:rsidR="00D806F2">
        <w:rPr>
          <w:noProof/>
        </w:rPr>
        <w:t>9</w:t>
      </w:r>
      <w:r w:rsidR="00577377">
        <w:rPr>
          <w:color w:val="000000" w:themeColor="text1"/>
        </w:rPr>
        <w:fldChar w:fldCharType="end"/>
      </w:r>
      <w:r w:rsidR="00577377">
        <w:rPr>
          <w:color w:val="000000" w:themeColor="text1"/>
        </w:rPr>
        <w:t xml:space="preserve">) </w:t>
      </w:r>
      <w:r w:rsidR="004464E5">
        <w:rPr>
          <w:color w:val="000000" w:themeColor="text1"/>
        </w:rPr>
        <w:t xml:space="preserve">was </w:t>
      </w:r>
      <w:r w:rsidR="008E1A90">
        <w:rPr>
          <w:color w:val="000000" w:themeColor="text1"/>
        </w:rPr>
        <w:t xml:space="preserve">selected to predict relationships shown </w:t>
      </w:r>
      <w:r w:rsidR="00BD03D0">
        <w:rPr>
          <w:color w:val="000000" w:themeColor="text1"/>
        </w:rPr>
        <w:t>in</w:t>
      </w:r>
      <w:r w:rsidR="00577377">
        <w:rPr>
          <w:color w:val="000000" w:themeColor="text1"/>
        </w:rPr>
        <w:t xml:space="preserve"> </w:t>
      </w:r>
      <w:r w:rsidR="00577377">
        <w:rPr>
          <w:color w:val="000000" w:themeColor="text1"/>
        </w:rPr>
        <w:fldChar w:fldCharType="begin"/>
      </w:r>
      <w:r w:rsidR="00577377">
        <w:rPr>
          <w:color w:val="000000" w:themeColor="text1"/>
        </w:rPr>
        <w:instrText xml:space="preserve"> REF _Ref491164700 \h </w:instrText>
      </w:r>
      <w:r w:rsidR="00577377">
        <w:rPr>
          <w:color w:val="000000" w:themeColor="text1"/>
        </w:rPr>
      </w:r>
      <w:r w:rsidR="00577377">
        <w:rPr>
          <w:color w:val="000000" w:themeColor="text1"/>
        </w:rPr>
        <w:fldChar w:fldCharType="separate"/>
      </w:r>
      <w:r w:rsidR="00D806F2">
        <w:t xml:space="preserve">Figure </w:t>
      </w:r>
      <w:r w:rsidR="00D806F2">
        <w:rPr>
          <w:noProof/>
        </w:rPr>
        <w:t>11</w:t>
      </w:r>
      <w:r w:rsidR="00577377">
        <w:rPr>
          <w:color w:val="000000" w:themeColor="text1"/>
        </w:rPr>
        <w:fldChar w:fldCharType="end"/>
      </w:r>
      <w:r w:rsidR="008E1A90">
        <w:rPr>
          <w:color w:val="000000" w:themeColor="text1"/>
        </w:rPr>
        <w:t>.</w:t>
      </w:r>
      <w:r w:rsidR="00E75F5C">
        <w:rPr>
          <w:color w:val="000000" w:themeColor="text1"/>
        </w:rPr>
        <w:t xml:space="preserve"> </w:t>
      </w:r>
      <w:r w:rsidR="0011527C">
        <w:rPr>
          <w:color w:val="000000" w:themeColor="text1"/>
        </w:rPr>
        <w:t xml:space="preserve">In </w:t>
      </w:r>
      <w:r w:rsidR="00FD737A">
        <w:rPr>
          <w:color w:val="000000" w:themeColor="text1"/>
        </w:rPr>
        <w:t>the Burdekin and Wet Tropics regions total discharge and DIN explained a similar amount of the variation in index cha</w:t>
      </w:r>
      <w:r w:rsidR="004034B1">
        <w:rPr>
          <w:color w:val="000000" w:themeColor="text1"/>
        </w:rPr>
        <w:t>nges</w:t>
      </w:r>
      <w:r w:rsidR="00577377">
        <w:rPr>
          <w:color w:val="000000" w:themeColor="text1"/>
        </w:rPr>
        <w:t xml:space="preserve"> with both having greater predictive capacity than TSS (</w:t>
      </w:r>
      <w:r w:rsidR="00577377">
        <w:rPr>
          <w:color w:val="000000" w:themeColor="text1"/>
        </w:rPr>
        <w:fldChar w:fldCharType="begin"/>
      </w:r>
      <w:r w:rsidR="00577377">
        <w:rPr>
          <w:color w:val="000000" w:themeColor="text1"/>
        </w:rPr>
        <w:instrText xml:space="preserve"> REF _Ref491164625 \h </w:instrText>
      </w:r>
      <w:r w:rsidR="00577377">
        <w:rPr>
          <w:color w:val="000000" w:themeColor="text1"/>
        </w:rPr>
      </w:r>
      <w:r w:rsidR="00577377">
        <w:rPr>
          <w:color w:val="000000" w:themeColor="text1"/>
        </w:rPr>
        <w:fldChar w:fldCharType="separate"/>
      </w:r>
      <w:r w:rsidR="00D806F2">
        <w:t xml:space="preserve">Table </w:t>
      </w:r>
      <w:r w:rsidR="00D806F2">
        <w:rPr>
          <w:noProof/>
        </w:rPr>
        <w:t>9</w:t>
      </w:r>
      <w:r w:rsidR="00577377">
        <w:rPr>
          <w:color w:val="000000" w:themeColor="text1"/>
        </w:rPr>
        <w:fldChar w:fldCharType="end"/>
      </w:r>
      <w:r w:rsidR="00577377">
        <w:rPr>
          <w:color w:val="000000" w:themeColor="text1"/>
        </w:rPr>
        <w:t>)</w:t>
      </w:r>
      <w:r w:rsidR="004034B1">
        <w:rPr>
          <w:color w:val="000000" w:themeColor="text1"/>
        </w:rPr>
        <w:t>. In the Fitzroy Region freshwater discharge had the greatest influence on index scores, despite the removal of observations in 2008 (Pelican and Peak 2 m depth) and 2011 (2 m and 5 m depths at Pelican and Peak, 2 m depth at Keppe</w:t>
      </w:r>
      <w:r w:rsidR="00B03EE6">
        <w:rPr>
          <w:color w:val="000000" w:themeColor="text1"/>
        </w:rPr>
        <w:t xml:space="preserve">ls South) when communities </w:t>
      </w:r>
      <w:r w:rsidR="004034B1">
        <w:rPr>
          <w:color w:val="000000" w:themeColor="text1"/>
        </w:rPr>
        <w:t>suffered an acute disturbance as a result of exposure to low salinity plumes</w:t>
      </w:r>
      <w:r w:rsidR="007B0B6C">
        <w:rPr>
          <w:color w:val="000000" w:themeColor="text1"/>
        </w:rPr>
        <w:t xml:space="preserve">. </w:t>
      </w:r>
    </w:p>
    <w:p w14:paraId="5FE1C8FE" w14:textId="44E48A4E" w:rsidR="00815F84" w:rsidRPr="00F872DF" w:rsidRDefault="00577377" w:rsidP="00577377">
      <w:pPr>
        <w:pStyle w:val="Caption"/>
        <w:rPr>
          <w:rStyle w:val="IntenseReference"/>
          <w:rFonts w:eastAsia="SimSun"/>
        </w:rPr>
      </w:pPr>
      <w:bookmarkStart w:id="155" w:name="_Ref491164625"/>
      <w:bookmarkStart w:id="156" w:name="_Toc491847028"/>
      <w:r>
        <w:t xml:space="preserve">Table </w:t>
      </w:r>
      <w:r>
        <w:fldChar w:fldCharType="begin"/>
      </w:r>
      <w:r>
        <w:instrText xml:space="preserve"> SEQ Table \* ARABIC </w:instrText>
      </w:r>
      <w:r>
        <w:fldChar w:fldCharType="separate"/>
      </w:r>
      <w:r w:rsidR="00D806F2">
        <w:rPr>
          <w:noProof/>
        </w:rPr>
        <w:t>9</w:t>
      </w:r>
      <w:r>
        <w:fldChar w:fldCharType="end"/>
      </w:r>
      <w:bookmarkEnd w:id="155"/>
      <w:r>
        <w:t xml:space="preserve"> Relationship between changes in index scores and </w:t>
      </w:r>
      <w:r w:rsidR="0042623E">
        <w:t>run-off</w:t>
      </w:r>
      <w:r w:rsidR="00815F84">
        <w:rPr>
          <w:color w:val="000000" w:themeColor="text1"/>
        </w:rPr>
        <w:t xml:space="preserve">. </w:t>
      </w:r>
      <w:r w:rsidR="00815F84" w:rsidRPr="00F872DF">
        <w:rPr>
          <w:rStyle w:val="IntenseReference"/>
          <w:rFonts w:eastAsia="SimSun"/>
        </w:rPr>
        <w:t xml:space="preserve">Tabulated are the model R-square value and p value for the relationship between change in coral index scores and each summary of regional </w:t>
      </w:r>
      <w:r w:rsidR="0042623E">
        <w:rPr>
          <w:rStyle w:val="IntenseReference"/>
          <w:rFonts w:eastAsia="SimSun"/>
        </w:rPr>
        <w:t>run-off</w:t>
      </w:r>
      <w:r w:rsidR="00815F84" w:rsidRPr="00F872DF">
        <w:rPr>
          <w:rStyle w:val="IntenseReference"/>
          <w:rFonts w:eastAsia="SimSun"/>
        </w:rPr>
        <w:t>. Where responses where nonlinear the reported p value includes (</w:t>
      </w:r>
      <w:r w:rsidR="00815F84" w:rsidRPr="00F872DF">
        <w:rPr>
          <w:rStyle w:val="IntenseReference"/>
          <w:rFonts w:eastAsia="SimSun"/>
          <w:vertAlign w:val="superscript"/>
        </w:rPr>
        <w:t>gam</w:t>
      </w:r>
      <w:r w:rsidR="00815F84" w:rsidRPr="00F872DF">
        <w:rPr>
          <w:rStyle w:val="IntenseReference"/>
          <w:rFonts w:eastAsia="SimSun"/>
        </w:rPr>
        <w:t>) indicating significance of the smoothed term as opposed to the significan</w:t>
      </w:r>
      <w:r w:rsidR="00655979">
        <w:rPr>
          <w:rStyle w:val="IntenseReference"/>
          <w:rFonts w:eastAsia="SimSun"/>
        </w:rPr>
        <w:t>ce</w:t>
      </w:r>
      <w:r w:rsidR="00815F84" w:rsidRPr="00F872DF">
        <w:rPr>
          <w:rStyle w:val="IntenseReference"/>
          <w:rFonts w:eastAsia="SimSun"/>
        </w:rPr>
        <w:t xml:space="preserve"> of the slope of the relationship where </w:t>
      </w:r>
      <w:r w:rsidR="001F56E2" w:rsidRPr="00F872DF">
        <w:rPr>
          <w:rStyle w:val="IntenseReference"/>
          <w:rFonts w:eastAsia="SimSun"/>
        </w:rPr>
        <w:t xml:space="preserve">linear responses </w:t>
      </w:r>
      <w:r w:rsidR="00FD737A" w:rsidRPr="00F872DF">
        <w:rPr>
          <w:rStyle w:val="IntenseReference"/>
          <w:rFonts w:eastAsia="SimSun"/>
        </w:rPr>
        <w:t>occurred</w:t>
      </w:r>
      <w:r w:rsidR="00815F84" w:rsidRPr="00F872DF">
        <w:rPr>
          <w:rStyle w:val="IntenseReference"/>
          <w:rFonts w:eastAsia="SimSun"/>
        </w:rPr>
        <w:t>.</w:t>
      </w:r>
      <w:bookmarkEnd w:id="156"/>
    </w:p>
    <w:tbl>
      <w:tblPr>
        <w:tblStyle w:val="TableGrid"/>
        <w:tblW w:w="0" w:type="auto"/>
        <w:tblLayout w:type="fixed"/>
        <w:tblLook w:val="04A0" w:firstRow="1" w:lastRow="0" w:firstColumn="1" w:lastColumn="0" w:noHBand="0" w:noVBand="1"/>
      </w:tblPr>
      <w:tblGrid>
        <w:gridCol w:w="2122"/>
        <w:gridCol w:w="1251"/>
        <w:gridCol w:w="1251"/>
        <w:gridCol w:w="1251"/>
        <w:gridCol w:w="1251"/>
        <w:gridCol w:w="1251"/>
        <w:gridCol w:w="1252"/>
      </w:tblGrid>
      <w:tr w:rsidR="0011527C" w14:paraId="06AAA75B" w14:textId="77777777" w:rsidTr="00F872DF">
        <w:tc>
          <w:tcPr>
            <w:tcW w:w="2122" w:type="dxa"/>
            <w:vMerge w:val="restart"/>
          </w:tcPr>
          <w:p w14:paraId="083776D8" w14:textId="7AB80113" w:rsidR="0011527C" w:rsidRPr="00F872DF" w:rsidRDefault="0011527C" w:rsidP="00581589">
            <w:pPr>
              <w:rPr>
                <w:rStyle w:val="IntenseReference"/>
              </w:rPr>
            </w:pPr>
            <w:r w:rsidRPr="00F872DF">
              <w:rPr>
                <w:rStyle w:val="IntenseReference"/>
              </w:rPr>
              <w:t>Region</w:t>
            </w:r>
          </w:p>
        </w:tc>
        <w:tc>
          <w:tcPr>
            <w:tcW w:w="2502" w:type="dxa"/>
            <w:gridSpan w:val="2"/>
          </w:tcPr>
          <w:p w14:paraId="1847908B" w14:textId="5D50F0F1" w:rsidR="0011527C" w:rsidRPr="00F872DF" w:rsidRDefault="0011527C" w:rsidP="00F872DF">
            <w:pPr>
              <w:jc w:val="center"/>
              <w:rPr>
                <w:rStyle w:val="IntenseReference"/>
              </w:rPr>
            </w:pPr>
            <w:r w:rsidRPr="00F872DF">
              <w:rPr>
                <w:rStyle w:val="IntenseReference"/>
              </w:rPr>
              <w:t>Freshwater discharge</w:t>
            </w:r>
          </w:p>
        </w:tc>
        <w:tc>
          <w:tcPr>
            <w:tcW w:w="2502" w:type="dxa"/>
            <w:gridSpan w:val="2"/>
          </w:tcPr>
          <w:p w14:paraId="45ED1D00" w14:textId="7BAE2B4D" w:rsidR="0011527C" w:rsidRPr="00F872DF" w:rsidRDefault="0011527C" w:rsidP="00F872DF">
            <w:pPr>
              <w:jc w:val="center"/>
              <w:rPr>
                <w:rStyle w:val="IntenseReference"/>
              </w:rPr>
            </w:pPr>
            <w:r w:rsidRPr="00F872DF">
              <w:rPr>
                <w:rStyle w:val="IntenseReference"/>
              </w:rPr>
              <w:t>Dissolved inorganic Nitrogen</w:t>
            </w:r>
          </w:p>
        </w:tc>
        <w:tc>
          <w:tcPr>
            <w:tcW w:w="2503" w:type="dxa"/>
            <w:gridSpan w:val="2"/>
          </w:tcPr>
          <w:p w14:paraId="6EF34BAA" w14:textId="00AAB551" w:rsidR="0011527C" w:rsidRPr="00F872DF" w:rsidRDefault="0011527C" w:rsidP="00F872DF">
            <w:pPr>
              <w:jc w:val="center"/>
              <w:rPr>
                <w:rStyle w:val="IntenseReference"/>
              </w:rPr>
            </w:pPr>
            <w:r w:rsidRPr="00F872DF">
              <w:rPr>
                <w:rStyle w:val="IntenseReference"/>
              </w:rPr>
              <w:t>Total suspended solids</w:t>
            </w:r>
          </w:p>
        </w:tc>
      </w:tr>
      <w:tr w:rsidR="00815F84" w14:paraId="65B7B4A5" w14:textId="77777777" w:rsidTr="00F872DF">
        <w:tc>
          <w:tcPr>
            <w:tcW w:w="2122" w:type="dxa"/>
            <w:vMerge/>
          </w:tcPr>
          <w:p w14:paraId="5BE3056E" w14:textId="77777777" w:rsidR="00815F84" w:rsidRPr="00F872DF" w:rsidRDefault="00815F84" w:rsidP="00815F84">
            <w:pPr>
              <w:rPr>
                <w:rStyle w:val="IntenseReference"/>
              </w:rPr>
            </w:pPr>
          </w:p>
        </w:tc>
        <w:tc>
          <w:tcPr>
            <w:tcW w:w="1251" w:type="dxa"/>
          </w:tcPr>
          <w:p w14:paraId="2F542FB8" w14:textId="3107EBEE" w:rsidR="00815F84" w:rsidRPr="00F872DF" w:rsidRDefault="00815F84" w:rsidP="00F872DF">
            <w:pPr>
              <w:jc w:val="center"/>
              <w:rPr>
                <w:rStyle w:val="IntenseReference"/>
              </w:rPr>
            </w:pPr>
            <w:r w:rsidRPr="00F872DF">
              <w:rPr>
                <w:rStyle w:val="IntenseReference"/>
              </w:rPr>
              <w:t>R-square</w:t>
            </w:r>
          </w:p>
        </w:tc>
        <w:tc>
          <w:tcPr>
            <w:tcW w:w="1251" w:type="dxa"/>
          </w:tcPr>
          <w:p w14:paraId="4BB768C1" w14:textId="13D16B86" w:rsidR="00815F84" w:rsidRPr="00F872DF" w:rsidRDefault="00815F84" w:rsidP="00F872DF">
            <w:pPr>
              <w:jc w:val="center"/>
              <w:rPr>
                <w:rStyle w:val="IntenseReference"/>
              </w:rPr>
            </w:pPr>
            <w:r w:rsidRPr="00F872DF">
              <w:rPr>
                <w:rStyle w:val="IntenseReference"/>
              </w:rPr>
              <w:t>p</w:t>
            </w:r>
            <w:r w:rsidR="00E75F5C">
              <w:rPr>
                <w:rStyle w:val="IntenseReference"/>
              </w:rPr>
              <w:t xml:space="preserve"> </w:t>
            </w:r>
            <w:r w:rsidRPr="00F872DF">
              <w:rPr>
                <w:rStyle w:val="IntenseReference"/>
              </w:rPr>
              <w:t>value</w:t>
            </w:r>
          </w:p>
        </w:tc>
        <w:tc>
          <w:tcPr>
            <w:tcW w:w="1251" w:type="dxa"/>
          </w:tcPr>
          <w:p w14:paraId="563A95D2" w14:textId="5857FD10" w:rsidR="00815F84" w:rsidRPr="00F872DF" w:rsidRDefault="00815F84" w:rsidP="00F872DF">
            <w:pPr>
              <w:jc w:val="center"/>
              <w:rPr>
                <w:rStyle w:val="IntenseReference"/>
              </w:rPr>
            </w:pPr>
            <w:r w:rsidRPr="00F872DF">
              <w:rPr>
                <w:rStyle w:val="IntenseReference"/>
              </w:rPr>
              <w:t>R-square</w:t>
            </w:r>
          </w:p>
        </w:tc>
        <w:tc>
          <w:tcPr>
            <w:tcW w:w="1251" w:type="dxa"/>
          </w:tcPr>
          <w:p w14:paraId="20926DBC" w14:textId="55EC061F" w:rsidR="00815F84" w:rsidRPr="00F872DF" w:rsidRDefault="00815F84" w:rsidP="00F872DF">
            <w:pPr>
              <w:jc w:val="center"/>
              <w:rPr>
                <w:rStyle w:val="IntenseReference"/>
              </w:rPr>
            </w:pPr>
            <w:r w:rsidRPr="00F872DF">
              <w:rPr>
                <w:rStyle w:val="IntenseReference"/>
              </w:rPr>
              <w:t>p</w:t>
            </w:r>
            <w:r w:rsidR="00E75F5C">
              <w:rPr>
                <w:rStyle w:val="IntenseReference"/>
              </w:rPr>
              <w:t xml:space="preserve"> </w:t>
            </w:r>
            <w:r w:rsidRPr="00F872DF">
              <w:rPr>
                <w:rStyle w:val="IntenseReference"/>
              </w:rPr>
              <w:t>value</w:t>
            </w:r>
          </w:p>
        </w:tc>
        <w:tc>
          <w:tcPr>
            <w:tcW w:w="1251" w:type="dxa"/>
          </w:tcPr>
          <w:p w14:paraId="2C8893F9" w14:textId="4A301199" w:rsidR="00815F84" w:rsidRPr="00F872DF" w:rsidRDefault="00815F84" w:rsidP="00F872DF">
            <w:pPr>
              <w:jc w:val="center"/>
              <w:rPr>
                <w:rStyle w:val="IntenseReference"/>
              </w:rPr>
            </w:pPr>
            <w:r w:rsidRPr="00F872DF">
              <w:rPr>
                <w:rStyle w:val="IntenseReference"/>
              </w:rPr>
              <w:t>R-square</w:t>
            </w:r>
          </w:p>
        </w:tc>
        <w:tc>
          <w:tcPr>
            <w:tcW w:w="1252" w:type="dxa"/>
          </w:tcPr>
          <w:p w14:paraId="0EA186A9" w14:textId="3CC4D06F" w:rsidR="00815F84" w:rsidRPr="00F872DF" w:rsidRDefault="00815F84" w:rsidP="00F872DF">
            <w:pPr>
              <w:jc w:val="center"/>
              <w:rPr>
                <w:rStyle w:val="IntenseReference"/>
              </w:rPr>
            </w:pPr>
            <w:r w:rsidRPr="00F872DF">
              <w:rPr>
                <w:rStyle w:val="IntenseReference"/>
              </w:rPr>
              <w:t>p</w:t>
            </w:r>
            <w:r w:rsidR="00E75F5C">
              <w:rPr>
                <w:rStyle w:val="IntenseReference"/>
              </w:rPr>
              <w:t xml:space="preserve"> </w:t>
            </w:r>
            <w:r w:rsidRPr="00F872DF">
              <w:rPr>
                <w:rStyle w:val="IntenseReference"/>
              </w:rPr>
              <w:t>value</w:t>
            </w:r>
          </w:p>
        </w:tc>
      </w:tr>
      <w:tr w:rsidR="001F56E2" w14:paraId="6EE6652A" w14:textId="77777777" w:rsidTr="00F872DF">
        <w:tc>
          <w:tcPr>
            <w:tcW w:w="2122" w:type="dxa"/>
          </w:tcPr>
          <w:p w14:paraId="539A0112" w14:textId="000E2E64" w:rsidR="001F56E2" w:rsidRPr="00F872DF" w:rsidRDefault="001F56E2" w:rsidP="001F56E2">
            <w:pPr>
              <w:rPr>
                <w:rStyle w:val="IntenseReference"/>
              </w:rPr>
            </w:pPr>
            <w:r w:rsidRPr="00F872DF">
              <w:rPr>
                <w:rStyle w:val="IntenseReference"/>
              </w:rPr>
              <w:t>Wet Tropics</w:t>
            </w:r>
          </w:p>
        </w:tc>
        <w:tc>
          <w:tcPr>
            <w:tcW w:w="1251" w:type="dxa"/>
          </w:tcPr>
          <w:p w14:paraId="5627F54A" w14:textId="7BF44547" w:rsidR="001F56E2" w:rsidRPr="00D8707D" w:rsidRDefault="001F56E2" w:rsidP="001F56E2">
            <w:pPr>
              <w:rPr>
                <w:rStyle w:val="IntenseReference"/>
                <w:b/>
              </w:rPr>
            </w:pPr>
            <w:r w:rsidRPr="00D8707D">
              <w:rPr>
                <w:rStyle w:val="IntenseReference"/>
                <w:b/>
              </w:rPr>
              <w:t>0.167</w:t>
            </w:r>
          </w:p>
        </w:tc>
        <w:tc>
          <w:tcPr>
            <w:tcW w:w="1251" w:type="dxa"/>
          </w:tcPr>
          <w:p w14:paraId="55FA0B59" w14:textId="74CE4EDC" w:rsidR="001F56E2" w:rsidRPr="00D8707D" w:rsidRDefault="001F56E2">
            <w:pPr>
              <w:rPr>
                <w:rStyle w:val="IntenseReference"/>
                <w:b/>
              </w:rPr>
            </w:pPr>
            <w:r w:rsidRPr="00D8707D">
              <w:rPr>
                <w:rStyle w:val="IntenseReference"/>
                <w:b/>
              </w:rPr>
              <w:t>&lt;0.001</w:t>
            </w:r>
            <w:r w:rsidRPr="00D8707D">
              <w:rPr>
                <w:rStyle w:val="IntenseReference"/>
                <w:b/>
                <w:vertAlign w:val="superscript"/>
              </w:rPr>
              <w:t>gam</w:t>
            </w:r>
          </w:p>
        </w:tc>
        <w:tc>
          <w:tcPr>
            <w:tcW w:w="1251" w:type="dxa"/>
          </w:tcPr>
          <w:p w14:paraId="74922BA6" w14:textId="6512B3A5" w:rsidR="001F56E2" w:rsidRPr="00D8707D" w:rsidRDefault="001F56E2" w:rsidP="001F56E2">
            <w:pPr>
              <w:rPr>
                <w:rStyle w:val="IntenseReference"/>
                <w:b/>
              </w:rPr>
            </w:pPr>
            <w:r w:rsidRPr="00D8707D">
              <w:rPr>
                <w:rStyle w:val="IntenseReference"/>
                <w:b/>
              </w:rPr>
              <w:t>0.154</w:t>
            </w:r>
          </w:p>
        </w:tc>
        <w:tc>
          <w:tcPr>
            <w:tcW w:w="1251" w:type="dxa"/>
          </w:tcPr>
          <w:p w14:paraId="26A162BD" w14:textId="605AEC21" w:rsidR="001F56E2" w:rsidRPr="00D8707D" w:rsidRDefault="001F56E2">
            <w:pPr>
              <w:rPr>
                <w:rStyle w:val="IntenseReference"/>
                <w:b/>
              </w:rPr>
            </w:pPr>
            <w:r w:rsidRPr="00D8707D">
              <w:rPr>
                <w:rStyle w:val="IntenseReference"/>
                <w:b/>
              </w:rPr>
              <w:t>&lt;0.001</w:t>
            </w:r>
            <w:r w:rsidRPr="00D8707D">
              <w:rPr>
                <w:rStyle w:val="IntenseReference"/>
                <w:b/>
                <w:vertAlign w:val="superscript"/>
              </w:rPr>
              <w:t>gam</w:t>
            </w:r>
          </w:p>
        </w:tc>
        <w:tc>
          <w:tcPr>
            <w:tcW w:w="1251" w:type="dxa"/>
          </w:tcPr>
          <w:p w14:paraId="1855A1A3" w14:textId="1982AEB7" w:rsidR="001F56E2" w:rsidRPr="00D8707D" w:rsidRDefault="001F56E2" w:rsidP="001F56E2">
            <w:pPr>
              <w:rPr>
                <w:rStyle w:val="IntenseReference"/>
                <w:b/>
              </w:rPr>
            </w:pPr>
            <w:r w:rsidRPr="00D8707D">
              <w:rPr>
                <w:rStyle w:val="IntenseReference"/>
                <w:b/>
              </w:rPr>
              <w:t>0.143</w:t>
            </w:r>
          </w:p>
        </w:tc>
        <w:tc>
          <w:tcPr>
            <w:tcW w:w="1252" w:type="dxa"/>
          </w:tcPr>
          <w:p w14:paraId="2826ADCD" w14:textId="1B21A547" w:rsidR="001F56E2" w:rsidRPr="00D8707D" w:rsidRDefault="001F56E2">
            <w:pPr>
              <w:rPr>
                <w:rStyle w:val="IntenseReference"/>
                <w:b/>
              </w:rPr>
            </w:pPr>
            <w:r w:rsidRPr="00D8707D">
              <w:rPr>
                <w:rStyle w:val="IntenseReference"/>
                <w:b/>
              </w:rPr>
              <w:t>&lt;0.001</w:t>
            </w:r>
            <w:r w:rsidRPr="00D8707D">
              <w:rPr>
                <w:rStyle w:val="IntenseReference"/>
                <w:b/>
                <w:vertAlign w:val="superscript"/>
              </w:rPr>
              <w:t>gam</w:t>
            </w:r>
          </w:p>
        </w:tc>
      </w:tr>
      <w:tr w:rsidR="001F56E2" w14:paraId="488E2651" w14:textId="77777777" w:rsidTr="00F872DF">
        <w:tc>
          <w:tcPr>
            <w:tcW w:w="2122" w:type="dxa"/>
          </w:tcPr>
          <w:p w14:paraId="17C3F858" w14:textId="3B1668CD" w:rsidR="001F56E2" w:rsidRPr="00F872DF" w:rsidRDefault="001F56E2" w:rsidP="001F56E2">
            <w:pPr>
              <w:rPr>
                <w:rStyle w:val="IntenseReference"/>
              </w:rPr>
            </w:pPr>
            <w:r w:rsidRPr="00F872DF">
              <w:rPr>
                <w:rStyle w:val="IntenseReference"/>
              </w:rPr>
              <w:t>Burdekin</w:t>
            </w:r>
          </w:p>
        </w:tc>
        <w:tc>
          <w:tcPr>
            <w:tcW w:w="1251" w:type="dxa"/>
          </w:tcPr>
          <w:p w14:paraId="541AF3A7" w14:textId="734A1428" w:rsidR="001F56E2" w:rsidRPr="00D8707D" w:rsidRDefault="001F56E2" w:rsidP="001F56E2">
            <w:pPr>
              <w:rPr>
                <w:rStyle w:val="IntenseReference"/>
                <w:b/>
              </w:rPr>
            </w:pPr>
            <w:r w:rsidRPr="00D8707D">
              <w:rPr>
                <w:rStyle w:val="IntenseReference"/>
                <w:b/>
              </w:rPr>
              <w:t>0.182</w:t>
            </w:r>
          </w:p>
        </w:tc>
        <w:tc>
          <w:tcPr>
            <w:tcW w:w="1251" w:type="dxa"/>
          </w:tcPr>
          <w:p w14:paraId="2902238A" w14:textId="4A712FF8" w:rsidR="001F56E2" w:rsidRPr="00D8707D" w:rsidRDefault="001F56E2" w:rsidP="001F56E2">
            <w:pPr>
              <w:rPr>
                <w:rStyle w:val="IntenseReference"/>
                <w:b/>
              </w:rPr>
            </w:pPr>
            <w:r w:rsidRPr="00D8707D">
              <w:rPr>
                <w:rStyle w:val="IntenseReference"/>
                <w:b/>
              </w:rPr>
              <w:t>0.0016</w:t>
            </w:r>
          </w:p>
        </w:tc>
        <w:tc>
          <w:tcPr>
            <w:tcW w:w="1251" w:type="dxa"/>
          </w:tcPr>
          <w:p w14:paraId="521A1EC0" w14:textId="4207C2D2" w:rsidR="001F56E2" w:rsidRPr="00D8707D" w:rsidRDefault="001F56E2">
            <w:pPr>
              <w:rPr>
                <w:rStyle w:val="IntenseReference"/>
                <w:b/>
              </w:rPr>
            </w:pPr>
            <w:r w:rsidRPr="00D8707D">
              <w:rPr>
                <w:rStyle w:val="IntenseReference"/>
                <w:b/>
              </w:rPr>
              <w:t>0.206</w:t>
            </w:r>
          </w:p>
        </w:tc>
        <w:tc>
          <w:tcPr>
            <w:tcW w:w="1251" w:type="dxa"/>
          </w:tcPr>
          <w:p w14:paraId="4F1A9FBD" w14:textId="3EC9D771" w:rsidR="001F56E2" w:rsidRPr="00D8707D" w:rsidRDefault="001F56E2" w:rsidP="001F56E2">
            <w:pPr>
              <w:rPr>
                <w:rStyle w:val="IntenseReference"/>
                <w:b/>
              </w:rPr>
            </w:pPr>
            <w:r w:rsidRPr="00D8707D">
              <w:rPr>
                <w:rStyle w:val="IntenseReference"/>
                <w:b/>
              </w:rPr>
              <w:t>&lt;0.001</w:t>
            </w:r>
          </w:p>
        </w:tc>
        <w:tc>
          <w:tcPr>
            <w:tcW w:w="1251" w:type="dxa"/>
          </w:tcPr>
          <w:p w14:paraId="4B6EF664" w14:textId="29B4455C" w:rsidR="001F56E2" w:rsidRPr="00D8707D" w:rsidRDefault="001F56E2" w:rsidP="001F56E2">
            <w:pPr>
              <w:rPr>
                <w:rStyle w:val="IntenseReference"/>
                <w:b/>
              </w:rPr>
            </w:pPr>
            <w:r w:rsidRPr="00D8707D">
              <w:rPr>
                <w:rStyle w:val="IntenseReference"/>
                <w:b/>
              </w:rPr>
              <w:t>0.118</w:t>
            </w:r>
          </w:p>
        </w:tc>
        <w:tc>
          <w:tcPr>
            <w:tcW w:w="1252" w:type="dxa"/>
          </w:tcPr>
          <w:p w14:paraId="7AEF4745" w14:textId="03D5A295" w:rsidR="001F56E2" w:rsidRPr="00D8707D" w:rsidRDefault="001F56E2" w:rsidP="001F56E2">
            <w:pPr>
              <w:rPr>
                <w:rStyle w:val="IntenseReference"/>
                <w:b/>
              </w:rPr>
            </w:pPr>
            <w:r w:rsidRPr="00D8707D">
              <w:rPr>
                <w:rStyle w:val="IntenseReference"/>
                <w:b/>
              </w:rPr>
              <w:t>0.029</w:t>
            </w:r>
            <w:r w:rsidRPr="00D8707D">
              <w:rPr>
                <w:rStyle w:val="IntenseReference"/>
                <w:b/>
                <w:vertAlign w:val="superscript"/>
              </w:rPr>
              <w:t>gam</w:t>
            </w:r>
          </w:p>
        </w:tc>
      </w:tr>
      <w:tr w:rsidR="001F56E2" w14:paraId="2FFDAFD3" w14:textId="77777777" w:rsidTr="00F872DF">
        <w:tc>
          <w:tcPr>
            <w:tcW w:w="2122" w:type="dxa"/>
          </w:tcPr>
          <w:p w14:paraId="1060BBD5" w14:textId="65BF5C56" w:rsidR="001F56E2" w:rsidRPr="00F872DF" w:rsidRDefault="001F56E2" w:rsidP="001F56E2">
            <w:pPr>
              <w:rPr>
                <w:rStyle w:val="IntenseReference"/>
              </w:rPr>
            </w:pPr>
            <w:r w:rsidRPr="00F872DF">
              <w:rPr>
                <w:rStyle w:val="IntenseReference"/>
              </w:rPr>
              <w:t>Mackay Whitsunday</w:t>
            </w:r>
          </w:p>
        </w:tc>
        <w:tc>
          <w:tcPr>
            <w:tcW w:w="1251" w:type="dxa"/>
          </w:tcPr>
          <w:p w14:paraId="6A129C04" w14:textId="0B0D290F" w:rsidR="001F56E2" w:rsidRPr="00F872DF" w:rsidRDefault="001F56E2" w:rsidP="001F56E2">
            <w:pPr>
              <w:rPr>
                <w:rStyle w:val="IntenseReference"/>
              </w:rPr>
            </w:pPr>
            <w:r w:rsidRPr="00F872DF">
              <w:rPr>
                <w:rStyle w:val="IntenseReference"/>
              </w:rPr>
              <w:t>0.001</w:t>
            </w:r>
          </w:p>
        </w:tc>
        <w:tc>
          <w:tcPr>
            <w:tcW w:w="1251" w:type="dxa"/>
          </w:tcPr>
          <w:p w14:paraId="66F823C9" w14:textId="42C7EE48" w:rsidR="001F56E2" w:rsidRPr="00F872DF" w:rsidRDefault="001F56E2" w:rsidP="001F56E2">
            <w:pPr>
              <w:rPr>
                <w:rStyle w:val="IntenseReference"/>
              </w:rPr>
            </w:pPr>
            <w:r w:rsidRPr="00F872DF">
              <w:rPr>
                <w:rStyle w:val="IntenseReference"/>
              </w:rPr>
              <w:t>0.43</w:t>
            </w:r>
          </w:p>
        </w:tc>
        <w:tc>
          <w:tcPr>
            <w:tcW w:w="1251" w:type="dxa"/>
          </w:tcPr>
          <w:p w14:paraId="5881CA28" w14:textId="12ECE351" w:rsidR="001F56E2" w:rsidRPr="00F872DF" w:rsidRDefault="001F56E2" w:rsidP="001F56E2">
            <w:pPr>
              <w:rPr>
                <w:rStyle w:val="IntenseReference"/>
              </w:rPr>
            </w:pPr>
            <w:r w:rsidRPr="00F872DF">
              <w:rPr>
                <w:rStyle w:val="IntenseReference"/>
              </w:rPr>
              <w:t>0.012</w:t>
            </w:r>
          </w:p>
        </w:tc>
        <w:tc>
          <w:tcPr>
            <w:tcW w:w="1251" w:type="dxa"/>
          </w:tcPr>
          <w:p w14:paraId="06354F34" w14:textId="24D95D1D" w:rsidR="001F56E2" w:rsidRPr="00F872DF" w:rsidRDefault="001F56E2" w:rsidP="001F56E2">
            <w:pPr>
              <w:rPr>
                <w:rStyle w:val="IntenseReference"/>
              </w:rPr>
            </w:pPr>
            <w:r w:rsidRPr="00F872DF">
              <w:rPr>
                <w:rStyle w:val="IntenseReference"/>
              </w:rPr>
              <w:t>0.37</w:t>
            </w:r>
          </w:p>
        </w:tc>
        <w:tc>
          <w:tcPr>
            <w:tcW w:w="1251" w:type="dxa"/>
          </w:tcPr>
          <w:p w14:paraId="462C3C3B" w14:textId="41D5EE56" w:rsidR="001F56E2" w:rsidRPr="00F872DF" w:rsidRDefault="001F56E2" w:rsidP="001F56E2">
            <w:pPr>
              <w:rPr>
                <w:rStyle w:val="IntenseReference"/>
              </w:rPr>
            </w:pPr>
            <w:r w:rsidRPr="00F872DF">
              <w:rPr>
                <w:rStyle w:val="IntenseReference"/>
              </w:rPr>
              <w:t>0.001</w:t>
            </w:r>
          </w:p>
        </w:tc>
        <w:tc>
          <w:tcPr>
            <w:tcW w:w="1252" w:type="dxa"/>
          </w:tcPr>
          <w:p w14:paraId="2A0F8212" w14:textId="47253A0D" w:rsidR="001F56E2" w:rsidRPr="00F872DF" w:rsidRDefault="001F56E2" w:rsidP="001F56E2">
            <w:pPr>
              <w:rPr>
                <w:rStyle w:val="IntenseReference"/>
              </w:rPr>
            </w:pPr>
            <w:r w:rsidRPr="00F872DF">
              <w:rPr>
                <w:rStyle w:val="IntenseReference"/>
              </w:rPr>
              <w:t>0.67</w:t>
            </w:r>
          </w:p>
        </w:tc>
      </w:tr>
      <w:tr w:rsidR="001F56E2" w14:paraId="4D852E48" w14:textId="77777777" w:rsidTr="00F872DF">
        <w:tc>
          <w:tcPr>
            <w:tcW w:w="2122" w:type="dxa"/>
          </w:tcPr>
          <w:p w14:paraId="324F0FD7" w14:textId="5FAA81A4" w:rsidR="001F56E2" w:rsidRPr="00F872DF" w:rsidRDefault="001F56E2" w:rsidP="001F56E2">
            <w:pPr>
              <w:rPr>
                <w:rStyle w:val="IntenseReference"/>
              </w:rPr>
            </w:pPr>
            <w:r w:rsidRPr="00F872DF">
              <w:rPr>
                <w:rStyle w:val="IntenseReference"/>
              </w:rPr>
              <w:t>Fitzroy</w:t>
            </w:r>
          </w:p>
        </w:tc>
        <w:tc>
          <w:tcPr>
            <w:tcW w:w="1251" w:type="dxa"/>
          </w:tcPr>
          <w:p w14:paraId="1E1F6AF2" w14:textId="3F34E026" w:rsidR="001F56E2" w:rsidRPr="00D8707D" w:rsidRDefault="00FD737A" w:rsidP="001F56E2">
            <w:pPr>
              <w:rPr>
                <w:rStyle w:val="IntenseReference"/>
                <w:b/>
              </w:rPr>
            </w:pPr>
            <w:r w:rsidRPr="00D8707D">
              <w:rPr>
                <w:rStyle w:val="IntenseReference"/>
                <w:b/>
              </w:rPr>
              <w:t>0.223</w:t>
            </w:r>
          </w:p>
        </w:tc>
        <w:tc>
          <w:tcPr>
            <w:tcW w:w="1251" w:type="dxa"/>
          </w:tcPr>
          <w:p w14:paraId="36569677" w14:textId="205D87F1" w:rsidR="001F56E2" w:rsidRPr="00D8707D" w:rsidRDefault="00FD737A" w:rsidP="001F56E2">
            <w:pPr>
              <w:rPr>
                <w:rStyle w:val="IntenseReference"/>
                <w:b/>
              </w:rPr>
            </w:pPr>
            <w:r w:rsidRPr="00D8707D">
              <w:rPr>
                <w:rStyle w:val="IntenseReference"/>
                <w:b/>
              </w:rPr>
              <w:t>0.005</w:t>
            </w:r>
            <w:r w:rsidRPr="00D8707D">
              <w:rPr>
                <w:rStyle w:val="IntenseReference"/>
                <w:b/>
                <w:vertAlign w:val="superscript"/>
              </w:rPr>
              <w:t>gam</w:t>
            </w:r>
          </w:p>
        </w:tc>
        <w:tc>
          <w:tcPr>
            <w:tcW w:w="1251" w:type="dxa"/>
          </w:tcPr>
          <w:p w14:paraId="32D710D3" w14:textId="6A87E31A" w:rsidR="001F56E2" w:rsidRPr="00F872DF" w:rsidRDefault="00FD737A" w:rsidP="001F56E2">
            <w:pPr>
              <w:rPr>
                <w:rStyle w:val="IntenseReference"/>
              </w:rPr>
            </w:pPr>
            <w:r w:rsidRPr="00F872DF">
              <w:rPr>
                <w:rStyle w:val="IntenseReference"/>
              </w:rPr>
              <w:t>0.067</w:t>
            </w:r>
          </w:p>
        </w:tc>
        <w:tc>
          <w:tcPr>
            <w:tcW w:w="1251" w:type="dxa"/>
          </w:tcPr>
          <w:p w14:paraId="7FAD2DF7" w14:textId="149E0B37" w:rsidR="001F56E2" w:rsidRPr="00F872DF" w:rsidRDefault="00FD737A" w:rsidP="001F56E2">
            <w:pPr>
              <w:rPr>
                <w:rStyle w:val="IntenseReference"/>
              </w:rPr>
            </w:pPr>
            <w:r w:rsidRPr="00F872DF">
              <w:rPr>
                <w:rStyle w:val="IntenseReference"/>
              </w:rPr>
              <w:t>0.14</w:t>
            </w:r>
            <w:r w:rsidRPr="00F872DF">
              <w:rPr>
                <w:rStyle w:val="IntenseReference"/>
                <w:vertAlign w:val="superscript"/>
              </w:rPr>
              <w:t>gam</w:t>
            </w:r>
          </w:p>
        </w:tc>
        <w:tc>
          <w:tcPr>
            <w:tcW w:w="1251" w:type="dxa"/>
          </w:tcPr>
          <w:p w14:paraId="31C9493A" w14:textId="41453AE4" w:rsidR="001F56E2" w:rsidRPr="00F872DF" w:rsidRDefault="00FD737A" w:rsidP="001F56E2">
            <w:pPr>
              <w:rPr>
                <w:rStyle w:val="IntenseReference"/>
              </w:rPr>
            </w:pPr>
            <w:r w:rsidRPr="00F872DF">
              <w:rPr>
                <w:rStyle w:val="IntenseReference"/>
              </w:rPr>
              <w:t>0.084</w:t>
            </w:r>
          </w:p>
        </w:tc>
        <w:tc>
          <w:tcPr>
            <w:tcW w:w="1252" w:type="dxa"/>
          </w:tcPr>
          <w:p w14:paraId="120B1083" w14:textId="17F106C9" w:rsidR="001F56E2" w:rsidRPr="00F872DF" w:rsidRDefault="00FD737A" w:rsidP="001F56E2">
            <w:pPr>
              <w:rPr>
                <w:rStyle w:val="IntenseReference"/>
              </w:rPr>
            </w:pPr>
            <w:r w:rsidRPr="00F872DF">
              <w:rPr>
                <w:rStyle w:val="IntenseReference"/>
              </w:rPr>
              <w:t>0.095</w:t>
            </w:r>
            <w:r w:rsidRPr="00F872DF">
              <w:rPr>
                <w:rStyle w:val="IntenseReference"/>
                <w:vertAlign w:val="superscript"/>
              </w:rPr>
              <w:t>gam</w:t>
            </w:r>
          </w:p>
        </w:tc>
      </w:tr>
    </w:tbl>
    <w:p w14:paraId="6369418E" w14:textId="77777777" w:rsidR="0011527C" w:rsidRDefault="0011527C" w:rsidP="00581589">
      <w:pPr>
        <w:rPr>
          <w:color w:val="000000" w:themeColor="text1"/>
        </w:rPr>
      </w:pPr>
    </w:p>
    <w:p w14:paraId="42B92D0F" w14:textId="1B8B09D8" w:rsidR="007B0B6C" w:rsidRDefault="00BD03D0">
      <w:pPr>
        <w:jc w:val="left"/>
        <w:rPr>
          <w:szCs w:val="22"/>
        </w:rPr>
      </w:pPr>
      <w:r>
        <w:rPr>
          <w:color w:val="000000" w:themeColor="text1"/>
        </w:rPr>
        <w:t xml:space="preserve"> </w:t>
      </w:r>
      <w:r w:rsidR="007B0B6C">
        <w:rPr>
          <w:szCs w:val="22"/>
        </w:rPr>
        <w:br w:type="page"/>
      </w:r>
    </w:p>
    <w:p w14:paraId="11EA9034" w14:textId="624D81EE" w:rsidR="00EA753F" w:rsidRDefault="00F352CD" w:rsidP="00DD6D82">
      <w:pPr>
        <w:pStyle w:val="Heading2"/>
      </w:pPr>
      <w:bookmarkStart w:id="157" w:name="_Toc493153327"/>
      <w:r w:rsidRPr="00B14EAC">
        <w:t>5</w:t>
      </w:r>
      <w:r w:rsidR="002A28EE" w:rsidRPr="00B14EAC">
        <w:t>.</w:t>
      </w:r>
      <w:r w:rsidR="00BD49B5">
        <w:t>2</w:t>
      </w:r>
      <w:r w:rsidR="00A803D4">
        <w:t xml:space="preserve"> </w:t>
      </w:r>
      <w:r w:rsidR="00BD49B5">
        <w:t>Regional condition of coral communities</w:t>
      </w:r>
      <w:bookmarkEnd w:id="157"/>
      <w:r w:rsidR="00BD49B5">
        <w:t xml:space="preserve"> </w:t>
      </w:r>
      <w:bookmarkEnd w:id="135"/>
      <w:bookmarkEnd w:id="136"/>
      <w:bookmarkEnd w:id="137"/>
      <w:bookmarkEnd w:id="138"/>
    </w:p>
    <w:p w14:paraId="51C088D0" w14:textId="1DB7612C" w:rsidR="00BD49B5" w:rsidRDefault="00BD49B5" w:rsidP="00B9528B">
      <w:pPr>
        <w:pStyle w:val="Heading3"/>
      </w:pPr>
      <w:bookmarkStart w:id="158" w:name="_Toc493153328"/>
      <w:r>
        <w:t xml:space="preserve">5.2.1 </w:t>
      </w:r>
      <w:r w:rsidRPr="00B14EAC">
        <w:t>Wet Tropics Region: Barron Daintree sub-region</w:t>
      </w:r>
      <w:bookmarkEnd w:id="158"/>
    </w:p>
    <w:p w14:paraId="6B8AE576" w14:textId="4A1BC492" w:rsidR="00FF6E56" w:rsidRDefault="00FF6E56" w:rsidP="00FF6E56">
      <w:r>
        <w:t>The coral index improve</w:t>
      </w:r>
      <w:r w:rsidR="00AD4E98">
        <w:t>d</w:t>
      </w:r>
      <w:r>
        <w:t xml:space="preserve"> from a low point reached in 2014 following a period of acute and chronic pressures (</w:t>
      </w:r>
      <w:r w:rsidR="00A617D9">
        <w:fldChar w:fldCharType="begin"/>
      </w:r>
      <w:r w:rsidR="00A617D9">
        <w:instrText xml:space="preserve"> REF _Ref491178261 \h </w:instrText>
      </w:r>
      <w:r w:rsidR="00A617D9">
        <w:fldChar w:fldCharType="separate"/>
      </w:r>
      <w:r w:rsidR="00D806F2">
        <w:t xml:space="preserve">Figure </w:t>
      </w:r>
      <w:r w:rsidR="00D806F2">
        <w:rPr>
          <w:noProof/>
        </w:rPr>
        <w:t>12</w:t>
      </w:r>
      <w:r w:rsidR="00A617D9">
        <w:fldChar w:fldCharType="end"/>
      </w:r>
      <w:r w:rsidR="00A617D9">
        <w:t xml:space="preserve">, </w:t>
      </w:r>
      <w:r w:rsidR="00A617D9">
        <w:fldChar w:fldCharType="begin"/>
      </w:r>
      <w:r w:rsidR="00A617D9">
        <w:instrText xml:space="preserve"> REF _Ref491178290 \h </w:instrText>
      </w:r>
      <w:r w:rsidR="00A617D9">
        <w:fldChar w:fldCharType="separate"/>
      </w:r>
      <w:r w:rsidR="00D806F2">
        <w:t xml:space="preserve">Figure </w:t>
      </w:r>
      <w:r w:rsidR="00D806F2">
        <w:rPr>
          <w:noProof/>
        </w:rPr>
        <w:t>13</w:t>
      </w:r>
      <w:r w:rsidR="00A617D9">
        <w:fldChar w:fldCharType="end"/>
      </w:r>
      <w:r>
        <w:t>).</w:t>
      </w:r>
      <w:r w:rsidR="00E75F5C">
        <w:t xml:space="preserve"> </w:t>
      </w:r>
      <w:r w:rsidR="00522964">
        <w:t>Improvements in the index to 2016 wer</w:t>
      </w:r>
      <w:r w:rsidR="00F872DF">
        <w:t>e restricted to 5 m depth sites</w:t>
      </w:r>
      <w:r w:rsidR="00522964">
        <w:t xml:space="preserve"> where the rate of increase in coral cover </w:t>
      </w:r>
      <w:r w:rsidR="00AD4E98">
        <w:t>improved</w:t>
      </w:r>
      <w:r w:rsidR="006A68C4">
        <w:t>,</w:t>
      </w:r>
      <w:r w:rsidR="00AD4E98">
        <w:t xml:space="preserve"> </w:t>
      </w:r>
      <w:r w:rsidR="00F872DF">
        <w:t xml:space="preserve">and </w:t>
      </w:r>
      <w:r w:rsidR="006A68C4">
        <w:t xml:space="preserve">the </w:t>
      </w:r>
      <w:r w:rsidR="00F872DF">
        <w:t>proportion of macroalgae in the algal community declined</w:t>
      </w:r>
      <w:r w:rsidR="00AD4E98">
        <w:t>,</w:t>
      </w:r>
      <w:r w:rsidR="00F872DF">
        <w:t xml:space="preserve"> resulting in improved scores </w:t>
      </w:r>
      <w:r w:rsidR="006A68C4">
        <w:t xml:space="preserve">for the </w:t>
      </w:r>
      <w:r w:rsidR="00F872DF">
        <w:t>as</w:t>
      </w:r>
      <w:r w:rsidR="005F1FA1">
        <w:t xml:space="preserve">sociated </w:t>
      </w:r>
      <w:r w:rsidR="00A617D9">
        <w:t xml:space="preserve">Coral Cover and Macroalgae </w:t>
      </w:r>
      <w:r w:rsidR="005F1FA1">
        <w:t>metrics (</w:t>
      </w:r>
      <w:r w:rsidR="00A617D9">
        <w:fldChar w:fldCharType="begin"/>
      </w:r>
      <w:r w:rsidR="00A617D9">
        <w:instrText xml:space="preserve"> REF _Ref491178406 \h </w:instrText>
      </w:r>
      <w:r w:rsidR="00A617D9">
        <w:fldChar w:fldCharType="separate"/>
      </w:r>
      <w:r w:rsidR="00D806F2">
        <w:t xml:space="preserve">Table </w:t>
      </w:r>
      <w:r w:rsidR="00D806F2">
        <w:rPr>
          <w:noProof/>
        </w:rPr>
        <w:t>10</w:t>
      </w:r>
      <w:r w:rsidR="00A617D9">
        <w:fldChar w:fldCharType="end"/>
      </w:r>
      <w:r w:rsidR="005F1FA1">
        <w:t xml:space="preserve">). At </w:t>
      </w:r>
      <w:r w:rsidR="00F872DF">
        <w:t>2</w:t>
      </w:r>
      <w:r w:rsidR="005F1FA1">
        <w:t xml:space="preserve"> </w:t>
      </w:r>
      <w:r w:rsidR="00A617D9">
        <w:t xml:space="preserve">m depth </w:t>
      </w:r>
      <w:r w:rsidR="005C1C90">
        <w:t xml:space="preserve">coral cover increased rapidly as reflected by improvements </w:t>
      </w:r>
      <w:r w:rsidR="00A617D9">
        <w:t>in the Coral C</w:t>
      </w:r>
      <w:r w:rsidR="005C1C90">
        <w:t xml:space="preserve">over and </w:t>
      </w:r>
      <w:r w:rsidR="00A617D9">
        <w:t>Cover C</w:t>
      </w:r>
      <w:r w:rsidR="00AD4E98">
        <w:t>hange metric</w:t>
      </w:r>
      <w:r w:rsidR="005C1C90">
        <w:t>s (</w:t>
      </w:r>
      <w:r w:rsidR="00A617D9">
        <w:fldChar w:fldCharType="begin"/>
      </w:r>
      <w:r w:rsidR="00A617D9">
        <w:instrText xml:space="preserve"> REF _Ref491178406 \h </w:instrText>
      </w:r>
      <w:r w:rsidR="00A617D9">
        <w:fldChar w:fldCharType="separate"/>
      </w:r>
      <w:r w:rsidR="00D806F2">
        <w:t xml:space="preserve">Table </w:t>
      </w:r>
      <w:r w:rsidR="00D806F2">
        <w:rPr>
          <w:noProof/>
        </w:rPr>
        <w:t>10</w:t>
      </w:r>
      <w:r w:rsidR="00A617D9">
        <w:fldChar w:fldCharType="end"/>
      </w:r>
      <w:r w:rsidR="00A617D9">
        <w:t xml:space="preserve">, </w:t>
      </w:r>
      <w:r w:rsidR="00A617D9">
        <w:fldChar w:fldCharType="begin"/>
      </w:r>
      <w:r w:rsidR="00A617D9">
        <w:instrText xml:space="preserve"> REF _Ref491178290 \h </w:instrText>
      </w:r>
      <w:r w:rsidR="00A617D9">
        <w:fldChar w:fldCharType="separate"/>
      </w:r>
      <w:r w:rsidR="00D806F2">
        <w:t xml:space="preserve">Figure </w:t>
      </w:r>
      <w:r w:rsidR="00D806F2">
        <w:rPr>
          <w:noProof/>
        </w:rPr>
        <w:t>13</w:t>
      </w:r>
      <w:r w:rsidR="00A617D9">
        <w:fldChar w:fldCharType="end"/>
      </w:r>
      <w:r w:rsidR="005C1C90">
        <w:t xml:space="preserve">). These improvements were, however, contrasted by declines in the </w:t>
      </w:r>
      <w:r w:rsidR="005F1FA1">
        <w:t xml:space="preserve">Composition </w:t>
      </w:r>
      <w:r w:rsidR="005C1C90">
        <w:t xml:space="preserve">and </w:t>
      </w:r>
      <w:r w:rsidR="005F1FA1">
        <w:t>Macroalgae metric</w:t>
      </w:r>
      <w:r w:rsidR="005C1C90">
        <w:t xml:space="preserve">s resulting in minimal change in the overall index at 2 m depth. </w:t>
      </w:r>
    </w:p>
    <w:p w14:paraId="09A33A41" w14:textId="325E9E1C" w:rsidR="00577377" w:rsidRDefault="00577377" w:rsidP="00577377">
      <w:pPr>
        <w:pStyle w:val="Caption"/>
      </w:pPr>
      <w:bookmarkStart w:id="159" w:name="_Ref491178406"/>
      <w:bookmarkStart w:id="160" w:name="_Toc491847029"/>
      <w:r>
        <w:t xml:space="preserve">Table </w:t>
      </w:r>
      <w:r>
        <w:fldChar w:fldCharType="begin"/>
      </w:r>
      <w:r>
        <w:instrText xml:space="preserve"> SEQ Table \* ARABIC </w:instrText>
      </w:r>
      <w:r>
        <w:fldChar w:fldCharType="separate"/>
      </w:r>
      <w:r w:rsidR="00D806F2">
        <w:rPr>
          <w:noProof/>
        </w:rPr>
        <w:t>10</w:t>
      </w:r>
      <w:r>
        <w:fldChar w:fldCharType="end"/>
      </w:r>
      <w:bookmarkEnd w:id="159"/>
      <w:r>
        <w:t xml:space="preserve"> Pair-wise comparison betw</w:t>
      </w:r>
      <w:r w:rsidR="0000691A">
        <w:t>e</w:t>
      </w:r>
      <w:r>
        <w:t>en index and metric scores in the Barren Daintree sub-region</w:t>
      </w:r>
      <w:r w:rsidR="0000691A">
        <w:t>. Data compare the changes in scores between local maxima and minima in the index time-series. For the index, and each metric,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160"/>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4"/>
        <w:gridCol w:w="350"/>
        <w:gridCol w:w="625"/>
        <w:gridCol w:w="625"/>
        <w:gridCol w:w="625"/>
        <w:gridCol w:w="625"/>
        <w:gridCol w:w="625"/>
        <w:gridCol w:w="626"/>
        <w:gridCol w:w="625"/>
        <w:gridCol w:w="625"/>
        <w:gridCol w:w="625"/>
        <w:gridCol w:w="625"/>
        <w:gridCol w:w="625"/>
        <w:gridCol w:w="626"/>
      </w:tblGrid>
      <w:tr w:rsidR="00FF6E56" w:rsidRPr="000E340E" w14:paraId="39C7A856" w14:textId="77777777" w:rsidTr="00FE55D4">
        <w:trPr>
          <w:trHeight w:val="300"/>
        </w:trPr>
        <w:tc>
          <w:tcPr>
            <w:tcW w:w="1074" w:type="dxa"/>
            <w:vMerge w:val="restart"/>
            <w:shd w:val="clear" w:color="auto" w:fill="auto"/>
            <w:noWrap/>
            <w:tcMar>
              <w:left w:w="57" w:type="dxa"/>
              <w:right w:w="57" w:type="dxa"/>
            </w:tcMar>
            <w:vAlign w:val="bottom"/>
            <w:hideMark/>
          </w:tcPr>
          <w:p w14:paraId="4A91CFE2" w14:textId="77777777" w:rsidR="00FF6E56" w:rsidRPr="000E340E" w:rsidRDefault="00FF6E56" w:rsidP="00FE55D4">
            <w:pPr>
              <w:spacing w:after="0"/>
              <w:jc w:val="left"/>
              <w:rPr>
                <w:rFonts w:ascii="Arial Narrow" w:hAnsi="Arial Narrow"/>
                <w:sz w:val="20"/>
                <w:lang w:eastAsia="en-AU"/>
              </w:rPr>
            </w:pPr>
            <w:r w:rsidRPr="000E340E">
              <w:rPr>
                <w:rFonts w:ascii="Arial Narrow" w:hAnsi="Arial Narrow"/>
                <w:color w:val="000000"/>
                <w:sz w:val="20"/>
                <w:lang w:eastAsia="en-AU"/>
              </w:rPr>
              <w:t>Period</w:t>
            </w:r>
          </w:p>
        </w:tc>
        <w:tc>
          <w:tcPr>
            <w:tcW w:w="350" w:type="dxa"/>
            <w:vMerge w:val="restart"/>
            <w:shd w:val="clear" w:color="auto" w:fill="auto"/>
            <w:noWrap/>
            <w:tcMar>
              <w:left w:w="57" w:type="dxa"/>
              <w:right w:w="57" w:type="dxa"/>
            </w:tcMar>
            <w:textDirection w:val="btLr"/>
            <w:vAlign w:val="bottom"/>
            <w:hideMark/>
          </w:tcPr>
          <w:p w14:paraId="56E10038" w14:textId="77777777" w:rsidR="00FF6E56" w:rsidRPr="000E340E" w:rsidRDefault="00FF6E56" w:rsidP="00FE55D4">
            <w:pPr>
              <w:spacing w:after="0"/>
              <w:ind w:left="113" w:right="113"/>
              <w:jc w:val="center"/>
              <w:rPr>
                <w:rFonts w:ascii="Arial Narrow" w:hAnsi="Arial Narrow"/>
                <w:sz w:val="20"/>
                <w:lang w:eastAsia="en-AU"/>
              </w:rPr>
            </w:pPr>
            <w:r w:rsidRPr="000E340E">
              <w:rPr>
                <w:rFonts w:ascii="Arial Narrow" w:hAnsi="Arial Narrow"/>
                <w:color w:val="000000"/>
                <w:sz w:val="20"/>
                <w:lang w:eastAsia="en-AU"/>
              </w:rPr>
              <w:t>Depth</w:t>
            </w:r>
          </w:p>
        </w:tc>
        <w:tc>
          <w:tcPr>
            <w:tcW w:w="1250" w:type="dxa"/>
            <w:gridSpan w:val="2"/>
            <w:shd w:val="clear" w:color="auto" w:fill="auto"/>
            <w:noWrap/>
            <w:tcMar>
              <w:left w:w="57" w:type="dxa"/>
              <w:right w:w="57" w:type="dxa"/>
            </w:tcMar>
            <w:vAlign w:val="bottom"/>
            <w:hideMark/>
          </w:tcPr>
          <w:p w14:paraId="10D24C7F"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Index</w:t>
            </w:r>
          </w:p>
        </w:tc>
        <w:tc>
          <w:tcPr>
            <w:tcW w:w="1250" w:type="dxa"/>
            <w:gridSpan w:val="2"/>
            <w:shd w:val="clear" w:color="auto" w:fill="auto"/>
            <w:noWrap/>
            <w:tcMar>
              <w:left w:w="57" w:type="dxa"/>
              <w:right w:w="57" w:type="dxa"/>
            </w:tcMar>
            <w:vAlign w:val="bottom"/>
            <w:hideMark/>
          </w:tcPr>
          <w:p w14:paraId="6ECD6A0B" w14:textId="4C7DDE5F"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 xml:space="preserve">Cover </w:t>
            </w:r>
            <w:r w:rsidR="00A617D9">
              <w:rPr>
                <w:rFonts w:ascii="Arial Narrow" w:hAnsi="Arial Narrow"/>
                <w:color w:val="000000"/>
                <w:sz w:val="20"/>
                <w:lang w:eastAsia="en-AU"/>
              </w:rPr>
              <w:t>C</w:t>
            </w:r>
            <w:r w:rsidRPr="000E340E">
              <w:rPr>
                <w:rFonts w:ascii="Arial Narrow" w:hAnsi="Arial Narrow"/>
                <w:color w:val="000000"/>
                <w:sz w:val="20"/>
                <w:lang w:eastAsia="en-AU"/>
              </w:rPr>
              <w:t>hange</w:t>
            </w:r>
          </w:p>
        </w:tc>
        <w:tc>
          <w:tcPr>
            <w:tcW w:w="1251" w:type="dxa"/>
            <w:gridSpan w:val="2"/>
            <w:shd w:val="clear" w:color="auto" w:fill="auto"/>
            <w:noWrap/>
            <w:tcMar>
              <w:left w:w="57" w:type="dxa"/>
              <w:right w:w="57" w:type="dxa"/>
            </w:tcMar>
            <w:vAlign w:val="bottom"/>
            <w:hideMark/>
          </w:tcPr>
          <w:p w14:paraId="596A13E4"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Composition</w:t>
            </w:r>
          </w:p>
        </w:tc>
        <w:tc>
          <w:tcPr>
            <w:tcW w:w="1250" w:type="dxa"/>
            <w:gridSpan w:val="2"/>
            <w:shd w:val="clear" w:color="auto" w:fill="auto"/>
            <w:noWrap/>
            <w:tcMar>
              <w:left w:w="57" w:type="dxa"/>
              <w:right w:w="57" w:type="dxa"/>
            </w:tcMar>
            <w:vAlign w:val="bottom"/>
            <w:hideMark/>
          </w:tcPr>
          <w:p w14:paraId="558A013F"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Coral Cover</w:t>
            </w:r>
          </w:p>
        </w:tc>
        <w:tc>
          <w:tcPr>
            <w:tcW w:w="1250" w:type="dxa"/>
            <w:gridSpan w:val="2"/>
            <w:shd w:val="clear" w:color="auto" w:fill="auto"/>
            <w:noWrap/>
            <w:tcMar>
              <w:left w:w="57" w:type="dxa"/>
              <w:right w:w="57" w:type="dxa"/>
            </w:tcMar>
            <w:vAlign w:val="bottom"/>
            <w:hideMark/>
          </w:tcPr>
          <w:p w14:paraId="2A5EAB8C"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Juvenile Coral</w:t>
            </w:r>
          </w:p>
        </w:tc>
        <w:tc>
          <w:tcPr>
            <w:tcW w:w="1251" w:type="dxa"/>
            <w:gridSpan w:val="2"/>
            <w:shd w:val="clear" w:color="auto" w:fill="auto"/>
            <w:noWrap/>
            <w:tcMar>
              <w:left w:w="57" w:type="dxa"/>
              <w:right w:w="57" w:type="dxa"/>
            </w:tcMar>
            <w:vAlign w:val="bottom"/>
            <w:hideMark/>
          </w:tcPr>
          <w:p w14:paraId="0CE7F5A6"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Macroalgae</w:t>
            </w:r>
          </w:p>
        </w:tc>
      </w:tr>
      <w:tr w:rsidR="00FF6E56" w:rsidRPr="000E340E" w14:paraId="75052339" w14:textId="77777777" w:rsidTr="00FE55D4">
        <w:trPr>
          <w:trHeight w:val="520"/>
        </w:trPr>
        <w:tc>
          <w:tcPr>
            <w:tcW w:w="1074" w:type="dxa"/>
            <w:vMerge/>
            <w:shd w:val="clear" w:color="auto" w:fill="auto"/>
            <w:noWrap/>
            <w:tcMar>
              <w:left w:w="57" w:type="dxa"/>
              <w:right w:w="57" w:type="dxa"/>
            </w:tcMar>
            <w:vAlign w:val="bottom"/>
            <w:hideMark/>
          </w:tcPr>
          <w:p w14:paraId="3B91CC93" w14:textId="77777777" w:rsidR="00FF6E56" w:rsidRPr="000E340E" w:rsidRDefault="00FF6E56" w:rsidP="00FE55D4">
            <w:pPr>
              <w:spacing w:after="0"/>
              <w:rPr>
                <w:rFonts w:ascii="Arial Narrow" w:hAnsi="Arial Narrow"/>
                <w:color w:val="000000"/>
                <w:sz w:val="20"/>
                <w:lang w:eastAsia="en-AU"/>
              </w:rPr>
            </w:pPr>
          </w:p>
        </w:tc>
        <w:tc>
          <w:tcPr>
            <w:tcW w:w="350" w:type="dxa"/>
            <w:vMerge/>
            <w:shd w:val="clear" w:color="auto" w:fill="auto"/>
            <w:noWrap/>
            <w:tcMar>
              <w:left w:w="57" w:type="dxa"/>
              <w:right w:w="57" w:type="dxa"/>
            </w:tcMar>
            <w:vAlign w:val="bottom"/>
            <w:hideMark/>
          </w:tcPr>
          <w:p w14:paraId="6361FB5E" w14:textId="77777777" w:rsidR="00FF6E56" w:rsidRPr="000E340E" w:rsidRDefault="00FF6E56" w:rsidP="00FE55D4">
            <w:pPr>
              <w:spacing w:after="0"/>
              <w:jc w:val="center"/>
              <w:rPr>
                <w:rFonts w:ascii="Arial Narrow" w:hAnsi="Arial Narrow"/>
                <w:color w:val="000000"/>
                <w:sz w:val="20"/>
                <w:lang w:eastAsia="en-AU"/>
              </w:rPr>
            </w:pPr>
          </w:p>
        </w:tc>
        <w:tc>
          <w:tcPr>
            <w:tcW w:w="625" w:type="dxa"/>
            <w:shd w:val="clear" w:color="auto" w:fill="auto"/>
            <w:noWrap/>
            <w:tcMar>
              <w:left w:w="57" w:type="dxa"/>
              <w:right w:w="57" w:type="dxa"/>
            </w:tcMar>
            <w:vAlign w:val="bottom"/>
            <w:hideMark/>
          </w:tcPr>
          <w:p w14:paraId="40F5286E"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181CD14A"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2495C8BE"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2142F818"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213466BF"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6" w:type="dxa"/>
            <w:shd w:val="clear" w:color="auto" w:fill="auto"/>
            <w:noWrap/>
            <w:tcMar>
              <w:left w:w="57" w:type="dxa"/>
              <w:right w:w="57" w:type="dxa"/>
            </w:tcMar>
            <w:vAlign w:val="bottom"/>
            <w:hideMark/>
          </w:tcPr>
          <w:p w14:paraId="72565F70"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76983269"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47D2E78C"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0109B404"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6C4B9BDF"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2BA7B07A"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6" w:type="dxa"/>
            <w:shd w:val="clear" w:color="auto" w:fill="auto"/>
            <w:noWrap/>
            <w:tcMar>
              <w:left w:w="57" w:type="dxa"/>
              <w:right w:w="57" w:type="dxa"/>
            </w:tcMar>
            <w:vAlign w:val="bottom"/>
            <w:hideMark/>
          </w:tcPr>
          <w:p w14:paraId="5B29FE14"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P</w:t>
            </w:r>
          </w:p>
        </w:tc>
      </w:tr>
      <w:tr w:rsidR="00FF6E56" w:rsidRPr="000E340E" w14:paraId="446DB8EB" w14:textId="77777777" w:rsidTr="00FE55D4">
        <w:trPr>
          <w:trHeight w:val="300"/>
        </w:trPr>
        <w:tc>
          <w:tcPr>
            <w:tcW w:w="1074" w:type="dxa"/>
            <w:vMerge w:val="restart"/>
            <w:shd w:val="clear" w:color="auto" w:fill="auto"/>
            <w:noWrap/>
            <w:tcMar>
              <w:left w:w="57" w:type="dxa"/>
              <w:right w:w="57" w:type="dxa"/>
            </w:tcMar>
            <w:vAlign w:val="center"/>
            <w:hideMark/>
          </w:tcPr>
          <w:p w14:paraId="6125395E"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2008 to 2014</w:t>
            </w:r>
          </w:p>
        </w:tc>
        <w:tc>
          <w:tcPr>
            <w:tcW w:w="350" w:type="dxa"/>
            <w:shd w:val="clear" w:color="auto" w:fill="auto"/>
            <w:noWrap/>
            <w:tcMar>
              <w:left w:w="57" w:type="dxa"/>
              <w:right w:w="57" w:type="dxa"/>
            </w:tcMar>
            <w:vAlign w:val="center"/>
            <w:hideMark/>
          </w:tcPr>
          <w:p w14:paraId="6C16A822" w14:textId="77777777" w:rsidR="00FF6E56" w:rsidRPr="000E340E" w:rsidRDefault="00FF6E56" w:rsidP="00FE55D4">
            <w:pPr>
              <w:spacing w:after="0"/>
              <w:jc w:val="center"/>
              <w:rPr>
                <w:rFonts w:ascii="Arial Narrow" w:hAnsi="Arial Narrow"/>
                <w:color w:val="000000"/>
                <w:sz w:val="20"/>
                <w:lang w:eastAsia="en-AU"/>
              </w:rPr>
            </w:pPr>
            <w:r w:rsidRPr="000E340E">
              <w:rPr>
                <w:rFonts w:ascii="Arial Narrow" w:hAnsi="Arial Narrow"/>
                <w:color w:val="000000"/>
                <w:sz w:val="20"/>
                <w:lang w:eastAsia="en-AU"/>
              </w:rPr>
              <w:t>2</w:t>
            </w:r>
          </w:p>
        </w:tc>
        <w:tc>
          <w:tcPr>
            <w:tcW w:w="625" w:type="dxa"/>
            <w:shd w:val="clear" w:color="000000" w:fill="E6B8B7"/>
            <w:noWrap/>
            <w:tcMar>
              <w:left w:w="57" w:type="dxa"/>
              <w:right w:w="57" w:type="dxa"/>
            </w:tcMar>
            <w:vAlign w:val="center"/>
            <w:hideMark/>
          </w:tcPr>
          <w:p w14:paraId="3C3D0A27"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-0.21</w:t>
            </w:r>
          </w:p>
        </w:tc>
        <w:tc>
          <w:tcPr>
            <w:tcW w:w="625" w:type="dxa"/>
            <w:shd w:val="clear" w:color="000000" w:fill="E6B8B7"/>
            <w:noWrap/>
            <w:tcMar>
              <w:left w:w="57" w:type="dxa"/>
              <w:right w:w="57" w:type="dxa"/>
            </w:tcMar>
            <w:vAlign w:val="center"/>
            <w:hideMark/>
          </w:tcPr>
          <w:p w14:paraId="0CBB3FEE"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0.89</w:t>
            </w:r>
          </w:p>
        </w:tc>
        <w:tc>
          <w:tcPr>
            <w:tcW w:w="625" w:type="dxa"/>
            <w:shd w:val="clear" w:color="000000" w:fill="DA9694"/>
            <w:noWrap/>
            <w:tcMar>
              <w:left w:w="57" w:type="dxa"/>
              <w:right w:w="57" w:type="dxa"/>
            </w:tcMar>
            <w:vAlign w:val="center"/>
            <w:hideMark/>
          </w:tcPr>
          <w:p w14:paraId="06904510"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-0.62</w:t>
            </w:r>
          </w:p>
        </w:tc>
        <w:tc>
          <w:tcPr>
            <w:tcW w:w="625" w:type="dxa"/>
            <w:shd w:val="clear" w:color="000000" w:fill="DA9694"/>
            <w:noWrap/>
            <w:tcMar>
              <w:left w:w="57" w:type="dxa"/>
              <w:right w:w="57" w:type="dxa"/>
            </w:tcMar>
            <w:vAlign w:val="center"/>
            <w:hideMark/>
          </w:tcPr>
          <w:p w14:paraId="67B621BF"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0.99</w:t>
            </w:r>
          </w:p>
        </w:tc>
        <w:tc>
          <w:tcPr>
            <w:tcW w:w="625" w:type="dxa"/>
            <w:shd w:val="clear" w:color="000000" w:fill="538DD5"/>
            <w:noWrap/>
            <w:tcMar>
              <w:left w:w="57" w:type="dxa"/>
              <w:right w:w="57" w:type="dxa"/>
            </w:tcMar>
            <w:vAlign w:val="center"/>
            <w:hideMark/>
          </w:tcPr>
          <w:p w14:paraId="5139794C"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0.50</w:t>
            </w:r>
          </w:p>
        </w:tc>
        <w:tc>
          <w:tcPr>
            <w:tcW w:w="626" w:type="dxa"/>
            <w:shd w:val="clear" w:color="000000" w:fill="538DD5"/>
            <w:noWrap/>
            <w:tcMar>
              <w:left w:w="57" w:type="dxa"/>
              <w:right w:w="57" w:type="dxa"/>
            </w:tcMar>
            <w:vAlign w:val="center"/>
            <w:hideMark/>
          </w:tcPr>
          <w:p w14:paraId="24EF3B71"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1.00</w:t>
            </w:r>
          </w:p>
        </w:tc>
        <w:tc>
          <w:tcPr>
            <w:tcW w:w="625" w:type="dxa"/>
            <w:shd w:val="clear" w:color="000000" w:fill="F2DCDB"/>
            <w:noWrap/>
            <w:tcMar>
              <w:left w:w="57" w:type="dxa"/>
              <w:right w:w="57" w:type="dxa"/>
            </w:tcMar>
            <w:vAlign w:val="center"/>
            <w:hideMark/>
          </w:tcPr>
          <w:p w14:paraId="08C827EF"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-0.37</w:t>
            </w:r>
          </w:p>
        </w:tc>
        <w:tc>
          <w:tcPr>
            <w:tcW w:w="625" w:type="dxa"/>
            <w:shd w:val="clear" w:color="000000" w:fill="F2DCDB"/>
            <w:noWrap/>
            <w:tcMar>
              <w:left w:w="57" w:type="dxa"/>
              <w:right w:w="57" w:type="dxa"/>
            </w:tcMar>
            <w:vAlign w:val="center"/>
            <w:hideMark/>
          </w:tcPr>
          <w:p w14:paraId="01B0B30D"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0.72</w:t>
            </w:r>
          </w:p>
        </w:tc>
        <w:tc>
          <w:tcPr>
            <w:tcW w:w="625" w:type="dxa"/>
            <w:shd w:val="clear" w:color="000000" w:fill="DA9694"/>
            <w:noWrap/>
            <w:tcMar>
              <w:left w:w="57" w:type="dxa"/>
              <w:right w:w="57" w:type="dxa"/>
            </w:tcMar>
            <w:vAlign w:val="center"/>
            <w:hideMark/>
          </w:tcPr>
          <w:p w14:paraId="72D1A82D"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-0.42</w:t>
            </w:r>
          </w:p>
        </w:tc>
        <w:tc>
          <w:tcPr>
            <w:tcW w:w="625" w:type="dxa"/>
            <w:shd w:val="clear" w:color="000000" w:fill="DA9694"/>
            <w:noWrap/>
            <w:tcMar>
              <w:left w:w="57" w:type="dxa"/>
              <w:right w:w="57" w:type="dxa"/>
            </w:tcMar>
            <w:vAlign w:val="center"/>
            <w:hideMark/>
          </w:tcPr>
          <w:p w14:paraId="702DB7DD"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0.92</w:t>
            </w:r>
          </w:p>
        </w:tc>
        <w:tc>
          <w:tcPr>
            <w:tcW w:w="625" w:type="dxa"/>
            <w:shd w:val="clear" w:color="000000" w:fill="F2DCDB"/>
            <w:noWrap/>
            <w:tcMar>
              <w:left w:w="57" w:type="dxa"/>
              <w:right w:w="57" w:type="dxa"/>
            </w:tcMar>
            <w:vAlign w:val="center"/>
            <w:hideMark/>
          </w:tcPr>
          <w:p w14:paraId="24F3913F"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-0.17</w:t>
            </w:r>
          </w:p>
        </w:tc>
        <w:tc>
          <w:tcPr>
            <w:tcW w:w="626" w:type="dxa"/>
            <w:shd w:val="clear" w:color="000000" w:fill="F2DCDB"/>
            <w:noWrap/>
            <w:tcMar>
              <w:left w:w="57" w:type="dxa"/>
              <w:right w:w="57" w:type="dxa"/>
            </w:tcMar>
            <w:vAlign w:val="center"/>
            <w:hideMark/>
          </w:tcPr>
          <w:p w14:paraId="2F17F062"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0.76</w:t>
            </w:r>
          </w:p>
        </w:tc>
      </w:tr>
      <w:tr w:rsidR="00FF6E56" w:rsidRPr="000E340E" w14:paraId="26E304E8" w14:textId="77777777" w:rsidTr="00FE55D4">
        <w:trPr>
          <w:trHeight w:val="300"/>
        </w:trPr>
        <w:tc>
          <w:tcPr>
            <w:tcW w:w="1074" w:type="dxa"/>
            <w:vMerge/>
            <w:shd w:val="clear" w:color="auto" w:fill="auto"/>
            <w:noWrap/>
            <w:tcMar>
              <w:left w:w="57" w:type="dxa"/>
              <w:right w:w="57" w:type="dxa"/>
            </w:tcMar>
            <w:vAlign w:val="center"/>
            <w:hideMark/>
          </w:tcPr>
          <w:p w14:paraId="405BD6A1" w14:textId="77777777" w:rsidR="00FF6E56" w:rsidRPr="000E340E" w:rsidRDefault="00FF6E56" w:rsidP="00FE55D4">
            <w:pPr>
              <w:spacing w:after="0"/>
              <w:jc w:val="right"/>
              <w:rPr>
                <w:rFonts w:ascii="Arial Narrow" w:hAnsi="Arial Narrow"/>
                <w:color w:val="000000"/>
                <w:sz w:val="20"/>
                <w:lang w:eastAsia="en-AU"/>
              </w:rPr>
            </w:pPr>
          </w:p>
        </w:tc>
        <w:tc>
          <w:tcPr>
            <w:tcW w:w="350" w:type="dxa"/>
            <w:shd w:val="clear" w:color="auto" w:fill="auto"/>
            <w:noWrap/>
            <w:tcMar>
              <w:left w:w="57" w:type="dxa"/>
              <w:right w:w="57" w:type="dxa"/>
            </w:tcMar>
            <w:vAlign w:val="center"/>
            <w:hideMark/>
          </w:tcPr>
          <w:p w14:paraId="1E45AE5D" w14:textId="77777777" w:rsidR="00FF6E56" w:rsidRPr="000E340E" w:rsidRDefault="00FF6E56" w:rsidP="00FE55D4">
            <w:pPr>
              <w:spacing w:after="0"/>
              <w:jc w:val="center"/>
              <w:rPr>
                <w:rFonts w:ascii="Arial Narrow" w:hAnsi="Arial Narrow"/>
                <w:color w:val="000000"/>
                <w:sz w:val="20"/>
                <w:lang w:eastAsia="en-AU"/>
              </w:rPr>
            </w:pPr>
            <w:r w:rsidRPr="000E340E">
              <w:rPr>
                <w:rFonts w:ascii="Arial Narrow" w:hAnsi="Arial Narrow"/>
                <w:color w:val="000000"/>
                <w:sz w:val="20"/>
                <w:lang w:eastAsia="en-AU"/>
              </w:rPr>
              <w:t>5</w:t>
            </w:r>
          </w:p>
        </w:tc>
        <w:tc>
          <w:tcPr>
            <w:tcW w:w="625" w:type="dxa"/>
            <w:shd w:val="clear" w:color="000000" w:fill="F2DCDB"/>
            <w:noWrap/>
            <w:tcMar>
              <w:left w:w="57" w:type="dxa"/>
              <w:right w:w="57" w:type="dxa"/>
            </w:tcMar>
            <w:vAlign w:val="center"/>
            <w:hideMark/>
          </w:tcPr>
          <w:p w14:paraId="723EF163"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-0.26</w:t>
            </w:r>
          </w:p>
        </w:tc>
        <w:tc>
          <w:tcPr>
            <w:tcW w:w="625" w:type="dxa"/>
            <w:shd w:val="clear" w:color="000000" w:fill="F2DCDB"/>
            <w:noWrap/>
            <w:tcMar>
              <w:left w:w="57" w:type="dxa"/>
              <w:right w:w="57" w:type="dxa"/>
            </w:tcMar>
            <w:vAlign w:val="center"/>
            <w:hideMark/>
          </w:tcPr>
          <w:p w14:paraId="73BF475E"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0.80</w:t>
            </w:r>
          </w:p>
        </w:tc>
        <w:tc>
          <w:tcPr>
            <w:tcW w:w="625" w:type="dxa"/>
            <w:shd w:val="clear" w:color="000000" w:fill="F2DCDB"/>
            <w:noWrap/>
            <w:tcMar>
              <w:left w:w="57" w:type="dxa"/>
              <w:right w:w="57" w:type="dxa"/>
            </w:tcMar>
            <w:vAlign w:val="center"/>
            <w:hideMark/>
          </w:tcPr>
          <w:p w14:paraId="0C21CA47"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-0.21</w:t>
            </w:r>
          </w:p>
        </w:tc>
        <w:tc>
          <w:tcPr>
            <w:tcW w:w="625" w:type="dxa"/>
            <w:shd w:val="clear" w:color="000000" w:fill="F2DCDB"/>
            <w:noWrap/>
            <w:tcMar>
              <w:left w:w="57" w:type="dxa"/>
              <w:right w:w="57" w:type="dxa"/>
            </w:tcMar>
            <w:vAlign w:val="center"/>
            <w:hideMark/>
          </w:tcPr>
          <w:p w14:paraId="0759B347"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0.72</w:t>
            </w:r>
          </w:p>
        </w:tc>
        <w:tc>
          <w:tcPr>
            <w:tcW w:w="625" w:type="dxa"/>
            <w:shd w:val="clear" w:color="000000" w:fill="DA9694"/>
            <w:noWrap/>
            <w:tcMar>
              <w:left w:w="57" w:type="dxa"/>
              <w:right w:w="57" w:type="dxa"/>
            </w:tcMar>
            <w:vAlign w:val="center"/>
            <w:hideMark/>
          </w:tcPr>
          <w:p w14:paraId="173F6816"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-0.50</w:t>
            </w:r>
          </w:p>
        </w:tc>
        <w:tc>
          <w:tcPr>
            <w:tcW w:w="626" w:type="dxa"/>
            <w:shd w:val="clear" w:color="000000" w:fill="DA9694"/>
            <w:noWrap/>
            <w:tcMar>
              <w:left w:w="57" w:type="dxa"/>
              <w:right w:w="57" w:type="dxa"/>
            </w:tcMar>
            <w:vAlign w:val="center"/>
            <w:hideMark/>
          </w:tcPr>
          <w:p w14:paraId="7688DDCB"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1.00</w:t>
            </w:r>
          </w:p>
        </w:tc>
        <w:tc>
          <w:tcPr>
            <w:tcW w:w="625" w:type="dxa"/>
            <w:shd w:val="clear" w:color="auto" w:fill="auto"/>
            <w:noWrap/>
            <w:tcMar>
              <w:left w:w="57" w:type="dxa"/>
              <w:right w:w="57" w:type="dxa"/>
            </w:tcMar>
            <w:vAlign w:val="center"/>
            <w:hideMark/>
          </w:tcPr>
          <w:p w14:paraId="7BB1B1B9"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-0.12</w:t>
            </w:r>
          </w:p>
        </w:tc>
        <w:tc>
          <w:tcPr>
            <w:tcW w:w="625" w:type="dxa"/>
            <w:shd w:val="clear" w:color="auto" w:fill="auto"/>
            <w:noWrap/>
            <w:tcMar>
              <w:left w:w="57" w:type="dxa"/>
              <w:right w:w="57" w:type="dxa"/>
            </w:tcMar>
            <w:vAlign w:val="center"/>
            <w:hideMark/>
          </w:tcPr>
          <w:p w14:paraId="6AFC0582"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0.59</w:t>
            </w:r>
          </w:p>
        </w:tc>
        <w:tc>
          <w:tcPr>
            <w:tcW w:w="625" w:type="dxa"/>
            <w:shd w:val="clear" w:color="auto" w:fill="auto"/>
            <w:noWrap/>
            <w:tcMar>
              <w:left w:w="57" w:type="dxa"/>
              <w:right w:w="57" w:type="dxa"/>
            </w:tcMar>
            <w:vAlign w:val="center"/>
            <w:hideMark/>
          </w:tcPr>
          <w:p w14:paraId="616C3D71"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-0.04</w:t>
            </w:r>
          </w:p>
        </w:tc>
        <w:tc>
          <w:tcPr>
            <w:tcW w:w="625" w:type="dxa"/>
            <w:shd w:val="clear" w:color="auto" w:fill="auto"/>
            <w:noWrap/>
            <w:tcMar>
              <w:left w:w="57" w:type="dxa"/>
              <w:right w:w="57" w:type="dxa"/>
            </w:tcMar>
            <w:vAlign w:val="center"/>
            <w:hideMark/>
          </w:tcPr>
          <w:p w14:paraId="107E0393"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0.60</w:t>
            </w:r>
          </w:p>
        </w:tc>
        <w:tc>
          <w:tcPr>
            <w:tcW w:w="625" w:type="dxa"/>
            <w:shd w:val="clear" w:color="000000" w:fill="E6B8B7"/>
            <w:noWrap/>
            <w:tcMar>
              <w:left w:w="57" w:type="dxa"/>
              <w:right w:w="57" w:type="dxa"/>
            </w:tcMar>
            <w:vAlign w:val="center"/>
            <w:hideMark/>
          </w:tcPr>
          <w:p w14:paraId="4D5BEAFB"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-0.43</w:t>
            </w:r>
          </w:p>
        </w:tc>
        <w:tc>
          <w:tcPr>
            <w:tcW w:w="626" w:type="dxa"/>
            <w:shd w:val="clear" w:color="000000" w:fill="E6B8B7"/>
            <w:noWrap/>
            <w:tcMar>
              <w:left w:w="57" w:type="dxa"/>
              <w:right w:w="57" w:type="dxa"/>
            </w:tcMar>
            <w:vAlign w:val="center"/>
            <w:hideMark/>
          </w:tcPr>
          <w:p w14:paraId="5A526B16"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0.81</w:t>
            </w:r>
          </w:p>
        </w:tc>
      </w:tr>
      <w:tr w:rsidR="00FF6E56" w:rsidRPr="000E340E" w14:paraId="614768B1" w14:textId="77777777" w:rsidTr="00FE55D4">
        <w:trPr>
          <w:trHeight w:val="300"/>
        </w:trPr>
        <w:tc>
          <w:tcPr>
            <w:tcW w:w="1074" w:type="dxa"/>
            <w:vMerge w:val="restart"/>
            <w:shd w:val="clear" w:color="auto" w:fill="auto"/>
            <w:noWrap/>
            <w:tcMar>
              <w:left w:w="57" w:type="dxa"/>
              <w:right w:w="57" w:type="dxa"/>
            </w:tcMar>
            <w:vAlign w:val="center"/>
            <w:hideMark/>
          </w:tcPr>
          <w:p w14:paraId="6E4010EB" w14:textId="77777777" w:rsidR="00FF6E56" w:rsidRPr="000E340E" w:rsidRDefault="00FF6E56" w:rsidP="00FE55D4">
            <w:pPr>
              <w:spacing w:after="0"/>
              <w:rPr>
                <w:rFonts w:ascii="Arial Narrow" w:hAnsi="Arial Narrow"/>
                <w:color w:val="000000"/>
                <w:sz w:val="20"/>
                <w:lang w:eastAsia="en-AU"/>
              </w:rPr>
            </w:pPr>
            <w:r w:rsidRPr="000E340E">
              <w:rPr>
                <w:rFonts w:ascii="Arial Narrow" w:hAnsi="Arial Narrow"/>
                <w:color w:val="000000"/>
                <w:sz w:val="20"/>
                <w:lang w:eastAsia="en-AU"/>
              </w:rPr>
              <w:t>2014 to 2016</w:t>
            </w:r>
          </w:p>
        </w:tc>
        <w:tc>
          <w:tcPr>
            <w:tcW w:w="350" w:type="dxa"/>
            <w:shd w:val="clear" w:color="auto" w:fill="auto"/>
            <w:noWrap/>
            <w:tcMar>
              <w:left w:w="57" w:type="dxa"/>
              <w:right w:w="57" w:type="dxa"/>
            </w:tcMar>
            <w:vAlign w:val="center"/>
            <w:hideMark/>
          </w:tcPr>
          <w:p w14:paraId="2AD60301" w14:textId="77777777" w:rsidR="00FF6E56" w:rsidRPr="000E340E" w:rsidRDefault="00FF6E56" w:rsidP="00FE55D4">
            <w:pPr>
              <w:spacing w:after="0"/>
              <w:jc w:val="center"/>
              <w:rPr>
                <w:rFonts w:ascii="Arial Narrow" w:hAnsi="Arial Narrow"/>
                <w:color w:val="000000"/>
                <w:sz w:val="20"/>
                <w:lang w:eastAsia="en-AU"/>
              </w:rPr>
            </w:pPr>
            <w:r w:rsidRPr="000E340E">
              <w:rPr>
                <w:rFonts w:ascii="Arial Narrow" w:hAnsi="Arial Narrow"/>
                <w:color w:val="000000"/>
                <w:sz w:val="20"/>
                <w:lang w:eastAsia="en-AU"/>
              </w:rPr>
              <w:t>2</w:t>
            </w:r>
          </w:p>
        </w:tc>
        <w:tc>
          <w:tcPr>
            <w:tcW w:w="625" w:type="dxa"/>
            <w:shd w:val="clear" w:color="auto" w:fill="auto"/>
            <w:noWrap/>
            <w:tcMar>
              <w:left w:w="57" w:type="dxa"/>
              <w:right w:w="57" w:type="dxa"/>
            </w:tcMar>
            <w:vAlign w:val="center"/>
            <w:hideMark/>
          </w:tcPr>
          <w:p w14:paraId="6F3E0C1C"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-0.03</w:t>
            </w:r>
          </w:p>
        </w:tc>
        <w:tc>
          <w:tcPr>
            <w:tcW w:w="625" w:type="dxa"/>
            <w:shd w:val="clear" w:color="auto" w:fill="auto"/>
            <w:noWrap/>
            <w:tcMar>
              <w:left w:w="57" w:type="dxa"/>
              <w:right w:w="57" w:type="dxa"/>
            </w:tcMar>
            <w:vAlign w:val="center"/>
            <w:hideMark/>
          </w:tcPr>
          <w:p w14:paraId="3A638AB4"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0.66</w:t>
            </w:r>
          </w:p>
        </w:tc>
        <w:tc>
          <w:tcPr>
            <w:tcW w:w="625" w:type="dxa"/>
            <w:shd w:val="clear" w:color="000000" w:fill="538DD5"/>
            <w:noWrap/>
            <w:tcMar>
              <w:left w:w="57" w:type="dxa"/>
              <w:right w:w="57" w:type="dxa"/>
            </w:tcMar>
            <w:vAlign w:val="center"/>
            <w:hideMark/>
          </w:tcPr>
          <w:p w14:paraId="17CCF109"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0.44</w:t>
            </w:r>
          </w:p>
        </w:tc>
        <w:tc>
          <w:tcPr>
            <w:tcW w:w="625" w:type="dxa"/>
            <w:shd w:val="clear" w:color="000000" w:fill="538DD5"/>
            <w:noWrap/>
            <w:tcMar>
              <w:left w:w="57" w:type="dxa"/>
              <w:right w:w="57" w:type="dxa"/>
            </w:tcMar>
            <w:vAlign w:val="center"/>
            <w:hideMark/>
          </w:tcPr>
          <w:p w14:paraId="2C47B159"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1.00</w:t>
            </w:r>
          </w:p>
        </w:tc>
        <w:tc>
          <w:tcPr>
            <w:tcW w:w="625" w:type="dxa"/>
            <w:shd w:val="clear" w:color="000000" w:fill="F2DCDB"/>
            <w:noWrap/>
            <w:tcMar>
              <w:left w:w="57" w:type="dxa"/>
              <w:right w:w="57" w:type="dxa"/>
            </w:tcMar>
            <w:vAlign w:val="center"/>
            <w:hideMark/>
          </w:tcPr>
          <w:p w14:paraId="556B7D52"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-0.50</w:t>
            </w:r>
          </w:p>
        </w:tc>
        <w:tc>
          <w:tcPr>
            <w:tcW w:w="626" w:type="dxa"/>
            <w:shd w:val="clear" w:color="000000" w:fill="F2DCDB"/>
            <w:noWrap/>
            <w:tcMar>
              <w:left w:w="57" w:type="dxa"/>
              <w:right w:w="57" w:type="dxa"/>
            </w:tcMar>
            <w:vAlign w:val="center"/>
            <w:hideMark/>
          </w:tcPr>
          <w:p w14:paraId="17B39266"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0.76</w:t>
            </w:r>
          </w:p>
        </w:tc>
        <w:tc>
          <w:tcPr>
            <w:tcW w:w="625" w:type="dxa"/>
            <w:shd w:val="clear" w:color="000000" w:fill="538DD5"/>
            <w:noWrap/>
            <w:tcMar>
              <w:left w:w="57" w:type="dxa"/>
              <w:right w:w="57" w:type="dxa"/>
            </w:tcMar>
            <w:vAlign w:val="center"/>
            <w:hideMark/>
          </w:tcPr>
          <w:p w14:paraId="5F042433"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0.08</w:t>
            </w:r>
          </w:p>
        </w:tc>
        <w:tc>
          <w:tcPr>
            <w:tcW w:w="625" w:type="dxa"/>
            <w:shd w:val="clear" w:color="000000" w:fill="538DD5"/>
            <w:noWrap/>
            <w:tcMar>
              <w:left w:w="57" w:type="dxa"/>
              <w:right w:w="57" w:type="dxa"/>
            </w:tcMar>
            <w:vAlign w:val="center"/>
            <w:hideMark/>
          </w:tcPr>
          <w:p w14:paraId="3CEDADDE"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0.98</w:t>
            </w:r>
          </w:p>
        </w:tc>
        <w:tc>
          <w:tcPr>
            <w:tcW w:w="625" w:type="dxa"/>
            <w:shd w:val="clear" w:color="auto" w:fill="auto"/>
            <w:noWrap/>
            <w:tcMar>
              <w:left w:w="57" w:type="dxa"/>
              <w:right w:w="57" w:type="dxa"/>
            </w:tcMar>
            <w:vAlign w:val="center"/>
            <w:hideMark/>
          </w:tcPr>
          <w:p w14:paraId="0533E25D"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-0.03</w:t>
            </w:r>
          </w:p>
        </w:tc>
        <w:tc>
          <w:tcPr>
            <w:tcW w:w="625" w:type="dxa"/>
            <w:shd w:val="clear" w:color="auto" w:fill="auto"/>
            <w:noWrap/>
            <w:tcMar>
              <w:left w:w="57" w:type="dxa"/>
              <w:right w:w="57" w:type="dxa"/>
            </w:tcMar>
            <w:vAlign w:val="center"/>
            <w:hideMark/>
          </w:tcPr>
          <w:p w14:paraId="327FAC8E"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0.59</w:t>
            </w:r>
          </w:p>
        </w:tc>
        <w:tc>
          <w:tcPr>
            <w:tcW w:w="625" w:type="dxa"/>
            <w:shd w:val="clear" w:color="000000" w:fill="F2DCDB"/>
            <w:noWrap/>
            <w:tcMar>
              <w:left w:w="57" w:type="dxa"/>
              <w:right w:w="57" w:type="dxa"/>
            </w:tcMar>
            <w:vAlign w:val="center"/>
            <w:hideMark/>
          </w:tcPr>
          <w:p w14:paraId="670B81D9"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-0.13</w:t>
            </w:r>
          </w:p>
        </w:tc>
        <w:tc>
          <w:tcPr>
            <w:tcW w:w="626" w:type="dxa"/>
            <w:shd w:val="clear" w:color="000000" w:fill="F2DCDB"/>
            <w:noWrap/>
            <w:tcMar>
              <w:left w:w="57" w:type="dxa"/>
              <w:right w:w="57" w:type="dxa"/>
            </w:tcMar>
            <w:vAlign w:val="center"/>
            <w:hideMark/>
          </w:tcPr>
          <w:p w14:paraId="3F815FDD"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0.74</w:t>
            </w:r>
          </w:p>
        </w:tc>
      </w:tr>
      <w:tr w:rsidR="00FF6E56" w:rsidRPr="000E340E" w14:paraId="321186FA" w14:textId="77777777" w:rsidTr="00FE55D4">
        <w:trPr>
          <w:trHeight w:val="300"/>
        </w:trPr>
        <w:tc>
          <w:tcPr>
            <w:tcW w:w="1074" w:type="dxa"/>
            <w:vMerge/>
            <w:shd w:val="clear" w:color="auto" w:fill="auto"/>
            <w:noWrap/>
            <w:tcMar>
              <w:left w:w="57" w:type="dxa"/>
              <w:right w:w="57" w:type="dxa"/>
            </w:tcMar>
            <w:vAlign w:val="center"/>
            <w:hideMark/>
          </w:tcPr>
          <w:p w14:paraId="0B882C1D" w14:textId="77777777" w:rsidR="00FF6E56" w:rsidRPr="000E340E" w:rsidRDefault="00FF6E56" w:rsidP="00FE55D4">
            <w:pPr>
              <w:spacing w:after="0"/>
              <w:jc w:val="right"/>
              <w:rPr>
                <w:rFonts w:ascii="Arial Narrow" w:hAnsi="Arial Narrow"/>
                <w:color w:val="000000"/>
                <w:sz w:val="20"/>
                <w:lang w:eastAsia="en-AU"/>
              </w:rPr>
            </w:pPr>
          </w:p>
        </w:tc>
        <w:tc>
          <w:tcPr>
            <w:tcW w:w="350" w:type="dxa"/>
            <w:shd w:val="clear" w:color="auto" w:fill="auto"/>
            <w:noWrap/>
            <w:tcMar>
              <w:left w:w="57" w:type="dxa"/>
              <w:right w:w="57" w:type="dxa"/>
            </w:tcMar>
            <w:vAlign w:val="center"/>
            <w:hideMark/>
          </w:tcPr>
          <w:p w14:paraId="021117E6" w14:textId="77777777" w:rsidR="00FF6E56" w:rsidRPr="000E340E" w:rsidRDefault="00FF6E56" w:rsidP="00FE55D4">
            <w:pPr>
              <w:spacing w:after="0"/>
              <w:jc w:val="center"/>
              <w:rPr>
                <w:rFonts w:ascii="Arial Narrow" w:hAnsi="Arial Narrow"/>
                <w:color w:val="000000"/>
                <w:sz w:val="20"/>
                <w:lang w:eastAsia="en-AU"/>
              </w:rPr>
            </w:pPr>
            <w:r w:rsidRPr="000E340E">
              <w:rPr>
                <w:rFonts w:ascii="Arial Narrow" w:hAnsi="Arial Narrow"/>
                <w:color w:val="000000"/>
                <w:sz w:val="20"/>
                <w:lang w:eastAsia="en-AU"/>
              </w:rPr>
              <w:t>5</w:t>
            </w:r>
          </w:p>
        </w:tc>
        <w:tc>
          <w:tcPr>
            <w:tcW w:w="625" w:type="dxa"/>
            <w:shd w:val="clear" w:color="000000" w:fill="C5D9F1"/>
            <w:noWrap/>
            <w:tcMar>
              <w:left w:w="57" w:type="dxa"/>
              <w:right w:w="57" w:type="dxa"/>
            </w:tcMar>
            <w:vAlign w:val="center"/>
            <w:hideMark/>
          </w:tcPr>
          <w:p w14:paraId="64CE9158"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0.14</w:t>
            </w:r>
          </w:p>
        </w:tc>
        <w:tc>
          <w:tcPr>
            <w:tcW w:w="625" w:type="dxa"/>
            <w:shd w:val="clear" w:color="000000" w:fill="C5D9F1"/>
            <w:noWrap/>
            <w:tcMar>
              <w:left w:w="57" w:type="dxa"/>
              <w:right w:w="57" w:type="dxa"/>
            </w:tcMar>
            <w:vAlign w:val="center"/>
            <w:hideMark/>
          </w:tcPr>
          <w:p w14:paraId="63AABF0D"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0.71</w:t>
            </w:r>
          </w:p>
        </w:tc>
        <w:tc>
          <w:tcPr>
            <w:tcW w:w="625" w:type="dxa"/>
            <w:shd w:val="clear" w:color="000000" w:fill="8DB4E2"/>
            <w:noWrap/>
            <w:tcMar>
              <w:left w:w="57" w:type="dxa"/>
              <w:right w:w="57" w:type="dxa"/>
            </w:tcMar>
            <w:vAlign w:val="center"/>
            <w:hideMark/>
          </w:tcPr>
          <w:p w14:paraId="28703DA6"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0.38</w:t>
            </w:r>
          </w:p>
        </w:tc>
        <w:tc>
          <w:tcPr>
            <w:tcW w:w="625" w:type="dxa"/>
            <w:shd w:val="clear" w:color="000000" w:fill="8DB4E2"/>
            <w:noWrap/>
            <w:tcMar>
              <w:left w:w="57" w:type="dxa"/>
              <w:right w:w="57" w:type="dxa"/>
            </w:tcMar>
            <w:vAlign w:val="center"/>
            <w:hideMark/>
          </w:tcPr>
          <w:p w14:paraId="74F9E0AB"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0.82</w:t>
            </w:r>
          </w:p>
        </w:tc>
        <w:tc>
          <w:tcPr>
            <w:tcW w:w="625" w:type="dxa"/>
            <w:shd w:val="clear" w:color="auto" w:fill="auto"/>
            <w:noWrap/>
            <w:tcMar>
              <w:left w:w="57" w:type="dxa"/>
              <w:right w:w="57" w:type="dxa"/>
            </w:tcMar>
            <w:vAlign w:val="center"/>
            <w:hideMark/>
          </w:tcPr>
          <w:p w14:paraId="312CF862"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0.00</w:t>
            </w:r>
          </w:p>
        </w:tc>
        <w:tc>
          <w:tcPr>
            <w:tcW w:w="626" w:type="dxa"/>
            <w:shd w:val="clear" w:color="auto" w:fill="auto"/>
            <w:noWrap/>
            <w:tcMar>
              <w:left w:w="57" w:type="dxa"/>
              <w:right w:w="57" w:type="dxa"/>
            </w:tcMar>
            <w:vAlign w:val="center"/>
            <w:hideMark/>
          </w:tcPr>
          <w:p w14:paraId="25418F9C"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0.00</w:t>
            </w:r>
          </w:p>
        </w:tc>
        <w:tc>
          <w:tcPr>
            <w:tcW w:w="625" w:type="dxa"/>
            <w:shd w:val="clear" w:color="auto" w:fill="auto"/>
            <w:noWrap/>
            <w:tcMar>
              <w:left w:w="57" w:type="dxa"/>
              <w:right w:w="57" w:type="dxa"/>
            </w:tcMar>
            <w:vAlign w:val="center"/>
            <w:hideMark/>
          </w:tcPr>
          <w:p w14:paraId="5F2F1C80"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-0.02</w:t>
            </w:r>
          </w:p>
        </w:tc>
        <w:tc>
          <w:tcPr>
            <w:tcW w:w="625" w:type="dxa"/>
            <w:shd w:val="clear" w:color="auto" w:fill="auto"/>
            <w:noWrap/>
            <w:tcMar>
              <w:left w:w="57" w:type="dxa"/>
              <w:right w:w="57" w:type="dxa"/>
            </w:tcMar>
            <w:vAlign w:val="center"/>
            <w:hideMark/>
          </w:tcPr>
          <w:p w14:paraId="2D65499F"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0.55</w:t>
            </w:r>
          </w:p>
        </w:tc>
        <w:tc>
          <w:tcPr>
            <w:tcW w:w="625" w:type="dxa"/>
            <w:shd w:val="clear" w:color="auto" w:fill="auto"/>
            <w:noWrap/>
            <w:tcMar>
              <w:left w:w="57" w:type="dxa"/>
              <w:right w:w="57" w:type="dxa"/>
            </w:tcMar>
            <w:vAlign w:val="center"/>
            <w:hideMark/>
          </w:tcPr>
          <w:p w14:paraId="21C61A8D"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0.01</w:t>
            </w:r>
          </w:p>
        </w:tc>
        <w:tc>
          <w:tcPr>
            <w:tcW w:w="625" w:type="dxa"/>
            <w:shd w:val="clear" w:color="auto" w:fill="auto"/>
            <w:noWrap/>
            <w:tcMar>
              <w:left w:w="57" w:type="dxa"/>
              <w:right w:w="57" w:type="dxa"/>
            </w:tcMar>
            <w:vAlign w:val="center"/>
            <w:hideMark/>
          </w:tcPr>
          <w:p w14:paraId="47F55921"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0.56</w:t>
            </w:r>
          </w:p>
        </w:tc>
        <w:tc>
          <w:tcPr>
            <w:tcW w:w="625" w:type="dxa"/>
            <w:shd w:val="clear" w:color="000000" w:fill="C5D9F1"/>
            <w:noWrap/>
            <w:tcMar>
              <w:left w:w="57" w:type="dxa"/>
              <w:right w:w="57" w:type="dxa"/>
            </w:tcMar>
            <w:vAlign w:val="center"/>
            <w:hideMark/>
          </w:tcPr>
          <w:p w14:paraId="2A6932E3"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0.33</w:t>
            </w:r>
          </w:p>
        </w:tc>
        <w:tc>
          <w:tcPr>
            <w:tcW w:w="626" w:type="dxa"/>
            <w:shd w:val="clear" w:color="000000" w:fill="C5D9F1"/>
            <w:noWrap/>
            <w:tcMar>
              <w:left w:w="57" w:type="dxa"/>
              <w:right w:w="57" w:type="dxa"/>
            </w:tcMar>
            <w:vAlign w:val="center"/>
            <w:hideMark/>
          </w:tcPr>
          <w:p w14:paraId="20D1F786" w14:textId="77777777" w:rsidR="00FF6E56" w:rsidRPr="000E340E" w:rsidRDefault="00FF6E56" w:rsidP="00FE55D4">
            <w:pPr>
              <w:spacing w:after="0"/>
              <w:jc w:val="right"/>
              <w:rPr>
                <w:rFonts w:ascii="Arial Narrow" w:hAnsi="Arial Narrow"/>
                <w:color w:val="000000"/>
                <w:sz w:val="20"/>
                <w:lang w:eastAsia="en-AU"/>
              </w:rPr>
            </w:pPr>
            <w:r w:rsidRPr="000E340E">
              <w:rPr>
                <w:rFonts w:ascii="Arial Narrow" w:hAnsi="Arial Narrow"/>
                <w:color w:val="000000"/>
                <w:sz w:val="20"/>
                <w:lang w:eastAsia="en-AU"/>
              </w:rPr>
              <w:t>0.73</w:t>
            </w:r>
          </w:p>
        </w:tc>
      </w:tr>
    </w:tbl>
    <w:p w14:paraId="16BE8B13" w14:textId="77777777" w:rsidR="005F1FA1" w:rsidRDefault="005F1FA1" w:rsidP="00FF6E56">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ind w:right="232"/>
        <w:rPr>
          <w:lang w:val="en-AU"/>
        </w:rPr>
      </w:pPr>
    </w:p>
    <w:p w14:paraId="4FD5069D" w14:textId="0E9ABA57" w:rsidR="00B53089" w:rsidRDefault="005F1FA1" w:rsidP="00671DC7">
      <w:r>
        <w:rPr>
          <w:lang w:val="en-AU"/>
        </w:rPr>
        <w:t xml:space="preserve">The recent improvement in the coral index coincides with a reprieve from a series of disturbance events that </w:t>
      </w:r>
      <w:r w:rsidR="005C1C90">
        <w:rPr>
          <w:lang w:val="en-AU"/>
        </w:rPr>
        <w:t xml:space="preserve">contributed to the declines observed through </w:t>
      </w:r>
      <w:r w:rsidR="008A7F55">
        <w:rPr>
          <w:lang w:val="en-AU"/>
        </w:rPr>
        <w:t>to 2014 (</w:t>
      </w:r>
      <w:r w:rsidR="00A617D9">
        <w:rPr>
          <w:lang w:val="en-AU"/>
        </w:rPr>
        <w:fldChar w:fldCharType="begin"/>
      </w:r>
      <w:r w:rsidR="00A617D9">
        <w:rPr>
          <w:lang w:val="en-AU"/>
        </w:rPr>
        <w:instrText xml:space="preserve"> REF _Ref491178261 \h </w:instrText>
      </w:r>
      <w:r w:rsidR="00A617D9">
        <w:rPr>
          <w:lang w:val="en-AU"/>
        </w:rPr>
      </w:r>
      <w:r w:rsidR="00A617D9">
        <w:rPr>
          <w:lang w:val="en-AU"/>
        </w:rPr>
        <w:fldChar w:fldCharType="separate"/>
      </w:r>
      <w:r w:rsidR="00D806F2">
        <w:t xml:space="preserve">Figure </w:t>
      </w:r>
      <w:r w:rsidR="00D806F2">
        <w:rPr>
          <w:noProof/>
        </w:rPr>
        <w:t>12</w:t>
      </w:r>
      <w:r w:rsidR="00A617D9">
        <w:rPr>
          <w:lang w:val="en-AU"/>
        </w:rPr>
        <w:fldChar w:fldCharType="end"/>
      </w:r>
      <w:r w:rsidR="00A617D9">
        <w:rPr>
          <w:lang w:val="en-AU"/>
        </w:rPr>
        <w:t>c</w:t>
      </w:r>
      <w:r w:rsidR="008A7F55">
        <w:rPr>
          <w:lang w:val="en-AU"/>
        </w:rPr>
        <w:t xml:space="preserve">-e). </w:t>
      </w:r>
      <w:r w:rsidR="008661F8">
        <w:rPr>
          <w:lang w:val="en-AU"/>
        </w:rPr>
        <w:t xml:space="preserve">Although the maximum index score occurred in 2008, scores remained in the ‘good’ range until 2011. </w:t>
      </w:r>
      <w:r w:rsidR="003920EC">
        <w:rPr>
          <w:lang w:val="en-AU"/>
        </w:rPr>
        <w:t xml:space="preserve">The decline between 2011 and 2014 was initiated </w:t>
      </w:r>
      <w:r w:rsidR="00AD4E98">
        <w:rPr>
          <w:lang w:val="en-AU"/>
        </w:rPr>
        <w:t>by a loss of coral cover attributed to disease</w:t>
      </w:r>
      <w:r w:rsidR="00B87235">
        <w:rPr>
          <w:lang w:val="en-AU"/>
        </w:rPr>
        <w:t xml:space="preserve">. This attribution reflects the above average </w:t>
      </w:r>
      <w:r w:rsidR="00AD4E98">
        <w:rPr>
          <w:lang w:val="en-AU"/>
        </w:rPr>
        <w:t xml:space="preserve">number </w:t>
      </w:r>
      <w:r w:rsidR="00B87235">
        <w:rPr>
          <w:lang w:val="en-AU"/>
        </w:rPr>
        <w:t>of</w:t>
      </w:r>
      <w:r w:rsidR="00AD4E98">
        <w:rPr>
          <w:lang w:val="en-AU"/>
        </w:rPr>
        <w:t xml:space="preserve"> diseased colonies observed in 2010 and 2011</w:t>
      </w:r>
      <w:r w:rsidR="00B87235">
        <w:rPr>
          <w:lang w:val="en-AU"/>
        </w:rPr>
        <w:t xml:space="preserve"> surveys</w:t>
      </w:r>
      <w:r w:rsidR="00AD4E98">
        <w:rPr>
          <w:lang w:val="en-AU"/>
        </w:rPr>
        <w:t xml:space="preserve"> (</w:t>
      </w:r>
      <w:r w:rsidR="00BE6021">
        <w:rPr>
          <w:lang w:val="en-AU"/>
        </w:rPr>
        <w:fldChar w:fldCharType="begin"/>
      </w:r>
      <w:r w:rsidR="00BE6021">
        <w:rPr>
          <w:lang w:val="en-AU"/>
        </w:rPr>
        <w:instrText xml:space="preserve"> REF _Ref491178664 \h </w:instrText>
      </w:r>
      <w:r w:rsidR="00BE6021">
        <w:rPr>
          <w:lang w:val="en-AU"/>
        </w:rPr>
      </w:r>
      <w:r w:rsidR="00BE6021">
        <w:rPr>
          <w:lang w:val="en-AU"/>
        </w:rPr>
        <w:fldChar w:fldCharType="separate"/>
      </w:r>
      <w:r w:rsidR="00D806F2">
        <w:t xml:space="preserve">Figure A1. </w:t>
      </w:r>
      <w:r w:rsidR="00D806F2">
        <w:rPr>
          <w:noProof/>
        </w:rPr>
        <w:t>7</w:t>
      </w:r>
      <w:r w:rsidR="00BE6021">
        <w:rPr>
          <w:lang w:val="en-AU"/>
        </w:rPr>
        <w:fldChar w:fldCharType="end"/>
      </w:r>
      <w:r w:rsidR="00AD4E98">
        <w:rPr>
          <w:lang w:val="en-AU"/>
        </w:rPr>
        <w:t>)</w:t>
      </w:r>
      <w:r w:rsidR="00B87235">
        <w:rPr>
          <w:lang w:val="en-AU"/>
        </w:rPr>
        <w:t xml:space="preserve">. Declines in the Cover </w:t>
      </w:r>
      <w:r w:rsidR="00A617D9">
        <w:rPr>
          <w:lang w:val="en-AU"/>
        </w:rPr>
        <w:t>C</w:t>
      </w:r>
      <w:r w:rsidR="00B87235">
        <w:rPr>
          <w:lang w:val="en-AU"/>
        </w:rPr>
        <w:t xml:space="preserve">hange metric through to 2014 will have been influenced by these </w:t>
      </w:r>
      <w:r w:rsidR="00C04B6E">
        <w:rPr>
          <w:lang w:val="en-AU"/>
        </w:rPr>
        <w:t>levels of disease as the formulation of that metric considers disease as a reflection of chronic stress</w:t>
      </w:r>
      <w:r w:rsidR="00B03EE6">
        <w:rPr>
          <w:lang w:val="en-AU"/>
        </w:rPr>
        <w:t>,</w:t>
      </w:r>
      <w:r w:rsidR="00C04B6E">
        <w:rPr>
          <w:lang w:val="en-AU"/>
        </w:rPr>
        <w:t xml:space="preserve"> and so</w:t>
      </w:r>
      <w:r w:rsidR="00B03EE6">
        <w:rPr>
          <w:lang w:val="en-AU"/>
        </w:rPr>
        <w:t>,</w:t>
      </w:r>
      <w:r w:rsidR="00C04B6E">
        <w:rPr>
          <w:lang w:val="en-AU"/>
        </w:rPr>
        <w:t xml:space="preserve"> observations noted as influenced by disease are included in the comparison between observed and predicted coral cover on which the </w:t>
      </w:r>
      <w:r w:rsidR="00A617D9">
        <w:rPr>
          <w:lang w:val="en-AU"/>
        </w:rPr>
        <w:t>Cover C</w:t>
      </w:r>
      <w:r w:rsidR="006A68C4">
        <w:rPr>
          <w:lang w:val="en-AU"/>
        </w:rPr>
        <w:t xml:space="preserve">hange </w:t>
      </w:r>
      <w:r w:rsidR="00C04B6E">
        <w:rPr>
          <w:lang w:val="en-AU"/>
        </w:rPr>
        <w:t xml:space="preserve">metric is based. There was also a </w:t>
      </w:r>
      <w:r w:rsidR="00AD4E98">
        <w:rPr>
          <w:lang w:val="en-AU"/>
        </w:rPr>
        <w:t xml:space="preserve">marked increase in </w:t>
      </w:r>
      <w:r w:rsidR="00C04B6E">
        <w:rPr>
          <w:lang w:val="en-AU"/>
        </w:rPr>
        <w:t xml:space="preserve">the cover of </w:t>
      </w:r>
      <w:r w:rsidR="00AD4E98">
        <w:rPr>
          <w:lang w:val="en-AU"/>
        </w:rPr>
        <w:t xml:space="preserve">macroalgae </w:t>
      </w:r>
      <w:r w:rsidR="00B87235">
        <w:rPr>
          <w:lang w:val="en-AU"/>
        </w:rPr>
        <w:t xml:space="preserve">at Snapper North </w:t>
      </w:r>
      <w:r w:rsidR="00C04B6E">
        <w:rPr>
          <w:lang w:val="en-AU"/>
        </w:rPr>
        <w:t>in 2011 (peaks at 2</w:t>
      </w:r>
      <w:r w:rsidR="003032B3">
        <w:rPr>
          <w:lang w:val="en-AU"/>
        </w:rPr>
        <w:t xml:space="preserve"> </w:t>
      </w:r>
      <w:r w:rsidR="00C04B6E">
        <w:rPr>
          <w:lang w:val="en-AU"/>
        </w:rPr>
        <w:t>m and 5</w:t>
      </w:r>
      <w:r w:rsidR="003032B3">
        <w:rPr>
          <w:lang w:val="en-AU"/>
        </w:rPr>
        <w:t xml:space="preserve"> </w:t>
      </w:r>
      <w:r w:rsidR="00C04B6E">
        <w:rPr>
          <w:lang w:val="en-AU"/>
        </w:rPr>
        <w:t xml:space="preserve">m reefs, </w:t>
      </w:r>
      <w:r w:rsidR="00A617D9">
        <w:rPr>
          <w:lang w:val="en-AU"/>
        </w:rPr>
        <w:fldChar w:fldCharType="begin"/>
      </w:r>
      <w:r w:rsidR="00A617D9">
        <w:rPr>
          <w:lang w:val="en-AU"/>
        </w:rPr>
        <w:instrText xml:space="preserve"> REF _Ref491178290 \h </w:instrText>
      </w:r>
      <w:r w:rsidR="00A617D9">
        <w:rPr>
          <w:lang w:val="en-AU"/>
        </w:rPr>
      </w:r>
      <w:r w:rsidR="00A617D9">
        <w:rPr>
          <w:lang w:val="en-AU"/>
        </w:rPr>
        <w:fldChar w:fldCharType="separate"/>
      </w:r>
      <w:r w:rsidR="00D806F2">
        <w:t xml:space="preserve">Figure </w:t>
      </w:r>
      <w:r w:rsidR="00D806F2">
        <w:rPr>
          <w:noProof/>
        </w:rPr>
        <w:t>13</w:t>
      </w:r>
      <w:r w:rsidR="00A617D9">
        <w:rPr>
          <w:lang w:val="en-AU"/>
        </w:rPr>
        <w:fldChar w:fldCharType="end"/>
      </w:r>
      <w:r w:rsidR="00C04B6E">
        <w:rPr>
          <w:lang w:val="en-AU"/>
        </w:rPr>
        <w:t>,</w:t>
      </w:r>
      <w:r w:rsidR="00BE20D6">
        <w:rPr>
          <w:lang w:val="en-AU"/>
        </w:rPr>
        <w:t xml:space="preserve"> </w:t>
      </w:r>
      <w:r w:rsidR="00BE20D6">
        <w:rPr>
          <w:lang w:val="en-AU"/>
        </w:rPr>
        <w:fldChar w:fldCharType="begin"/>
      </w:r>
      <w:r w:rsidR="00BE20D6">
        <w:rPr>
          <w:lang w:val="en-AU"/>
        </w:rPr>
        <w:instrText xml:space="preserve"> REF _Ref492389865 \h </w:instrText>
      </w:r>
      <w:r w:rsidR="00BE20D6">
        <w:rPr>
          <w:lang w:val="en-AU"/>
        </w:rPr>
      </w:r>
      <w:r w:rsidR="00BE20D6">
        <w:rPr>
          <w:lang w:val="en-AU"/>
        </w:rPr>
        <w:fldChar w:fldCharType="separate"/>
      </w:r>
      <w:r w:rsidR="00D806F2">
        <w:t xml:space="preserve">Figure A1. </w:t>
      </w:r>
      <w:r w:rsidR="00D806F2">
        <w:rPr>
          <w:noProof/>
        </w:rPr>
        <w:t>1</w:t>
      </w:r>
      <w:r w:rsidR="00BE20D6">
        <w:rPr>
          <w:lang w:val="en-AU"/>
        </w:rPr>
        <w:fldChar w:fldCharType="end"/>
      </w:r>
      <w:r w:rsidR="00C04B6E">
        <w:rPr>
          <w:lang w:val="en-AU"/>
        </w:rPr>
        <w:t>)</w:t>
      </w:r>
      <w:r w:rsidR="00FD0D27">
        <w:rPr>
          <w:lang w:val="en-AU"/>
        </w:rPr>
        <w:t>. The persistence of this high proportion of macroalgae in the algal community at 2 m depth</w:t>
      </w:r>
      <w:r w:rsidR="00B03EE6">
        <w:rPr>
          <w:lang w:val="en-AU"/>
        </w:rPr>
        <w:t>,</w:t>
      </w:r>
      <w:r w:rsidR="00FD0D27">
        <w:rPr>
          <w:lang w:val="en-AU"/>
        </w:rPr>
        <w:t xml:space="preserve"> Snapper North</w:t>
      </w:r>
      <w:r w:rsidR="00B03EE6">
        <w:rPr>
          <w:lang w:val="en-AU"/>
        </w:rPr>
        <w:t>,</w:t>
      </w:r>
      <w:r w:rsidR="00FD0D27">
        <w:rPr>
          <w:lang w:val="en-AU"/>
        </w:rPr>
        <w:t xml:space="preserve"> is consistent with the typically above</w:t>
      </w:r>
      <w:r w:rsidR="004464E5">
        <w:rPr>
          <w:lang w:val="en-AU"/>
        </w:rPr>
        <w:t>-</w:t>
      </w:r>
      <w:r w:rsidR="00FD0D27">
        <w:rPr>
          <w:lang w:val="en-AU"/>
        </w:rPr>
        <w:t xml:space="preserve">guideline levels of Chl </w:t>
      </w:r>
      <w:r w:rsidR="00FD0D27" w:rsidRPr="00FD0D27">
        <w:rPr>
          <w:i/>
          <w:lang w:val="en-AU"/>
        </w:rPr>
        <w:t>a</w:t>
      </w:r>
      <w:r w:rsidR="00FD0D27">
        <w:rPr>
          <w:lang w:val="en-AU"/>
        </w:rPr>
        <w:t xml:space="preserve"> in waters surrounding Snapper Island (</w:t>
      </w:r>
      <w:r w:rsidR="00A617D9">
        <w:rPr>
          <w:lang w:val="en-AU"/>
        </w:rPr>
        <w:fldChar w:fldCharType="begin"/>
      </w:r>
      <w:r w:rsidR="00A617D9">
        <w:rPr>
          <w:lang w:val="en-AU"/>
        </w:rPr>
        <w:instrText xml:space="preserve"> REF _Ref491178261 \h </w:instrText>
      </w:r>
      <w:r w:rsidR="00A617D9">
        <w:rPr>
          <w:lang w:val="en-AU"/>
        </w:rPr>
      </w:r>
      <w:r w:rsidR="00A617D9">
        <w:rPr>
          <w:lang w:val="en-AU"/>
        </w:rPr>
        <w:fldChar w:fldCharType="separate"/>
      </w:r>
      <w:r w:rsidR="00D806F2">
        <w:t xml:space="preserve">Figure </w:t>
      </w:r>
      <w:r w:rsidR="00D806F2">
        <w:rPr>
          <w:noProof/>
        </w:rPr>
        <w:t>12</w:t>
      </w:r>
      <w:r w:rsidR="00A617D9">
        <w:rPr>
          <w:lang w:val="en-AU"/>
        </w:rPr>
        <w:fldChar w:fldCharType="end"/>
      </w:r>
      <w:r w:rsidR="00A617D9">
        <w:rPr>
          <w:lang w:val="en-AU"/>
        </w:rPr>
        <w:t>a).</w:t>
      </w:r>
    </w:p>
    <w:p w14:paraId="5AD45EC6" w14:textId="77777777" w:rsidR="00C51EEB" w:rsidRDefault="00CA6877" w:rsidP="00B53089">
      <w:r>
        <w:t xml:space="preserve">The two most damaging disturbance types, in terms of loss of coral cover, over the period of monitoring were </w:t>
      </w:r>
      <w:r w:rsidR="006A68C4">
        <w:t xml:space="preserve">predation of corals by </w:t>
      </w:r>
      <w:r w:rsidR="00B53089" w:rsidRPr="00701342">
        <w:t xml:space="preserve">COTS </w:t>
      </w:r>
      <w:r w:rsidR="006A68C4">
        <w:t xml:space="preserve">and </w:t>
      </w:r>
      <w:r w:rsidR="003032B3">
        <w:t xml:space="preserve">damage occurring during </w:t>
      </w:r>
      <w:r>
        <w:t xml:space="preserve">tropical cyclones </w:t>
      </w:r>
      <w:r w:rsidR="003032B3">
        <w:t xml:space="preserve">and </w:t>
      </w:r>
      <w:r>
        <w:t xml:space="preserve">storms </w:t>
      </w:r>
      <w:r w:rsidR="003032B3">
        <w:t>that have accounted for 47</w:t>
      </w:r>
      <w:r>
        <w:t xml:space="preserve">% </w:t>
      </w:r>
      <w:r w:rsidR="003032B3">
        <w:t xml:space="preserve">and 35% </w:t>
      </w:r>
      <w:r>
        <w:t>of the hard coral cover losses</w:t>
      </w:r>
      <w:r w:rsidR="003032B3">
        <w:t xml:space="preserve"> since 2005 (</w:t>
      </w:r>
      <w:r w:rsidR="00A617D9">
        <w:fldChar w:fldCharType="begin"/>
      </w:r>
      <w:r w:rsidR="00A617D9">
        <w:instrText xml:space="preserve"> REF _Ref491178261 \h </w:instrText>
      </w:r>
      <w:r w:rsidR="00A617D9">
        <w:fldChar w:fldCharType="separate"/>
      </w:r>
      <w:r w:rsidR="00D806F2">
        <w:t xml:space="preserve">Figure </w:t>
      </w:r>
      <w:r w:rsidR="00D806F2">
        <w:rPr>
          <w:noProof/>
        </w:rPr>
        <w:t>12</w:t>
      </w:r>
      <w:r w:rsidR="00A617D9">
        <w:fldChar w:fldCharType="end"/>
      </w:r>
      <w:r w:rsidR="00A617D9">
        <w:t>e</w:t>
      </w:r>
      <w:r w:rsidR="003032B3">
        <w:t>)</w:t>
      </w:r>
      <w:r>
        <w:t xml:space="preserve">. </w:t>
      </w:r>
    </w:p>
    <w:p w14:paraId="15DC2317" w14:textId="3EF2228B" w:rsidR="00BA3C73" w:rsidRDefault="003032B3" w:rsidP="00B53089">
      <w:r>
        <w:t>A</w:t>
      </w:r>
      <w:r w:rsidR="00B53089" w:rsidRPr="00701342">
        <w:t>t Snapper Island low densities of COTS were observed</w:t>
      </w:r>
      <w:r w:rsidR="00C51EEB">
        <w:t xml:space="preserve"> in</w:t>
      </w:r>
      <w:r w:rsidR="00B53089" w:rsidRPr="00701342">
        <w:t xml:space="preserve"> 2012</w:t>
      </w:r>
      <w:r w:rsidR="00B53089">
        <w:t>,</w:t>
      </w:r>
      <w:r w:rsidR="00B53089" w:rsidRPr="00701342">
        <w:t xml:space="preserve"> </w:t>
      </w:r>
      <w:r w:rsidR="00B53089">
        <w:t>p</w:t>
      </w:r>
      <w:r w:rsidR="00B53089" w:rsidRPr="00701342">
        <w:t>re-empt</w:t>
      </w:r>
      <w:r w:rsidR="00B53089">
        <w:t>ing</w:t>
      </w:r>
      <w:r w:rsidR="00B53089" w:rsidRPr="00701342">
        <w:t xml:space="preserve"> an outbreak in 2013 when densities reached 288 and 613 individuals per hectare at Snapper North and Snapper South respectively. This outbreak re</w:t>
      </w:r>
      <w:r w:rsidR="00B53089">
        <w:t xml:space="preserve">moved </w:t>
      </w:r>
      <w:r w:rsidR="00B53089" w:rsidRPr="00701342">
        <w:t xml:space="preserve">between 66% </w:t>
      </w:r>
      <w:r w:rsidR="00B53089">
        <w:t>(</w:t>
      </w:r>
      <w:r w:rsidR="00B53089" w:rsidRPr="00701342">
        <w:t>Snapper North</w:t>
      </w:r>
      <w:r w:rsidR="00B53089">
        <w:t xml:space="preserve"> </w:t>
      </w:r>
      <w:r w:rsidR="00C51EEB">
        <w:t>–</w:t>
      </w:r>
      <w:r w:rsidR="00B53089">
        <w:t xml:space="preserve"> </w:t>
      </w:r>
      <w:r w:rsidR="00B53089" w:rsidRPr="00701342">
        <w:t>5</w:t>
      </w:r>
      <w:r w:rsidR="00C51EEB">
        <w:t xml:space="preserve"> </w:t>
      </w:r>
      <w:r w:rsidR="00B53089" w:rsidRPr="00701342">
        <w:t xml:space="preserve">m depth) </w:t>
      </w:r>
      <w:r w:rsidR="00B53089">
        <w:t xml:space="preserve">and </w:t>
      </w:r>
      <w:r w:rsidR="00B53089" w:rsidRPr="00701342">
        <w:t xml:space="preserve">17% </w:t>
      </w:r>
      <w:r w:rsidR="00B53089">
        <w:t>(</w:t>
      </w:r>
      <w:r w:rsidR="00B53089" w:rsidRPr="00701342">
        <w:t>Snapper S</w:t>
      </w:r>
      <w:r w:rsidR="00B53089">
        <w:t xml:space="preserve">outh </w:t>
      </w:r>
      <w:r w:rsidR="00C51EEB">
        <w:t>–</w:t>
      </w:r>
      <w:r w:rsidR="00B53089">
        <w:t xml:space="preserve"> 5</w:t>
      </w:r>
      <w:r w:rsidR="00C51EEB">
        <w:t xml:space="preserve"> </w:t>
      </w:r>
      <w:r w:rsidR="00B53089">
        <w:t>m depth</w:t>
      </w:r>
      <w:r w:rsidR="00B53089" w:rsidRPr="00701342">
        <w:t>)</w:t>
      </w:r>
      <w:r w:rsidR="00B53089">
        <w:t xml:space="preserve"> of the coral cover with the main losses occurring within the </w:t>
      </w:r>
      <w:r w:rsidR="00B53089" w:rsidRPr="00701342">
        <w:t xml:space="preserve">family Acroporidae </w:t>
      </w:r>
      <w:r w:rsidR="00B53089" w:rsidRPr="00BE20D6">
        <w:rPr>
          <w:rFonts w:cs="Arial"/>
          <w:szCs w:val="22"/>
        </w:rPr>
        <w:t>(</w:t>
      </w:r>
      <w:r w:rsidR="00C51EEB" w:rsidRPr="00BE20D6">
        <w:rPr>
          <w:rFonts w:cs="Arial"/>
          <w:szCs w:val="22"/>
        </w:rPr>
        <w:fldChar w:fldCharType="begin"/>
      </w:r>
      <w:r w:rsidR="00C51EEB" w:rsidRPr="00BE20D6">
        <w:rPr>
          <w:rFonts w:cs="Arial"/>
          <w:szCs w:val="22"/>
        </w:rPr>
        <w:instrText xml:space="preserve"> REF _Ref491178994 \h </w:instrText>
      </w:r>
      <w:r w:rsidR="00671DC7" w:rsidRPr="00BE20D6">
        <w:rPr>
          <w:rFonts w:cs="Arial"/>
          <w:szCs w:val="22"/>
        </w:rPr>
        <w:instrText xml:space="preserve"> \* MERGEFORMAT </w:instrText>
      </w:r>
      <w:r w:rsidR="00C51EEB" w:rsidRPr="00BE20D6">
        <w:rPr>
          <w:rFonts w:cs="Arial"/>
          <w:szCs w:val="22"/>
        </w:rPr>
      </w:r>
      <w:r w:rsidR="00C51EEB" w:rsidRPr="00BE20D6">
        <w:rPr>
          <w:rFonts w:cs="Arial"/>
          <w:szCs w:val="22"/>
        </w:rPr>
        <w:fldChar w:fldCharType="separate"/>
      </w:r>
      <w:r w:rsidR="00D806F2">
        <w:t xml:space="preserve">Table A1. </w:t>
      </w:r>
      <w:r w:rsidR="00D806F2">
        <w:rPr>
          <w:noProof/>
        </w:rPr>
        <w:t>4</w:t>
      </w:r>
      <w:r w:rsidR="00C51EEB" w:rsidRPr="00BE20D6">
        <w:rPr>
          <w:rFonts w:cs="Arial"/>
          <w:szCs w:val="22"/>
        </w:rPr>
        <w:fldChar w:fldCharType="end"/>
      </w:r>
      <w:r w:rsidR="00B53089" w:rsidRPr="00BE20D6">
        <w:t>,</w:t>
      </w:r>
      <w:r w:rsidR="00BE20D6" w:rsidRPr="00BE20D6">
        <w:t xml:space="preserve"> </w:t>
      </w:r>
      <w:r w:rsidR="00BE20D6" w:rsidRPr="00BE20D6">
        <w:fldChar w:fldCharType="begin"/>
      </w:r>
      <w:r w:rsidR="00BE20D6" w:rsidRPr="00BE20D6">
        <w:instrText xml:space="preserve"> REF _Ref492389865 \h </w:instrText>
      </w:r>
      <w:r w:rsidR="00BE20D6">
        <w:instrText xml:space="preserve"> \* MERGEFORMAT </w:instrText>
      </w:r>
      <w:r w:rsidR="00BE20D6" w:rsidRPr="00BE20D6">
        <w:fldChar w:fldCharType="separate"/>
      </w:r>
      <w:r w:rsidR="00D806F2">
        <w:t xml:space="preserve">Figure A1. </w:t>
      </w:r>
      <w:r w:rsidR="00D806F2">
        <w:rPr>
          <w:noProof/>
        </w:rPr>
        <w:t>1</w:t>
      </w:r>
      <w:r w:rsidR="00BE20D6" w:rsidRPr="00BE20D6">
        <w:fldChar w:fldCharType="end"/>
      </w:r>
      <w:r w:rsidR="00B53089" w:rsidRPr="00BE20D6">
        <w:t>). By 2014</w:t>
      </w:r>
      <w:r w:rsidR="00C51EEB" w:rsidRPr="00BE20D6">
        <w:t>,</w:t>
      </w:r>
      <w:r w:rsidR="00B53089" w:rsidRPr="00BE20D6">
        <w:t xml:space="preserve"> COTS numbers had substantially declined with no individuals recorded at Snapper North and densities reduced to 63 per hectare at Snapper South. In 2015 and 2016 no COTS were observed at Snapper Island.</w:t>
      </w:r>
      <w:r w:rsidR="00E75F5C">
        <w:t xml:space="preserve"> </w:t>
      </w:r>
      <w:r w:rsidRPr="00BE20D6">
        <w:t xml:space="preserve">Low Isles </w:t>
      </w:r>
      <w:r w:rsidR="00C51EEB" w:rsidRPr="00BE20D6">
        <w:t xml:space="preserve">also </w:t>
      </w:r>
      <w:r w:rsidRPr="00BE20D6">
        <w:t xml:space="preserve">has a history of COTS outbreaks </w:t>
      </w:r>
      <w:r w:rsidR="00B03EE6">
        <w:t xml:space="preserve">that were the likely cause of the 52% of hard coral cover loss over the </w:t>
      </w:r>
      <w:r w:rsidRPr="00BE20D6">
        <w:t>period 1997-1999</w:t>
      </w:r>
      <w:r w:rsidR="00B03EE6">
        <w:t>. M</w:t>
      </w:r>
      <w:r w:rsidRPr="00BE20D6">
        <w:t>ore recently</w:t>
      </w:r>
      <w:r w:rsidR="00B03EE6">
        <w:t>,</w:t>
      </w:r>
      <w:r w:rsidRPr="00BE20D6">
        <w:t xml:space="preserve"> COTS </w:t>
      </w:r>
      <w:r w:rsidR="00252717" w:rsidRPr="00BE20D6">
        <w:t xml:space="preserve">were observed in 2013 and 2015 </w:t>
      </w:r>
      <w:r w:rsidR="00B03EE6">
        <w:t xml:space="preserve">assumed to have caused a </w:t>
      </w:r>
      <w:r w:rsidR="00252717" w:rsidRPr="00BE20D6">
        <w:t xml:space="preserve">38% loss of hard corals </w:t>
      </w:r>
      <w:r w:rsidRPr="00BE20D6">
        <w:rPr>
          <w:rFonts w:cs="Arial"/>
          <w:szCs w:val="22"/>
        </w:rPr>
        <w:t>(</w:t>
      </w:r>
      <w:r w:rsidR="00C51EEB" w:rsidRPr="00BE20D6">
        <w:rPr>
          <w:rFonts w:cs="Arial"/>
          <w:szCs w:val="22"/>
        </w:rPr>
        <w:fldChar w:fldCharType="begin"/>
      </w:r>
      <w:r w:rsidR="00C51EEB" w:rsidRPr="00BE20D6">
        <w:rPr>
          <w:rFonts w:cs="Arial"/>
          <w:szCs w:val="22"/>
        </w:rPr>
        <w:instrText xml:space="preserve"> REF _Ref491178994 \h </w:instrText>
      </w:r>
      <w:r w:rsidR="00671DC7" w:rsidRPr="00BE20D6">
        <w:rPr>
          <w:rFonts w:cs="Arial"/>
          <w:szCs w:val="22"/>
        </w:rPr>
        <w:instrText xml:space="preserve"> \* MERGEFORMAT </w:instrText>
      </w:r>
      <w:r w:rsidR="00C51EEB" w:rsidRPr="00BE20D6">
        <w:rPr>
          <w:rFonts w:cs="Arial"/>
          <w:szCs w:val="22"/>
        </w:rPr>
      </w:r>
      <w:r w:rsidR="00C51EEB" w:rsidRPr="00BE20D6">
        <w:rPr>
          <w:rFonts w:cs="Arial"/>
          <w:szCs w:val="22"/>
        </w:rPr>
        <w:fldChar w:fldCharType="separate"/>
      </w:r>
      <w:r w:rsidR="00D806F2">
        <w:t xml:space="preserve">Table A1. </w:t>
      </w:r>
      <w:r w:rsidR="00D806F2">
        <w:rPr>
          <w:noProof/>
        </w:rPr>
        <w:t>4</w:t>
      </w:r>
      <w:r w:rsidR="00C51EEB" w:rsidRPr="00BE20D6">
        <w:rPr>
          <w:rFonts w:cs="Arial"/>
          <w:szCs w:val="22"/>
        </w:rPr>
        <w:fldChar w:fldCharType="end"/>
      </w:r>
      <w:r w:rsidR="00BE20D6">
        <w:rPr>
          <w:rFonts w:cs="Arial"/>
          <w:szCs w:val="22"/>
        </w:rPr>
        <w:t xml:space="preserve">, </w:t>
      </w:r>
      <w:r w:rsidR="00BE20D6">
        <w:rPr>
          <w:rFonts w:cs="Arial"/>
          <w:szCs w:val="22"/>
          <w:highlight w:val="yellow"/>
        </w:rPr>
        <w:fldChar w:fldCharType="begin"/>
      </w:r>
      <w:r w:rsidR="00BE20D6">
        <w:rPr>
          <w:rFonts w:cs="Arial"/>
          <w:szCs w:val="22"/>
        </w:rPr>
        <w:instrText xml:space="preserve"> REF _Ref492389865 \h </w:instrText>
      </w:r>
      <w:r w:rsidR="00BE20D6">
        <w:rPr>
          <w:rFonts w:cs="Arial"/>
          <w:szCs w:val="22"/>
          <w:highlight w:val="yellow"/>
        </w:rPr>
      </w:r>
      <w:r w:rsidR="00BE20D6">
        <w:rPr>
          <w:rFonts w:cs="Arial"/>
          <w:szCs w:val="22"/>
          <w:highlight w:val="yellow"/>
        </w:rPr>
        <w:fldChar w:fldCharType="separate"/>
      </w:r>
      <w:r w:rsidR="00D806F2">
        <w:t xml:space="preserve">Figure A1. </w:t>
      </w:r>
      <w:r w:rsidR="00D806F2">
        <w:rPr>
          <w:noProof/>
        </w:rPr>
        <w:t>1</w:t>
      </w:r>
      <w:r w:rsidR="00BE20D6">
        <w:rPr>
          <w:rFonts w:cs="Arial"/>
          <w:szCs w:val="22"/>
          <w:highlight w:val="yellow"/>
        </w:rPr>
        <w:fldChar w:fldCharType="end"/>
      </w:r>
      <w:r>
        <w:t xml:space="preserve">). </w:t>
      </w:r>
      <w:r w:rsidR="003066B1">
        <w:t>Limiting the impact of the most recent COTS outbreaks were population control efforts</w:t>
      </w:r>
      <w:r w:rsidR="003066B1">
        <w:rPr>
          <w:rStyle w:val="FootnoteReference"/>
        </w:rPr>
        <w:footnoteReference w:id="5"/>
      </w:r>
      <w:r w:rsidR="003066B1">
        <w:t xml:space="preserve"> that removed 135 (Snapper Island) </w:t>
      </w:r>
      <w:r w:rsidR="00B03EE6">
        <w:t>and 846 (Low Isles) starfish from</w:t>
      </w:r>
      <w:r w:rsidR="003066B1">
        <w:t xml:space="preserve"> reefs prior to surveys in 2016. </w:t>
      </w:r>
      <w:r w:rsidR="00B53089" w:rsidRPr="000A11FE">
        <w:t>Physical impacts to these reefs were recorded following a severe storm in 2009 and</w:t>
      </w:r>
      <w:r w:rsidR="001709A5">
        <w:t>,</w:t>
      </w:r>
      <w:r w:rsidR="00B53089" w:rsidRPr="000A11FE">
        <w:t xml:space="preserve"> most significantly</w:t>
      </w:r>
      <w:r w:rsidR="00B53089">
        <w:t>,</w:t>
      </w:r>
      <w:r w:rsidR="00B53089" w:rsidRPr="000A11FE">
        <w:t xml:space="preserve"> Cyclone Ita in 2014 </w:t>
      </w:r>
      <w:r w:rsidR="00B53089">
        <w:t xml:space="preserve">that removed 70% of the hard </w:t>
      </w:r>
      <w:r w:rsidR="00B53089" w:rsidRPr="000A11FE">
        <w:t xml:space="preserve">coral cover </w:t>
      </w:r>
      <w:r w:rsidR="00B53089">
        <w:t xml:space="preserve">and almost eliminated soft corals form </w:t>
      </w:r>
      <w:r w:rsidR="00B53089" w:rsidRPr="000A11FE">
        <w:t>Snapper North</w:t>
      </w:r>
      <w:r w:rsidR="00C51EEB">
        <w:t xml:space="preserve"> </w:t>
      </w:r>
      <w:r w:rsidR="00C51EEB" w:rsidRPr="00BE20D6">
        <w:t>(</w:t>
      </w:r>
      <w:r w:rsidR="00C51EEB" w:rsidRPr="00BE20D6">
        <w:fldChar w:fldCharType="begin"/>
      </w:r>
      <w:r w:rsidR="00C51EEB" w:rsidRPr="00BE20D6">
        <w:instrText xml:space="preserve"> REF _Ref491178994 \h </w:instrText>
      </w:r>
      <w:r w:rsidR="00671DC7" w:rsidRPr="00BE20D6">
        <w:instrText xml:space="preserve"> \* MERGEFORMAT </w:instrText>
      </w:r>
      <w:r w:rsidR="00C51EEB" w:rsidRPr="00BE20D6">
        <w:fldChar w:fldCharType="separate"/>
      </w:r>
      <w:r w:rsidR="00D806F2">
        <w:t xml:space="preserve">Table A1. </w:t>
      </w:r>
      <w:r w:rsidR="00D806F2">
        <w:rPr>
          <w:noProof/>
        </w:rPr>
        <w:t>4</w:t>
      </w:r>
      <w:r w:rsidR="00C51EEB" w:rsidRPr="00BE20D6">
        <w:fldChar w:fldCharType="end"/>
      </w:r>
      <w:r w:rsidR="00BE20D6">
        <w:t xml:space="preserve">, </w:t>
      </w:r>
      <w:r w:rsidR="00BE20D6">
        <w:fldChar w:fldCharType="begin"/>
      </w:r>
      <w:r w:rsidR="00BE20D6">
        <w:instrText xml:space="preserve"> REF _Ref492389865 \h </w:instrText>
      </w:r>
      <w:r w:rsidR="00BE20D6">
        <w:fldChar w:fldCharType="separate"/>
      </w:r>
      <w:r w:rsidR="00D806F2">
        <w:t xml:space="preserve">Figure A1. </w:t>
      </w:r>
      <w:r w:rsidR="00D806F2">
        <w:rPr>
          <w:noProof/>
        </w:rPr>
        <w:t>1</w:t>
      </w:r>
      <w:r w:rsidR="00BE20D6">
        <w:fldChar w:fldCharType="end"/>
      </w:r>
      <w:r w:rsidR="00C51EEB">
        <w:t>)</w:t>
      </w:r>
      <w:r w:rsidR="00B53089">
        <w:t>. Damage was less severe at Snapper South</w:t>
      </w:r>
      <w:r w:rsidR="001709A5">
        <w:t>,</w:t>
      </w:r>
      <w:r w:rsidR="00B53089">
        <w:t xml:space="preserve"> though both 2</w:t>
      </w:r>
      <w:r w:rsidR="00252717">
        <w:t xml:space="preserve"> </w:t>
      </w:r>
      <w:r w:rsidR="00B53089">
        <w:t>m and 5</w:t>
      </w:r>
      <w:r w:rsidR="00252717">
        <w:t xml:space="preserve"> </w:t>
      </w:r>
      <w:r w:rsidR="00B53089">
        <w:t>m depths lost a substantial amount of coral</w:t>
      </w:r>
      <w:r w:rsidR="00B53089" w:rsidRPr="000A11FE">
        <w:t xml:space="preserve"> (</w:t>
      </w:r>
      <w:r w:rsidR="00C51EEB" w:rsidRPr="00BE20D6">
        <w:fldChar w:fldCharType="begin"/>
      </w:r>
      <w:r w:rsidR="00C51EEB" w:rsidRPr="00BE20D6">
        <w:instrText xml:space="preserve"> REF _Ref491178994 \h </w:instrText>
      </w:r>
      <w:r w:rsidR="00671DC7" w:rsidRPr="00BE20D6">
        <w:instrText xml:space="preserve"> \* MERGEFORMAT </w:instrText>
      </w:r>
      <w:r w:rsidR="00C51EEB" w:rsidRPr="00BE20D6">
        <w:fldChar w:fldCharType="separate"/>
      </w:r>
      <w:r w:rsidR="00D806F2">
        <w:t xml:space="preserve">Table A1. </w:t>
      </w:r>
      <w:r w:rsidR="00D806F2">
        <w:rPr>
          <w:noProof/>
        </w:rPr>
        <w:t>4</w:t>
      </w:r>
      <w:r w:rsidR="00C51EEB" w:rsidRPr="00BE20D6">
        <w:fldChar w:fldCharType="end"/>
      </w:r>
      <w:r w:rsidR="00C51EEB" w:rsidRPr="00BE20D6">
        <w:t>,</w:t>
      </w:r>
      <w:r w:rsidR="00BE20D6" w:rsidRPr="00BE20D6">
        <w:t xml:space="preserve"> </w:t>
      </w:r>
      <w:r w:rsidR="00BE20D6">
        <w:rPr>
          <w:highlight w:val="yellow"/>
        </w:rPr>
        <w:fldChar w:fldCharType="begin"/>
      </w:r>
      <w:r w:rsidR="00BE20D6">
        <w:rPr>
          <w:highlight w:val="yellow"/>
        </w:rPr>
        <w:instrText xml:space="preserve"> REF _Ref492389865 \h </w:instrText>
      </w:r>
      <w:r w:rsidR="00BE20D6">
        <w:rPr>
          <w:highlight w:val="yellow"/>
        </w:rPr>
      </w:r>
      <w:r w:rsidR="00BE20D6">
        <w:rPr>
          <w:highlight w:val="yellow"/>
        </w:rPr>
        <w:fldChar w:fldCharType="separate"/>
      </w:r>
      <w:r w:rsidR="00D806F2">
        <w:t xml:space="preserve">Figure A1. </w:t>
      </w:r>
      <w:r w:rsidR="00D806F2">
        <w:rPr>
          <w:noProof/>
        </w:rPr>
        <w:t>1</w:t>
      </w:r>
      <w:r w:rsidR="00BE20D6">
        <w:rPr>
          <w:highlight w:val="yellow"/>
        </w:rPr>
        <w:fldChar w:fldCharType="end"/>
      </w:r>
      <w:r w:rsidR="00C51EEB" w:rsidRPr="00BE20D6">
        <w:rPr>
          <w:rFonts w:cs="Arial"/>
          <w:szCs w:val="22"/>
        </w:rPr>
        <w:t>).</w:t>
      </w:r>
      <w:r w:rsidR="00B53089" w:rsidRPr="000A11FE">
        <w:t xml:space="preserve"> </w:t>
      </w:r>
    </w:p>
    <w:p w14:paraId="6A5708D8" w14:textId="77777777" w:rsidR="001709A5" w:rsidRDefault="00BA3C73" w:rsidP="00BA3C73">
      <w:r>
        <w:t>Despite variability in discharge (</w:t>
      </w:r>
      <w:r>
        <w:fldChar w:fldCharType="begin"/>
      </w:r>
      <w:r>
        <w:instrText xml:space="preserve"> REF _Ref491178261 \h </w:instrText>
      </w:r>
      <w:r>
        <w:fldChar w:fldCharType="separate"/>
      </w:r>
      <w:r w:rsidR="00D806F2">
        <w:t xml:space="preserve">Figure </w:t>
      </w:r>
      <w:r w:rsidR="00D806F2">
        <w:rPr>
          <w:noProof/>
        </w:rPr>
        <w:t>12</w:t>
      </w:r>
      <w:r>
        <w:fldChar w:fldCharType="end"/>
      </w:r>
      <w:r>
        <w:t>d)</w:t>
      </w:r>
      <w:r w:rsidR="001709A5">
        <w:t>,</w:t>
      </w:r>
      <w:r>
        <w:t xml:space="preserve"> and associated loads of nutrients and sediments </w:t>
      </w:r>
      <w:r w:rsidR="001709A5">
        <w:t xml:space="preserve">delivered </w:t>
      </w:r>
      <w:r>
        <w:t xml:space="preserve">from adjacent catchments (Waterhouse </w:t>
      </w:r>
      <w:r w:rsidRPr="00C51EEB">
        <w:rPr>
          <w:i/>
        </w:rPr>
        <w:t>et al.</w:t>
      </w:r>
      <w:r>
        <w:t xml:space="preserve"> 2017)</w:t>
      </w:r>
      <w:r w:rsidR="001709A5">
        <w:t>,</w:t>
      </w:r>
      <w:r>
        <w:t xml:space="preserve"> there have been no clear trends in regional </w:t>
      </w:r>
      <w:r w:rsidR="001709A5">
        <w:t xml:space="preserve">water </w:t>
      </w:r>
      <w:r>
        <w:t>quality in the Barron Daintree sub-region (</w:t>
      </w:r>
      <w:r>
        <w:fldChar w:fldCharType="begin"/>
      </w:r>
      <w:r>
        <w:instrText xml:space="preserve"> REF _Ref491178290 \h </w:instrText>
      </w:r>
      <w:r>
        <w:fldChar w:fldCharType="separate"/>
      </w:r>
      <w:r w:rsidR="00D806F2">
        <w:t xml:space="preserve">Figure </w:t>
      </w:r>
      <w:r w:rsidR="00D806F2">
        <w:rPr>
          <w:noProof/>
        </w:rPr>
        <w:t>13</w:t>
      </w:r>
      <w:r>
        <w:fldChar w:fldCharType="end"/>
      </w:r>
      <w:r>
        <w:t xml:space="preserve">g, h, </w:t>
      </w:r>
      <w:r>
        <w:fldChar w:fldCharType="begin"/>
      </w:r>
      <w:r>
        <w:instrText xml:space="preserve"> REF _Ref491179424 \h </w:instrText>
      </w:r>
      <w:r>
        <w:fldChar w:fldCharType="separate"/>
      </w:r>
      <w:r w:rsidR="00D806F2">
        <w:t xml:space="preserve">Figure A1. </w:t>
      </w:r>
      <w:r w:rsidR="00D806F2">
        <w:rPr>
          <w:noProof/>
        </w:rPr>
        <w:t>9</w:t>
      </w:r>
      <w:r>
        <w:fldChar w:fldCharType="end"/>
      </w:r>
      <w:r>
        <w:t xml:space="preserve">). </w:t>
      </w:r>
    </w:p>
    <w:p w14:paraId="20F4B78A" w14:textId="5616B260" w:rsidR="00BA3C73" w:rsidRDefault="00BA3C73" w:rsidP="00BA3C73">
      <w:pPr>
        <w:rPr>
          <w:color w:val="000000" w:themeColor="text1"/>
        </w:rPr>
      </w:pPr>
      <w:r w:rsidRPr="00D254B7">
        <w:rPr>
          <w:color w:val="000000" w:themeColor="text1"/>
        </w:rPr>
        <w:t>Consistent with only minor summer temperature anomalies at Snapper Island</w:t>
      </w:r>
      <w:r>
        <w:rPr>
          <w:color w:val="000000" w:themeColor="text1"/>
        </w:rPr>
        <w:t xml:space="preserve"> (</w:t>
      </w:r>
      <w:r>
        <w:rPr>
          <w:color w:val="000000" w:themeColor="text1"/>
        </w:rPr>
        <w:fldChar w:fldCharType="begin"/>
      </w:r>
      <w:r>
        <w:rPr>
          <w:color w:val="000000" w:themeColor="text1"/>
        </w:rPr>
        <w:instrText xml:space="preserve"> REF _Ref491178261 \h </w:instrText>
      </w:r>
      <w:r>
        <w:rPr>
          <w:color w:val="000000" w:themeColor="text1"/>
        </w:rPr>
      </w:r>
      <w:r>
        <w:rPr>
          <w:color w:val="000000" w:themeColor="text1"/>
        </w:rPr>
        <w:fldChar w:fldCharType="separate"/>
      </w:r>
      <w:r w:rsidR="00D806F2">
        <w:t xml:space="preserve">Figure </w:t>
      </w:r>
      <w:r w:rsidR="00D806F2">
        <w:rPr>
          <w:noProof/>
        </w:rPr>
        <w:t>12</w:t>
      </w:r>
      <w:r>
        <w:rPr>
          <w:color w:val="000000" w:themeColor="text1"/>
        </w:rPr>
        <w:fldChar w:fldCharType="end"/>
      </w:r>
      <w:r>
        <w:rPr>
          <w:color w:val="000000" w:themeColor="text1"/>
        </w:rPr>
        <w:t>c),</w:t>
      </w:r>
      <w:r w:rsidRPr="00D254B7">
        <w:rPr>
          <w:color w:val="000000" w:themeColor="text1"/>
        </w:rPr>
        <w:t xml:space="preserve"> the severe impact of coral bleaching </w:t>
      </w:r>
      <w:r>
        <w:rPr>
          <w:color w:val="000000" w:themeColor="text1"/>
        </w:rPr>
        <w:t xml:space="preserve">over the summer of 2015/16 observed on the northern Reef </w:t>
      </w:r>
      <w:r w:rsidRPr="00D254B7">
        <w:rPr>
          <w:color w:val="000000" w:themeColor="text1"/>
        </w:rPr>
        <w:t>(</w:t>
      </w:r>
      <w:r>
        <w:rPr>
          <w:color w:val="000000" w:themeColor="text1"/>
        </w:rPr>
        <w:t>section 7</w:t>
      </w:r>
      <w:r w:rsidRPr="00D254B7">
        <w:rPr>
          <w:color w:val="000000" w:themeColor="text1"/>
        </w:rPr>
        <w:t>) were avoided</w:t>
      </w:r>
      <w:r>
        <w:rPr>
          <w:color w:val="000000" w:themeColor="text1"/>
        </w:rPr>
        <w:t xml:space="preserve"> in this sub-region</w:t>
      </w:r>
      <w:r w:rsidRPr="00D254B7">
        <w:rPr>
          <w:color w:val="000000" w:themeColor="text1"/>
        </w:rPr>
        <w:t>. Bleaching was</w:t>
      </w:r>
      <w:r>
        <w:rPr>
          <w:color w:val="000000" w:themeColor="text1"/>
        </w:rPr>
        <w:t xml:space="preserve"> limited to individual colonies</w:t>
      </w:r>
      <w:r w:rsidRPr="00D254B7">
        <w:rPr>
          <w:color w:val="000000" w:themeColor="text1"/>
        </w:rPr>
        <w:t xml:space="preserve"> during surveys in 2016 </w:t>
      </w:r>
      <w:r>
        <w:rPr>
          <w:color w:val="000000" w:themeColor="text1"/>
        </w:rPr>
        <w:t>(</w:t>
      </w:r>
      <w:r>
        <w:rPr>
          <w:color w:val="000000" w:themeColor="text1"/>
        </w:rPr>
        <w:fldChar w:fldCharType="begin"/>
      </w:r>
      <w:r>
        <w:rPr>
          <w:color w:val="000000" w:themeColor="text1"/>
        </w:rPr>
        <w:instrText xml:space="preserve"> REF _Ref491174236 \h </w:instrText>
      </w:r>
      <w:r>
        <w:rPr>
          <w:color w:val="000000" w:themeColor="text1"/>
        </w:rPr>
      </w:r>
      <w:r>
        <w:rPr>
          <w:color w:val="000000" w:themeColor="text1"/>
        </w:rPr>
        <w:fldChar w:fldCharType="separate"/>
      </w:r>
      <w:r w:rsidR="00D806F2">
        <w:t xml:space="preserve">Table </w:t>
      </w:r>
      <w:r w:rsidR="00D806F2">
        <w:rPr>
          <w:noProof/>
        </w:rPr>
        <w:t>19</w:t>
      </w:r>
      <w:r>
        <w:rPr>
          <w:color w:val="000000" w:themeColor="text1"/>
        </w:rPr>
        <w:fldChar w:fldCharType="end"/>
      </w:r>
      <w:r w:rsidRPr="00D254B7">
        <w:rPr>
          <w:color w:val="000000" w:themeColor="text1"/>
        </w:rPr>
        <w:t>)</w:t>
      </w:r>
      <w:r w:rsidR="001709A5">
        <w:rPr>
          <w:color w:val="000000" w:themeColor="text1"/>
        </w:rPr>
        <w:t>, although these were conducted well after the late summer peak in likely bleaching response</w:t>
      </w:r>
      <w:r w:rsidRPr="00D254B7">
        <w:rPr>
          <w:color w:val="000000" w:themeColor="text1"/>
        </w:rPr>
        <w:t xml:space="preserve">. </w:t>
      </w:r>
      <w:r>
        <w:rPr>
          <w:color w:val="000000" w:themeColor="text1"/>
        </w:rPr>
        <w:t>While acute impacts of thermal stress were not observed</w:t>
      </w:r>
      <w:r w:rsidR="001709A5">
        <w:rPr>
          <w:color w:val="000000" w:themeColor="text1"/>
        </w:rPr>
        <w:t>,</w:t>
      </w:r>
      <w:r>
        <w:rPr>
          <w:color w:val="000000" w:themeColor="text1"/>
        </w:rPr>
        <w:t xml:space="preserve"> it remains possible that </w:t>
      </w:r>
      <w:r w:rsidRPr="00D254B7">
        <w:rPr>
          <w:color w:val="000000" w:themeColor="text1"/>
        </w:rPr>
        <w:t xml:space="preserve">the sustained warmth </w:t>
      </w:r>
      <w:r>
        <w:rPr>
          <w:color w:val="000000" w:themeColor="text1"/>
        </w:rPr>
        <w:t xml:space="preserve">through </w:t>
      </w:r>
      <w:r w:rsidRPr="00D254B7">
        <w:rPr>
          <w:color w:val="000000" w:themeColor="text1"/>
        </w:rPr>
        <w:t xml:space="preserve">autumn </w:t>
      </w:r>
      <w:r>
        <w:rPr>
          <w:color w:val="000000" w:themeColor="text1"/>
        </w:rPr>
        <w:t xml:space="preserve">2016 </w:t>
      </w:r>
      <w:r w:rsidRPr="00D254B7">
        <w:rPr>
          <w:color w:val="000000" w:themeColor="text1"/>
        </w:rPr>
        <w:t>(</w:t>
      </w:r>
      <w:r>
        <w:rPr>
          <w:color w:val="000000" w:themeColor="text1"/>
        </w:rPr>
        <w:fldChar w:fldCharType="begin"/>
      </w:r>
      <w:r>
        <w:rPr>
          <w:color w:val="000000" w:themeColor="text1"/>
        </w:rPr>
        <w:instrText xml:space="preserve"> REF _Ref491178261 \h </w:instrText>
      </w:r>
      <w:r>
        <w:rPr>
          <w:color w:val="000000" w:themeColor="text1"/>
        </w:rPr>
      </w:r>
      <w:r>
        <w:rPr>
          <w:color w:val="000000" w:themeColor="text1"/>
        </w:rPr>
        <w:fldChar w:fldCharType="separate"/>
      </w:r>
      <w:r w:rsidR="00D806F2">
        <w:t xml:space="preserve">Figure </w:t>
      </w:r>
      <w:r w:rsidR="00D806F2">
        <w:rPr>
          <w:noProof/>
        </w:rPr>
        <w:t>12</w:t>
      </w:r>
      <w:r>
        <w:rPr>
          <w:color w:val="000000" w:themeColor="text1"/>
        </w:rPr>
        <w:fldChar w:fldCharType="end"/>
      </w:r>
      <w:r>
        <w:rPr>
          <w:color w:val="000000" w:themeColor="text1"/>
        </w:rPr>
        <w:t>c</w:t>
      </w:r>
      <w:r w:rsidRPr="00D254B7">
        <w:rPr>
          <w:color w:val="000000" w:themeColor="text1"/>
        </w:rPr>
        <w:t>) contributed to the marginal rise in disease (</w:t>
      </w:r>
      <w:r>
        <w:rPr>
          <w:color w:val="000000" w:themeColor="text1"/>
        </w:rPr>
        <w:fldChar w:fldCharType="begin"/>
      </w:r>
      <w:r>
        <w:rPr>
          <w:color w:val="000000" w:themeColor="text1"/>
        </w:rPr>
        <w:instrText xml:space="preserve"> REF _Ref491178664 \h </w:instrText>
      </w:r>
      <w:r>
        <w:rPr>
          <w:color w:val="000000" w:themeColor="text1"/>
        </w:rPr>
      </w:r>
      <w:r>
        <w:rPr>
          <w:color w:val="000000" w:themeColor="text1"/>
        </w:rPr>
        <w:fldChar w:fldCharType="separate"/>
      </w:r>
      <w:r w:rsidR="00D806F2">
        <w:t xml:space="preserve">Figure A1. </w:t>
      </w:r>
      <w:r w:rsidR="00D806F2">
        <w:rPr>
          <w:noProof/>
        </w:rPr>
        <w:t>7</w:t>
      </w:r>
      <w:r>
        <w:rPr>
          <w:color w:val="000000" w:themeColor="text1"/>
        </w:rPr>
        <w:fldChar w:fldCharType="end"/>
      </w:r>
      <w:r w:rsidRPr="00D254B7">
        <w:rPr>
          <w:color w:val="000000" w:themeColor="text1"/>
        </w:rPr>
        <w:t>) and increased proportion of macroalgae (</w:t>
      </w:r>
      <w:r>
        <w:rPr>
          <w:color w:val="000000" w:themeColor="text1"/>
        </w:rPr>
        <w:fldChar w:fldCharType="begin"/>
      </w:r>
      <w:r>
        <w:rPr>
          <w:color w:val="000000" w:themeColor="text1"/>
        </w:rPr>
        <w:instrText xml:space="preserve"> REF _Ref491178290 \h </w:instrText>
      </w:r>
      <w:r>
        <w:rPr>
          <w:color w:val="000000" w:themeColor="text1"/>
        </w:rPr>
      </w:r>
      <w:r>
        <w:rPr>
          <w:color w:val="000000" w:themeColor="text1"/>
        </w:rPr>
        <w:fldChar w:fldCharType="separate"/>
      </w:r>
      <w:r w:rsidR="00D806F2">
        <w:t xml:space="preserve">Figure </w:t>
      </w:r>
      <w:r w:rsidR="00D806F2">
        <w:rPr>
          <w:noProof/>
        </w:rPr>
        <w:t>13</w:t>
      </w:r>
      <w:r>
        <w:rPr>
          <w:color w:val="000000" w:themeColor="text1"/>
        </w:rPr>
        <w:fldChar w:fldCharType="end"/>
      </w:r>
      <w:r>
        <w:rPr>
          <w:color w:val="000000" w:themeColor="text1"/>
        </w:rPr>
        <w:t>c</w:t>
      </w:r>
      <w:r w:rsidRPr="00D254B7">
        <w:rPr>
          <w:color w:val="000000" w:themeColor="text1"/>
        </w:rPr>
        <w:t>).</w:t>
      </w:r>
      <w:r w:rsidR="00E75F5C">
        <w:rPr>
          <w:color w:val="000000" w:themeColor="text1"/>
        </w:rPr>
        <w:t xml:space="preserve"> </w:t>
      </w:r>
      <w:r w:rsidRPr="00D254B7">
        <w:rPr>
          <w:color w:val="000000" w:themeColor="text1"/>
        </w:rPr>
        <w:t xml:space="preserve"> </w:t>
      </w:r>
    </w:p>
    <w:p w14:paraId="7032F78E" w14:textId="393AD471" w:rsidR="003066B1" w:rsidRDefault="003066B1" w:rsidP="00B53089">
      <w:r>
        <w:br w:type="page"/>
      </w:r>
    </w:p>
    <w:p w14:paraId="11EA9041" w14:textId="56F9CACB" w:rsidR="00567382" w:rsidRDefault="00FB40C8" w:rsidP="00567382">
      <w:bookmarkStart w:id="161" w:name="_Ref438119398"/>
      <w:bookmarkStart w:id="162" w:name="_Toc437423849"/>
      <w:bookmarkStart w:id="163" w:name="_Toc437424028"/>
      <w:bookmarkStart w:id="164" w:name="_Toc437424294"/>
      <w:bookmarkStart w:id="165" w:name="_Toc437597628"/>
      <w:r>
        <w:rPr>
          <w:rFonts w:ascii="Gill Sans MT" w:hAnsi="Gill Sans MT"/>
          <w:noProof/>
          <w:sz w:val="28"/>
          <w:lang w:val="en-AU" w:eastAsia="en-AU"/>
        </w:rPr>
        <w:drawing>
          <wp:inline distT="0" distB="0" distL="0" distR="0" wp14:anchorId="47E5AB2E" wp14:editId="4AC40E09">
            <wp:extent cx="6120765" cy="6120765"/>
            <wp:effectExtent l="0" t="0" r="0" b="0"/>
            <wp:docPr id="18" name="Picture 18" descr="A panel of five plots. Plots a and b present maps of sampling locations with the sea areas colour by a, mean Chl concentration and b, mean total suspended solids concentration. Plot c presents daily deviations from seasonal temperature profiles, includes markers for cyclones and annual degree heating estimates for the region. Plot d presents daily discharge from the regions rivers since 2005 along with annual total discharge relative to a 1986-2016 baseline median. Plot e presents the regional loss of coral observed in each year and the identified cause." title="Figure 12 Environmental pressures Barron Daintre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Env_Daintree.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11EA9043" w14:textId="0B97AD09" w:rsidR="006F0445" w:rsidRPr="001C36F4" w:rsidRDefault="001729EF" w:rsidP="006A1DEF">
      <w:pPr>
        <w:pStyle w:val="Caption"/>
        <w:rPr>
          <w:rStyle w:val="IntenseReference"/>
          <w:rFonts w:eastAsia="SimSun"/>
        </w:rPr>
      </w:pPr>
      <w:bookmarkStart w:id="166" w:name="_Ref491178261"/>
      <w:bookmarkStart w:id="167" w:name="_Ref469687738"/>
      <w:bookmarkStart w:id="168" w:name="_Toc491846838"/>
      <w:r>
        <w:t xml:space="preserve">Figure </w:t>
      </w:r>
      <w:r>
        <w:fldChar w:fldCharType="begin"/>
      </w:r>
      <w:r>
        <w:instrText xml:space="preserve"> SEQ Figure \* ARABIC </w:instrText>
      </w:r>
      <w:r>
        <w:fldChar w:fldCharType="separate"/>
      </w:r>
      <w:r w:rsidR="00D806F2">
        <w:rPr>
          <w:noProof/>
        </w:rPr>
        <w:t>12</w:t>
      </w:r>
      <w:r>
        <w:fldChar w:fldCharType="end"/>
      </w:r>
      <w:bookmarkEnd w:id="166"/>
      <w:r>
        <w:t xml:space="preserve"> </w:t>
      </w:r>
      <w:r w:rsidRPr="006C0CBE">
        <w:t xml:space="preserve">Barron Daintree sub-region environmental </w:t>
      </w:r>
      <w:r w:rsidR="00A416E6">
        <w:t>pressures</w:t>
      </w:r>
      <w:r>
        <w:t>.</w:t>
      </w:r>
      <w:bookmarkEnd w:id="161"/>
      <w:bookmarkEnd w:id="162"/>
      <w:bookmarkEnd w:id="163"/>
      <w:bookmarkEnd w:id="164"/>
      <w:bookmarkEnd w:id="165"/>
      <w:bookmarkEnd w:id="167"/>
      <w:r w:rsidRPr="001C36F4">
        <w:rPr>
          <w:rStyle w:val="IntenseReference"/>
          <w:rFonts w:eastAsia="SimSun"/>
        </w:rPr>
        <w:t xml:space="preserve"> </w:t>
      </w:r>
      <w:r w:rsidR="006F0445" w:rsidRPr="001C36F4">
        <w:rPr>
          <w:rStyle w:val="IntenseReference"/>
          <w:rFonts w:eastAsia="SimSun"/>
        </w:rPr>
        <w:t xml:space="preserve">Maps show location of monitoring sites, red symbols MMP, yellow symbols LTMP along with </w:t>
      </w:r>
      <w:r w:rsidR="00330C7D" w:rsidRPr="001C36F4">
        <w:rPr>
          <w:rStyle w:val="IntenseReference"/>
          <w:rFonts w:eastAsia="SimSun"/>
        </w:rPr>
        <w:t>a)</w:t>
      </w:r>
      <w:r w:rsidR="006F0445" w:rsidRPr="001C36F4">
        <w:rPr>
          <w:rStyle w:val="IntenseReference"/>
          <w:rFonts w:eastAsia="SimSun"/>
        </w:rPr>
        <w:t xml:space="preserve"> mean </w:t>
      </w:r>
      <w:r w:rsidR="00663F7B">
        <w:rPr>
          <w:rStyle w:val="IntenseReference"/>
          <w:rFonts w:eastAsia="SimSun"/>
        </w:rPr>
        <w:t>c</w:t>
      </w:r>
      <w:r w:rsidR="006F0445" w:rsidRPr="001C36F4">
        <w:rPr>
          <w:rStyle w:val="IntenseReference"/>
          <w:rFonts w:eastAsia="SimSun"/>
        </w:rPr>
        <w:t xml:space="preserve">hlorophyll </w:t>
      </w:r>
      <w:r w:rsidR="00663F7B" w:rsidRPr="00663F7B">
        <w:rPr>
          <w:rStyle w:val="IntenseReference"/>
          <w:rFonts w:eastAsia="SimSun"/>
          <w:i/>
        </w:rPr>
        <w:t>a</w:t>
      </w:r>
      <w:r w:rsidR="00663F7B">
        <w:rPr>
          <w:rStyle w:val="IntenseReference"/>
          <w:rFonts w:eastAsia="SimSun"/>
        </w:rPr>
        <w:t xml:space="preserve"> </w:t>
      </w:r>
      <w:r w:rsidR="006F0445" w:rsidRPr="001C36F4">
        <w:rPr>
          <w:rStyle w:val="IntenseReference"/>
          <w:rFonts w:eastAsia="SimSun"/>
        </w:rPr>
        <w:t>concentration</w:t>
      </w:r>
      <w:r w:rsidR="00330C7D" w:rsidRPr="001C36F4">
        <w:rPr>
          <w:rStyle w:val="IntenseReference"/>
          <w:rFonts w:eastAsia="SimSun"/>
        </w:rPr>
        <w:t xml:space="preserve"> and b) mean Non algal particulate concentrations. Water quality data are mean levels over the</w:t>
      </w:r>
      <w:r w:rsidR="00595A3F" w:rsidRPr="001C36F4">
        <w:rPr>
          <w:rStyle w:val="IntenseReference"/>
          <w:rFonts w:eastAsia="SimSun"/>
        </w:rPr>
        <w:t xml:space="preserve"> period 2003-2016</w:t>
      </w:r>
      <w:r w:rsidR="00330C7D" w:rsidRPr="001C36F4">
        <w:rPr>
          <w:rStyle w:val="IntenseReference"/>
          <w:rFonts w:eastAsia="SimSun"/>
        </w:rPr>
        <w:t xml:space="preserve">. c) Seasonally adjusted temperature deviation, timing of cyclones and storms indicated by black arrows, accumulated degree heating days over the summer period (1st of December - 31st March) indicated by black symbols d) Combined daily (blue) and annual (red) discharge for the </w:t>
      </w:r>
      <w:r w:rsidR="0024684D" w:rsidRPr="001C36F4">
        <w:rPr>
          <w:rStyle w:val="IntenseReference"/>
          <w:rFonts w:eastAsia="SimSun"/>
        </w:rPr>
        <w:t xml:space="preserve">Daintree and </w:t>
      </w:r>
      <w:r w:rsidR="00330C7D" w:rsidRPr="001C36F4">
        <w:rPr>
          <w:rStyle w:val="IntenseReference"/>
          <w:rFonts w:eastAsia="SimSun"/>
        </w:rPr>
        <w:t>Barron rivers, red dashed line represents long-term median discharge (19</w:t>
      </w:r>
      <w:r w:rsidR="001C36F4" w:rsidRPr="001C36F4">
        <w:rPr>
          <w:rStyle w:val="IntenseReference"/>
          <w:rFonts w:eastAsia="SimSun"/>
        </w:rPr>
        <w:t>86</w:t>
      </w:r>
      <w:r w:rsidR="00330C7D" w:rsidRPr="001C36F4">
        <w:rPr>
          <w:rStyle w:val="IntenseReference"/>
          <w:rFonts w:eastAsia="SimSun"/>
        </w:rPr>
        <w:t>-</w:t>
      </w:r>
      <w:r w:rsidR="001C36F4" w:rsidRPr="001C36F4">
        <w:rPr>
          <w:rStyle w:val="IntenseReference"/>
          <w:rFonts w:eastAsia="SimSun"/>
        </w:rPr>
        <w:t>2016</w:t>
      </w:r>
      <w:r w:rsidR="00330C7D" w:rsidRPr="001C36F4">
        <w:rPr>
          <w:rStyle w:val="IntenseReference"/>
          <w:rFonts w:eastAsia="SimSun"/>
        </w:rPr>
        <w:t>). e</w:t>
      </w:r>
      <w:r w:rsidR="006F0445" w:rsidRPr="001C36F4">
        <w:rPr>
          <w:rStyle w:val="IntenseReference"/>
          <w:rFonts w:eastAsia="SimSun"/>
        </w:rPr>
        <w:t xml:space="preserve">) break-down </w:t>
      </w:r>
      <w:r w:rsidR="00330C7D" w:rsidRPr="001C36F4">
        <w:rPr>
          <w:rStyle w:val="IntenseReference"/>
          <w:rFonts w:eastAsia="SimSun"/>
        </w:rPr>
        <w:t>of hard coral cover loss by disturbance type</w:t>
      </w:r>
      <w:r w:rsidR="001C36F4" w:rsidRPr="001C36F4">
        <w:rPr>
          <w:rStyle w:val="IntenseReference"/>
          <w:rFonts w:eastAsia="SimSun"/>
        </w:rPr>
        <w:t>; l</w:t>
      </w:r>
      <w:r w:rsidR="00330C7D" w:rsidRPr="001C36F4">
        <w:rPr>
          <w:rStyle w:val="IntenseReference"/>
          <w:rFonts w:eastAsia="SimSun"/>
        </w:rPr>
        <w:t>ength of bars represent the mean loss of cover across all reefs (see methods section for further detail)</w:t>
      </w:r>
      <w:r w:rsidR="006F0445" w:rsidRPr="001C36F4">
        <w:rPr>
          <w:rStyle w:val="IntenseReference"/>
          <w:rFonts w:eastAsia="SimSun"/>
        </w:rPr>
        <w:t>.</w:t>
      </w:r>
      <w:bookmarkEnd w:id="168"/>
      <w:r w:rsidR="006F0445" w:rsidRPr="001C36F4">
        <w:rPr>
          <w:rStyle w:val="IntenseReference"/>
          <w:rFonts w:eastAsia="SimSun"/>
        </w:rPr>
        <w:t xml:space="preserve"> </w:t>
      </w:r>
    </w:p>
    <w:p w14:paraId="11EA9044" w14:textId="77777777" w:rsidR="006F0445" w:rsidRDefault="006F0445" w:rsidP="00B14EAC"/>
    <w:p w14:paraId="11EA9045" w14:textId="77777777" w:rsidR="000C6FCB" w:rsidRPr="00F439FB" w:rsidRDefault="000C6FCB" w:rsidP="00B14EAC">
      <w:pPr>
        <w:rPr>
          <w:color w:val="4F81BD" w:themeColor="accent1"/>
        </w:rPr>
      </w:pPr>
    </w:p>
    <w:p w14:paraId="11EA9046" w14:textId="48494DD3" w:rsidR="00EA753F" w:rsidRPr="00F439FB" w:rsidRDefault="001C3EFB" w:rsidP="00FB7FD7">
      <w:pPr>
        <w:rPr>
          <w:color w:val="4F81BD" w:themeColor="accent1"/>
        </w:rPr>
      </w:pPr>
      <w:r>
        <w:rPr>
          <w:noProof/>
          <w:color w:val="4F81BD" w:themeColor="accent1"/>
          <w:lang w:val="en-AU" w:eastAsia="en-AU"/>
        </w:rPr>
        <w:drawing>
          <wp:inline distT="0" distB="0" distL="0" distR="0" wp14:anchorId="3F3B6534" wp14:editId="639DC860">
            <wp:extent cx="6120765" cy="7138035"/>
            <wp:effectExtent l="0" t="0" r="0" b="5715"/>
            <wp:docPr id="1" name="Picture 1" descr="A panel of eight plots showing trends in coral index scores, coral cover, macroalgae proportion, juvenile density, coral change, coral composition, chlorophyll a and total suspended solids" title="Figure 13 Trends in index score and indicato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aintree_plots.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6120765" cy="7138035"/>
                    </a:xfrm>
                    <a:prstGeom prst="rect">
                      <a:avLst/>
                    </a:prstGeom>
                  </pic:spPr>
                </pic:pic>
              </a:graphicData>
            </a:graphic>
          </wp:inline>
        </w:drawing>
      </w:r>
    </w:p>
    <w:p w14:paraId="5DACAF4C" w14:textId="77777777" w:rsidR="001729EF" w:rsidRDefault="001729EF" w:rsidP="00F872DF">
      <w:pPr>
        <w:pStyle w:val="Caption"/>
      </w:pPr>
      <w:bookmarkStart w:id="169" w:name="_Ref438119411"/>
      <w:bookmarkStart w:id="170" w:name="_Toc437423850"/>
      <w:bookmarkStart w:id="171" w:name="_Toc437424029"/>
      <w:bookmarkStart w:id="172" w:name="_Toc437424295"/>
      <w:bookmarkStart w:id="173" w:name="_Toc437597629"/>
    </w:p>
    <w:p w14:paraId="11EA9047" w14:textId="2B870163" w:rsidR="00E51750" w:rsidRPr="001A3582" w:rsidRDefault="006A1DEF" w:rsidP="006A1DEF">
      <w:pPr>
        <w:pStyle w:val="Caption"/>
        <w:rPr>
          <w:vanish/>
        </w:rPr>
      </w:pPr>
      <w:bookmarkStart w:id="174" w:name="_Ref491178290"/>
      <w:bookmarkStart w:id="175" w:name="_Toc491846839"/>
      <w:r>
        <w:t xml:space="preserve">Figure </w:t>
      </w:r>
      <w:r>
        <w:fldChar w:fldCharType="begin"/>
      </w:r>
      <w:r>
        <w:instrText xml:space="preserve"> SEQ Figure \* ARABIC </w:instrText>
      </w:r>
      <w:r>
        <w:fldChar w:fldCharType="separate"/>
      </w:r>
      <w:r w:rsidR="00D806F2">
        <w:rPr>
          <w:noProof/>
        </w:rPr>
        <w:t>13</w:t>
      </w:r>
      <w:r>
        <w:fldChar w:fldCharType="end"/>
      </w:r>
      <w:bookmarkEnd w:id="174"/>
      <w:r>
        <w:t xml:space="preserve"> </w:t>
      </w:r>
      <w:r w:rsidRPr="00B16F4E">
        <w:t>Barron Daintree sub-region</w:t>
      </w:r>
      <w:r w:rsidR="00A416E6">
        <w:t xml:space="preserve"> index and indicator trends</w:t>
      </w:r>
      <w:r w:rsidRPr="00B16F4E">
        <w:t>.</w:t>
      </w:r>
      <w:bookmarkEnd w:id="169"/>
      <w:bookmarkEnd w:id="170"/>
      <w:bookmarkEnd w:id="171"/>
      <w:bookmarkEnd w:id="172"/>
      <w:bookmarkEnd w:id="173"/>
      <w:r w:rsidR="00EA753F" w:rsidRPr="001A3582">
        <w:t xml:space="preserve"> </w:t>
      </w:r>
      <w:r w:rsidR="0018476A">
        <w:t>a)</w:t>
      </w:r>
      <w:bookmarkEnd w:id="175"/>
      <w:r w:rsidR="0018476A">
        <w:t xml:space="preserve"> </w:t>
      </w:r>
    </w:p>
    <w:p w14:paraId="11EA9048" w14:textId="18773D73" w:rsidR="00DC4665" w:rsidRPr="001A3582" w:rsidRDefault="00DC4665" w:rsidP="00F872DF">
      <w:pPr>
        <w:pStyle w:val="Caption"/>
        <w:rPr>
          <w:rStyle w:val="IntenseReference"/>
          <w:rFonts w:eastAsia="SimSun"/>
          <w:color w:val="auto"/>
        </w:rPr>
      </w:pPr>
      <w:bookmarkStart w:id="176" w:name="_Toc437424296"/>
      <w:bookmarkStart w:id="177" w:name="_Toc437432349"/>
      <w:bookmarkStart w:id="178" w:name="_Toc437597630"/>
      <w:r w:rsidRPr="001A3582">
        <w:rPr>
          <w:rStyle w:val="IntenseReference"/>
          <w:rFonts w:eastAsia="SimSun"/>
          <w:color w:val="auto"/>
        </w:rPr>
        <w:t>Coral index</w:t>
      </w:r>
      <w:r w:rsidR="0018476A">
        <w:rPr>
          <w:rStyle w:val="IntenseReference"/>
          <w:rFonts w:eastAsia="SimSun"/>
          <w:color w:val="auto"/>
        </w:rPr>
        <w:t>,</w:t>
      </w:r>
      <w:r w:rsidRPr="001A3582">
        <w:rPr>
          <w:rStyle w:val="IntenseReference"/>
          <w:rFonts w:eastAsia="SimSun"/>
          <w:color w:val="auto"/>
        </w:rPr>
        <w:t xml:space="preserve"> colour coding: dark green- ‘very good’; light green-‘good’; yellow – ‘moderate; orange – ‘poor’; red – ‘very poor’. </w:t>
      </w:r>
      <w:r w:rsidR="0018476A">
        <w:rPr>
          <w:rStyle w:val="IntenseReference"/>
          <w:rFonts w:eastAsia="SimSun"/>
          <w:color w:val="auto"/>
        </w:rPr>
        <w:t xml:space="preserve">b – </w:t>
      </w:r>
      <w:r w:rsidRPr="001A3582">
        <w:rPr>
          <w:rStyle w:val="IntenseReference"/>
          <w:rFonts w:eastAsia="SimSun"/>
          <w:color w:val="auto"/>
        </w:rPr>
        <w:t>f</w:t>
      </w:r>
      <w:r w:rsidR="0018476A">
        <w:rPr>
          <w:rStyle w:val="IntenseReference"/>
          <w:rFonts w:eastAsia="SimSun"/>
          <w:color w:val="auto"/>
        </w:rPr>
        <w:t>) trends in individual indicators, (</w:t>
      </w:r>
      <w:r w:rsidRPr="001A3582">
        <w:rPr>
          <w:rStyle w:val="IntenseReference"/>
          <w:rFonts w:eastAsia="SimSun"/>
          <w:color w:val="auto"/>
        </w:rPr>
        <w:t>blue lines</w:t>
      </w:r>
      <w:r w:rsidR="0018476A">
        <w:rPr>
          <w:rStyle w:val="IntenseReference"/>
          <w:rFonts w:eastAsia="SimSun"/>
          <w:color w:val="auto"/>
        </w:rPr>
        <w:t xml:space="preserve">) bound by </w:t>
      </w:r>
      <w:r w:rsidRPr="001A3582">
        <w:rPr>
          <w:rStyle w:val="IntenseReference"/>
          <w:rFonts w:eastAsia="SimSun"/>
          <w:color w:val="auto"/>
        </w:rPr>
        <w:t>95% confidence intervals of those trends</w:t>
      </w:r>
      <w:r w:rsidR="0018476A">
        <w:rPr>
          <w:rStyle w:val="IntenseReference"/>
          <w:rFonts w:eastAsia="SimSun"/>
          <w:color w:val="auto"/>
        </w:rPr>
        <w:t xml:space="preserve"> (shading)</w:t>
      </w:r>
      <w:r w:rsidRPr="001A3582">
        <w:rPr>
          <w:rStyle w:val="IntenseReference"/>
          <w:rFonts w:eastAsia="SimSun"/>
          <w:color w:val="auto"/>
        </w:rPr>
        <w:t xml:space="preserve">, grey lines represent observed profiles </w:t>
      </w:r>
      <w:r w:rsidR="0018476A">
        <w:rPr>
          <w:rStyle w:val="IntenseReference"/>
          <w:rFonts w:eastAsia="SimSun"/>
          <w:color w:val="auto"/>
        </w:rPr>
        <w:t>at 5 m (dashed) and 2 m (solid) depths</w:t>
      </w:r>
      <w:r w:rsidRPr="001A3582">
        <w:rPr>
          <w:rStyle w:val="IntenseReference"/>
          <w:rFonts w:eastAsia="SimSun"/>
          <w:color w:val="auto"/>
        </w:rPr>
        <w:t xml:space="preserve"> </w:t>
      </w:r>
      <w:r w:rsidR="0018476A">
        <w:rPr>
          <w:rStyle w:val="IntenseReference"/>
          <w:rFonts w:eastAsia="SimSun"/>
          <w:color w:val="auto"/>
        </w:rPr>
        <w:t>for</w:t>
      </w:r>
      <w:r w:rsidRPr="001A3582">
        <w:rPr>
          <w:rStyle w:val="IntenseReference"/>
          <w:rFonts w:eastAsia="SimSun"/>
          <w:color w:val="auto"/>
        </w:rPr>
        <w:t xml:space="preserve"> individual reefs</w:t>
      </w:r>
      <w:r w:rsidR="0018476A">
        <w:rPr>
          <w:rStyle w:val="IntenseReference"/>
          <w:rFonts w:eastAsia="SimSun"/>
          <w:color w:val="auto"/>
        </w:rPr>
        <w:t>,</w:t>
      </w:r>
      <w:r w:rsidRPr="001A3582">
        <w:rPr>
          <w:rStyle w:val="IntenseReference"/>
          <w:rFonts w:eastAsia="SimSun"/>
          <w:color w:val="auto"/>
        </w:rPr>
        <w:t xml:space="preserve"> </w:t>
      </w:r>
      <w:r w:rsidR="0018476A">
        <w:rPr>
          <w:rStyle w:val="IntenseReference"/>
          <w:rFonts w:eastAsia="SimSun"/>
          <w:color w:val="auto"/>
        </w:rPr>
        <w:t>g) trend</w:t>
      </w:r>
      <w:r w:rsidRPr="001A3582">
        <w:rPr>
          <w:rStyle w:val="IntenseReference"/>
          <w:rFonts w:eastAsia="SimSun"/>
          <w:color w:val="auto"/>
        </w:rPr>
        <w:t xml:space="preserve"> in chlorophyll </w:t>
      </w:r>
      <w:r w:rsidRPr="00663F7B">
        <w:rPr>
          <w:rStyle w:val="IntenseReference"/>
          <w:rFonts w:eastAsia="SimSun"/>
          <w:i/>
          <w:color w:val="auto"/>
        </w:rPr>
        <w:t>a</w:t>
      </w:r>
      <w:r w:rsidRPr="001A3582">
        <w:rPr>
          <w:rStyle w:val="IntenseReference"/>
          <w:rFonts w:eastAsia="SimSun"/>
          <w:color w:val="auto"/>
        </w:rPr>
        <w:t xml:space="preserve"> </w:t>
      </w:r>
      <w:r w:rsidR="001A0493">
        <w:rPr>
          <w:rStyle w:val="IntenseReference"/>
          <w:rFonts w:eastAsia="SimSun"/>
          <w:color w:val="auto"/>
        </w:rPr>
        <w:t>and</w:t>
      </w:r>
      <w:r w:rsidR="0018476A">
        <w:rPr>
          <w:rStyle w:val="IntenseReference"/>
          <w:rFonts w:eastAsia="SimSun"/>
          <w:color w:val="auto"/>
        </w:rPr>
        <w:t>, h)</w:t>
      </w:r>
      <w:r w:rsidR="001A0493">
        <w:rPr>
          <w:rStyle w:val="IntenseReference"/>
          <w:rFonts w:eastAsia="SimSun"/>
          <w:color w:val="auto"/>
        </w:rPr>
        <w:t xml:space="preserve"> total suspended solids</w:t>
      </w:r>
      <w:r w:rsidR="0018476A">
        <w:rPr>
          <w:rStyle w:val="IntenseReference"/>
          <w:rFonts w:eastAsia="SimSun"/>
          <w:color w:val="auto"/>
        </w:rPr>
        <w:t xml:space="preserve">, shading </w:t>
      </w:r>
      <w:r w:rsidRPr="001A3582">
        <w:rPr>
          <w:rStyle w:val="IntenseReference"/>
          <w:rFonts w:eastAsia="SimSun"/>
          <w:color w:val="auto"/>
        </w:rPr>
        <w:t>defin</w:t>
      </w:r>
      <w:r w:rsidR="0018476A">
        <w:rPr>
          <w:rStyle w:val="IntenseReference"/>
          <w:rFonts w:eastAsia="SimSun"/>
          <w:color w:val="auto"/>
        </w:rPr>
        <w:t>es</w:t>
      </w:r>
      <w:r w:rsidRPr="001A3582">
        <w:rPr>
          <w:rStyle w:val="IntenseReference"/>
          <w:rFonts w:eastAsia="SimSun"/>
          <w:color w:val="auto"/>
        </w:rPr>
        <w:t xml:space="preserve"> 95% confidence intervals of </w:t>
      </w:r>
      <w:r w:rsidR="0018476A">
        <w:rPr>
          <w:rStyle w:val="IntenseReference"/>
          <w:rFonts w:eastAsia="SimSun"/>
          <w:color w:val="auto"/>
        </w:rPr>
        <w:t>water quality t</w:t>
      </w:r>
      <w:r w:rsidRPr="001A3582">
        <w:rPr>
          <w:rStyle w:val="IntenseReference"/>
          <w:rFonts w:eastAsia="SimSun"/>
          <w:color w:val="auto"/>
        </w:rPr>
        <w:t xml:space="preserve">rends, black dots represent observed data. Dashed reference lines indicate GBRMPA </w:t>
      </w:r>
      <w:r w:rsidR="005E0BA2" w:rsidRPr="001A3582">
        <w:rPr>
          <w:rStyle w:val="IntenseReference"/>
          <w:rFonts w:eastAsia="SimSun"/>
          <w:color w:val="auto"/>
        </w:rPr>
        <w:t xml:space="preserve">(2010) </w:t>
      </w:r>
      <w:r w:rsidRPr="001A3582">
        <w:rPr>
          <w:rStyle w:val="IntenseReference"/>
          <w:rFonts w:eastAsia="SimSun"/>
          <w:color w:val="auto"/>
        </w:rPr>
        <w:t>guideline values.</w:t>
      </w:r>
      <w:bookmarkEnd w:id="176"/>
      <w:bookmarkEnd w:id="177"/>
      <w:bookmarkEnd w:id="178"/>
    </w:p>
    <w:p w14:paraId="11EA904A" w14:textId="1EFE1244" w:rsidR="00EA753F" w:rsidRPr="00F439FB" w:rsidRDefault="00142CDF" w:rsidP="00BA3C73">
      <w:pPr>
        <w:pStyle w:val="Heading3"/>
        <w:rPr>
          <w:color w:val="4F81BD" w:themeColor="accent1"/>
        </w:rPr>
      </w:pPr>
      <w:r>
        <w:rPr>
          <w:color w:val="4F81BD" w:themeColor="accent1"/>
        </w:rPr>
        <w:br w:type="page"/>
      </w:r>
      <w:r w:rsidR="00077C66" w:rsidRPr="00D254B7">
        <w:rPr>
          <w:color w:val="000000" w:themeColor="text1"/>
        </w:rPr>
        <w:t xml:space="preserve"> </w:t>
      </w:r>
      <w:bookmarkStart w:id="179" w:name="_Toc437424407"/>
      <w:bookmarkStart w:id="180" w:name="_Toc437424531"/>
      <w:bookmarkStart w:id="181" w:name="_Toc437432462"/>
      <w:bookmarkStart w:id="182" w:name="_Toc437432535"/>
      <w:bookmarkStart w:id="183" w:name="_Toc493153329"/>
      <w:r w:rsidR="00F352CD" w:rsidRPr="00B14EAC">
        <w:t>5</w:t>
      </w:r>
      <w:r w:rsidR="002A28EE" w:rsidRPr="00B14EAC">
        <w:t>.</w:t>
      </w:r>
      <w:r w:rsidR="00BD49B5">
        <w:t>2.2</w:t>
      </w:r>
      <w:r w:rsidR="00A803D4">
        <w:t xml:space="preserve"> </w:t>
      </w:r>
      <w:r w:rsidR="00EA753F" w:rsidRPr="00B14EAC">
        <w:t>Wet Tropics Region: Johnstone Russell-Mulgrave sub-region</w:t>
      </w:r>
      <w:bookmarkEnd w:id="179"/>
      <w:bookmarkEnd w:id="180"/>
      <w:bookmarkEnd w:id="181"/>
      <w:bookmarkEnd w:id="182"/>
      <w:bookmarkEnd w:id="183"/>
    </w:p>
    <w:p w14:paraId="40FAA2D6" w14:textId="77777777" w:rsidR="00D806F2" w:rsidRDefault="003544F2" w:rsidP="001709A5">
      <w:r w:rsidRPr="00B14EAC">
        <w:t xml:space="preserve">In 2016 the coral index </w:t>
      </w:r>
      <w:r w:rsidR="00912870">
        <w:t xml:space="preserve">reached a ‘good’ classification as scores </w:t>
      </w:r>
      <w:r>
        <w:t xml:space="preserve">continued to improve from a low in 2012 </w:t>
      </w:r>
      <w:r w:rsidRPr="00B14EAC">
        <w:t>(</w:t>
      </w:r>
      <w:r w:rsidR="00C31328">
        <w:fldChar w:fldCharType="begin"/>
      </w:r>
      <w:r w:rsidR="00C31328">
        <w:instrText xml:space="preserve"> REF _Ref491180328 \h </w:instrText>
      </w:r>
      <w:r w:rsidR="00C31328">
        <w:fldChar w:fldCharType="separate"/>
      </w:r>
      <w:r w:rsidR="00D806F2">
        <w:t xml:space="preserve">Figure </w:t>
      </w:r>
      <w:r w:rsidR="00D806F2">
        <w:rPr>
          <w:noProof/>
        </w:rPr>
        <w:t>14</w:t>
      </w:r>
      <w:r w:rsidR="00C31328">
        <w:fldChar w:fldCharType="end"/>
      </w:r>
      <w:r w:rsidRPr="00B14EAC">
        <w:t>a)</w:t>
      </w:r>
      <w:r w:rsidR="00912870">
        <w:t>.</w:t>
      </w:r>
      <w:r w:rsidR="005D5A92">
        <w:t xml:space="preserve"> </w:t>
      </w:r>
      <w:r w:rsidR="008E7F83">
        <w:t>Improvement in the index between 2012 and 2016 was most evident at 2 m dep</w:t>
      </w:r>
      <w:r w:rsidR="00C31328">
        <w:t>ths where scores for the Coral Cover, Juvenile</w:t>
      </w:r>
      <w:r w:rsidR="008E7F83">
        <w:t xml:space="preserve"> and Composition metrics have improved (</w:t>
      </w:r>
      <w:r w:rsidR="00C31328">
        <w:fldChar w:fldCharType="begin"/>
      </w:r>
      <w:r w:rsidR="00C31328">
        <w:instrText xml:space="preserve"> REF _Ref491180360 \h </w:instrText>
      </w:r>
      <w:r w:rsidR="001709A5">
        <w:instrText xml:space="preserve"> \* MERGEFORMAT </w:instrText>
      </w:r>
      <w:r w:rsidR="00C31328">
        <w:fldChar w:fldCharType="separate"/>
      </w:r>
    </w:p>
    <w:p w14:paraId="6A45D098" w14:textId="77777777" w:rsidR="00D806F2" w:rsidRDefault="00D806F2" w:rsidP="001709A5"/>
    <w:p w14:paraId="26878D52" w14:textId="77777777" w:rsidR="00D806F2" w:rsidRDefault="00D806F2" w:rsidP="001709A5">
      <w:r>
        <w:rPr>
          <w:noProof/>
        </w:rPr>
        <w:t>Table 11</w:t>
      </w:r>
      <w:r w:rsidR="00C31328">
        <w:fldChar w:fldCharType="end"/>
      </w:r>
      <w:r w:rsidR="002E42E5">
        <w:t xml:space="preserve">). </w:t>
      </w:r>
      <w:r w:rsidR="00C2526C">
        <w:t>While the Macroa</w:t>
      </w:r>
      <w:r w:rsidR="008718A4">
        <w:t>l</w:t>
      </w:r>
      <w:r w:rsidR="00C2526C">
        <w:t>gae and Cover Change scores have not consistently improved since 2012 (</w:t>
      </w:r>
      <w:r w:rsidR="008718A4">
        <w:fldChar w:fldCharType="begin"/>
      </w:r>
      <w:r w:rsidR="008718A4">
        <w:instrText xml:space="preserve"> REF _Ref491180360 \h </w:instrText>
      </w:r>
      <w:r w:rsidR="001709A5">
        <w:instrText xml:space="preserve"> \* MERGEFORMAT </w:instrText>
      </w:r>
      <w:r w:rsidR="008718A4">
        <w:fldChar w:fldCharType="separate"/>
      </w:r>
    </w:p>
    <w:p w14:paraId="39453BA9" w14:textId="77777777" w:rsidR="00D806F2" w:rsidRDefault="00D806F2" w:rsidP="001709A5"/>
    <w:p w14:paraId="5E6EF987" w14:textId="77777777" w:rsidR="00D806F2" w:rsidRDefault="00D806F2" w:rsidP="001709A5">
      <w:r>
        <w:rPr>
          <w:noProof/>
        </w:rPr>
        <w:t>Table 11</w:t>
      </w:r>
      <w:r w:rsidR="008718A4">
        <w:fldChar w:fldCharType="end"/>
      </w:r>
      <w:r w:rsidR="008718A4">
        <w:t xml:space="preserve">, </w:t>
      </w:r>
      <w:r w:rsidR="00C2526C">
        <w:fldChar w:fldCharType="begin"/>
      </w:r>
      <w:r w:rsidR="00C2526C">
        <w:instrText xml:space="preserve"> REF _Ref491181369 \h </w:instrText>
      </w:r>
      <w:r w:rsidR="001709A5">
        <w:instrText xml:space="preserve"> \* MERGEFORMAT </w:instrText>
      </w:r>
      <w:r w:rsidR="00C2526C">
        <w:fldChar w:fldCharType="separate"/>
      </w:r>
      <w:r>
        <w:t xml:space="preserve">Figure </w:t>
      </w:r>
      <w:r>
        <w:rPr>
          <w:noProof/>
        </w:rPr>
        <w:t>15</w:t>
      </w:r>
      <w:r w:rsidR="00C2526C">
        <w:fldChar w:fldCharType="end"/>
      </w:r>
      <w:r w:rsidR="00C2526C">
        <w:t xml:space="preserve">c, e) it is worth noting that </w:t>
      </w:r>
      <w:r w:rsidR="008718A4">
        <w:t xml:space="preserve">for both metrics the </w:t>
      </w:r>
      <w:r w:rsidR="00C2526C">
        <w:t xml:space="preserve">mean scores </w:t>
      </w:r>
      <w:r w:rsidR="005D5A92">
        <w:t>in the sub-</w:t>
      </w:r>
      <w:r w:rsidR="008718A4">
        <w:t xml:space="preserve">region in 2016 equate to a </w:t>
      </w:r>
      <w:r w:rsidR="00C2526C">
        <w:t xml:space="preserve">‘good’ condition </w:t>
      </w:r>
      <w:r w:rsidR="008718A4">
        <w:t>categorisation (</w:t>
      </w:r>
      <w:r w:rsidR="008718A4">
        <w:fldChar w:fldCharType="begin"/>
      </w:r>
      <w:r w:rsidR="008718A4">
        <w:instrText xml:space="preserve"> REF _Ref491182085 \h </w:instrText>
      </w:r>
      <w:r w:rsidR="001709A5">
        <w:instrText xml:space="preserve"> \* MERGEFORMAT </w:instrText>
      </w:r>
      <w:r w:rsidR="008718A4">
        <w:fldChar w:fldCharType="separate"/>
      </w:r>
      <w:r>
        <w:t xml:space="preserve">Table A1. </w:t>
      </w:r>
      <w:r>
        <w:rPr>
          <w:noProof/>
        </w:rPr>
        <w:t>5</w:t>
      </w:r>
      <w:r w:rsidR="008718A4">
        <w:fldChar w:fldCharType="end"/>
      </w:r>
      <w:r w:rsidR="001709A5">
        <w:t>)</w:t>
      </w:r>
      <w:r w:rsidR="00C2526C">
        <w:t xml:space="preserve">. </w:t>
      </w:r>
      <w:r w:rsidR="006F7BC3">
        <w:t>The lowest scores for Macroalgae occur at Franklands West and East where the communit</w:t>
      </w:r>
      <w:r w:rsidR="008718A4">
        <w:t>ies</w:t>
      </w:r>
      <w:r w:rsidR="006F7BC3">
        <w:t xml:space="preserve"> includes a high proportion of red algae species (</w:t>
      </w:r>
      <w:r w:rsidR="008718A4">
        <w:fldChar w:fldCharType="begin"/>
      </w:r>
      <w:r w:rsidR="008718A4">
        <w:instrText xml:space="preserve"> REF _Ref491182154 \h </w:instrText>
      </w:r>
      <w:r w:rsidR="001709A5">
        <w:instrText xml:space="preserve"> \* MERGEFORMAT </w:instrText>
      </w:r>
      <w:r w:rsidR="008718A4">
        <w:fldChar w:fldCharType="separate"/>
      </w:r>
      <w:r>
        <w:t xml:space="preserve">Table A1. </w:t>
      </w:r>
      <w:r>
        <w:rPr>
          <w:noProof/>
        </w:rPr>
        <w:t>9</w:t>
      </w:r>
      <w:r w:rsidR="008718A4">
        <w:fldChar w:fldCharType="end"/>
      </w:r>
      <w:r w:rsidR="006F7BC3">
        <w:t>)</w:t>
      </w:r>
      <w:r w:rsidR="0075117D">
        <w:t>;</w:t>
      </w:r>
      <w:r w:rsidR="006F7BC3">
        <w:t xml:space="preserve"> this pattern does </w:t>
      </w:r>
      <w:r w:rsidR="00C863A5">
        <w:t xml:space="preserve">not </w:t>
      </w:r>
      <w:r w:rsidR="008718A4">
        <w:t xml:space="preserve">clearly </w:t>
      </w:r>
      <w:r w:rsidR="00C863A5">
        <w:t xml:space="preserve">reflect poor water quality at this site </w:t>
      </w:r>
      <w:r w:rsidR="00C37F3C">
        <w:t xml:space="preserve">as conditions </w:t>
      </w:r>
      <w:r w:rsidR="006B7563">
        <w:t xml:space="preserve">are consistently better than those observed at </w:t>
      </w:r>
      <w:r w:rsidR="00C2526C">
        <w:t>High I</w:t>
      </w:r>
      <w:r w:rsidR="006B7563">
        <w:t>sland and comparable to those observed at Fitzroy Island</w:t>
      </w:r>
      <w:r w:rsidR="008718A4">
        <w:t xml:space="preserve"> where Macroalgae scores are higher</w:t>
      </w:r>
      <w:r w:rsidR="006B7563">
        <w:t xml:space="preserve"> (</w:t>
      </w:r>
      <w:r w:rsidR="008718A4">
        <w:fldChar w:fldCharType="begin"/>
      </w:r>
      <w:r w:rsidR="008718A4">
        <w:instrText xml:space="preserve"> REF _Ref491180328 \h </w:instrText>
      </w:r>
      <w:r w:rsidR="001709A5">
        <w:instrText xml:space="preserve"> \* MERGEFORMAT </w:instrText>
      </w:r>
      <w:r w:rsidR="008718A4">
        <w:fldChar w:fldCharType="separate"/>
      </w:r>
      <w:r>
        <w:t xml:space="preserve">Figure </w:t>
      </w:r>
      <w:r>
        <w:rPr>
          <w:noProof/>
        </w:rPr>
        <w:t>14</w:t>
      </w:r>
      <w:r w:rsidR="008718A4">
        <w:fldChar w:fldCharType="end"/>
      </w:r>
      <w:r w:rsidR="008718A4">
        <w:t>a, b,</w:t>
      </w:r>
      <w:r w:rsidR="006B7563">
        <w:t xml:space="preserve"> Waterhouse </w:t>
      </w:r>
      <w:r w:rsidR="006B7563" w:rsidRPr="008718A4">
        <w:rPr>
          <w:i/>
        </w:rPr>
        <w:t>et al.</w:t>
      </w:r>
      <w:r w:rsidR="006B7563">
        <w:t xml:space="preserve"> 2017)</w:t>
      </w:r>
      <w:r w:rsidR="0075117D">
        <w:t>.</w:t>
      </w:r>
      <w:r w:rsidR="00C863A5">
        <w:t xml:space="preserve"> </w:t>
      </w:r>
      <w:r w:rsidR="00AC78D5">
        <w:t>Improvement in the index at 5 m depth was less consistent</w:t>
      </w:r>
      <w:r w:rsidR="001709A5">
        <w:t xml:space="preserve">, </w:t>
      </w:r>
      <w:r w:rsidR="00C56919">
        <w:t xml:space="preserve">increased density of Juvenile corals </w:t>
      </w:r>
      <w:r w:rsidR="001709A5">
        <w:t xml:space="preserve">was </w:t>
      </w:r>
      <w:r w:rsidR="00C56919">
        <w:t xml:space="preserve">the most evident change </w:t>
      </w:r>
      <w:r w:rsidR="008200AB">
        <w:t>(</w:t>
      </w:r>
      <w:r w:rsidR="008200AB">
        <w:fldChar w:fldCharType="begin"/>
      </w:r>
      <w:r w:rsidR="008200AB">
        <w:instrText xml:space="preserve"> REF _Ref491180360 \h </w:instrText>
      </w:r>
      <w:r w:rsidR="001709A5">
        <w:instrText xml:space="preserve"> \* MERGEFORMAT </w:instrText>
      </w:r>
      <w:r w:rsidR="008200AB">
        <w:fldChar w:fldCharType="separate"/>
      </w:r>
    </w:p>
    <w:p w14:paraId="62678AC8" w14:textId="77777777" w:rsidR="00D806F2" w:rsidRDefault="00D806F2" w:rsidP="001709A5"/>
    <w:p w14:paraId="752D452E" w14:textId="2C2917FC" w:rsidR="001709A5" w:rsidRDefault="00D806F2" w:rsidP="001709A5">
      <w:r>
        <w:rPr>
          <w:noProof/>
        </w:rPr>
        <w:t>Table 11</w:t>
      </w:r>
      <w:r w:rsidR="008200AB">
        <w:fldChar w:fldCharType="end"/>
      </w:r>
      <w:r w:rsidR="005D5A92">
        <w:t>)</w:t>
      </w:r>
      <w:r w:rsidR="00535DE6">
        <w:t xml:space="preserve">, </w:t>
      </w:r>
      <w:r w:rsidR="008200AB">
        <w:t>al</w:t>
      </w:r>
      <w:r w:rsidR="00535DE6">
        <w:t>though there was a tendency for a reduction in the density of juvenile corals recorded in 2016 (</w:t>
      </w:r>
      <w:r w:rsidR="008200AB">
        <w:fldChar w:fldCharType="begin"/>
      </w:r>
      <w:r w:rsidR="008200AB">
        <w:instrText xml:space="preserve"> REF _Ref491181369 \h </w:instrText>
      </w:r>
      <w:r w:rsidR="001709A5">
        <w:instrText xml:space="preserve"> \* MERGEFORMAT </w:instrText>
      </w:r>
      <w:r w:rsidR="008200AB">
        <w:fldChar w:fldCharType="separate"/>
      </w:r>
      <w:r>
        <w:t xml:space="preserve">Figure </w:t>
      </w:r>
      <w:r>
        <w:rPr>
          <w:noProof/>
        </w:rPr>
        <w:t>15</w:t>
      </w:r>
      <w:r w:rsidR="008200AB">
        <w:fldChar w:fldCharType="end"/>
      </w:r>
      <w:r w:rsidR="008200AB">
        <w:t>d</w:t>
      </w:r>
      <w:r w:rsidR="00535DE6">
        <w:t>)</w:t>
      </w:r>
      <w:r w:rsidR="00C56919">
        <w:t>.</w:t>
      </w:r>
      <w:r w:rsidR="00432E37">
        <w:t xml:space="preserve"> </w:t>
      </w:r>
      <w:r w:rsidR="00F76169">
        <w:t>Improvement in the Coral Cover metric s</w:t>
      </w:r>
      <w:r w:rsidR="00F76169" w:rsidRPr="00260BBC">
        <w:t>ince 201</w:t>
      </w:r>
      <w:r w:rsidR="00F76169">
        <w:t>2,</w:t>
      </w:r>
      <w:r w:rsidR="00F76169" w:rsidRPr="00260BBC">
        <w:t xml:space="preserve"> </w:t>
      </w:r>
      <w:r w:rsidR="00F76169">
        <w:t>largely reflect</w:t>
      </w:r>
      <w:r w:rsidR="001709A5">
        <w:t>s</w:t>
      </w:r>
      <w:r w:rsidR="00F76169">
        <w:t xml:space="preserve"> increases in Acroporidae</w:t>
      </w:r>
      <w:r w:rsidR="00E75F5C">
        <w:t xml:space="preserve"> </w:t>
      </w:r>
      <w:r w:rsidR="00F76169">
        <w:t>cover on</w:t>
      </w:r>
      <w:r w:rsidR="00E75F5C">
        <w:t xml:space="preserve"> </w:t>
      </w:r>
      <w:r w:rsidR="00F76169">
        <w:t>the exposed e</w:t>
      </w:r>
      <w:r w:rsidR="00F76169" w:rsidRPr="00260BBC">
        <w:t>ast</w:t>
      </w:r>
      <w:r w:rsidR="00F76169">
        <w:t>ern</w:t>
      </w:r>
      <w:r w:rsidR="00F76169" w:rsidRPr="00260BBC">
        <w:t xml:space="preserve"> </w:t>
      </w:r>
      <w:r w:rsidR="00F76169">
        <w:t>aspects of High Island and the Frankland Group, along with increase in the slower growing Poritidae at Frankland</w:t>
      </w:r>
      <w:r w:rsidR="00F76169" w:rsidRPr="00260BBC">
        <w:t xml:space="preserve"> West</w:t>
      </w:r>
      <w:r w:rsidR="00F76169">
        <w:t xml:space="preserve"> (</w:t>
      </w:r>
      <w:r w:rsidR="00BE20D6">
        <w:fldChar w:fldCharType="begin"/>
      </w:r>
      <w:r w:rsidR="00BE20D6">
        <w:instrText xml:space="preserve"> REF _Ref492389983 \h </w:instrText>
      </w:r>
      <w:r w:rsidR="001709A5">
        <w:instrText xml:space="preserve"> \* MERGEFORMAT </w:instrText>
      </w:r>
      <w:r w:rsidR="00BE20D6">
        <w:fldChar w:fldCharType="separate"/>
      </w:r>
      <w:r>
        <w:t xml:space="preserve">Figure A1. </w:t>
      </w:r>
      <w:r>
        <w:rPr>
          <w:noProof/>
        </w:rPr>
        <w:t>2</w:t>
      </w:r>
      <w:r w:rsidR="00BE20D6">
        <w:fldChar w:fldCharType="end"/>
      </w:r>
      <w:r w:rsidR="00F76169">
        <w:t>)</w:t>
      </w:r>
      <w:r w:rsidR="00F76169" w:rsidRPr="00260BBC">
        <w:t>.</w:t>
      </w:r>
      <w:bookmarkStart w:id="184" w:name="_Ref491180360"/>
      <w:bookmarkStart w:id="185" w:name="_Toc491847030"/>
    </w:p>
    <w:p w14:paraId="389390A5" w14:textId="77777777" w:rsidR="004464E5" w:rsidRDefault="004464E5" w:rsidP="001709A5"/>
    <w:p w14:paraId="19F51657" w14:textId="3520D031" w:rsidR="001709A5" w:rsidRDefault="001709A5" w:rsidP="001709A5">
      <w:pPr>
        <w:pStyle w:val="Caption"/>
      </w:pPr>
      <w:r>
        <w:t xml:space="preserve">Table </w:t>
      </w:r>
      <w:r>
        <w:fldChar w:fldCharType="begin"/>
      </w:r>
      <w:r>
        <w:instrText xml:space="preserve"> SEQ Table \* ARABIC </w:instrText>
      </w:r>
      <w:r>
        <w:fldChar w:fldCharType="separate"/>
      </w:r>
      <w:r w:rsidR="00D806F2">
        <w:rPr>
          <w:noProof/>
        </w:rPr>
        <w:t>11</w:t>
      </w:r>
      <w:r>
        <w:fldChar w:fldCharType="end"/>
      </w:r>
      <w:bookmarkEnd w:id="184"/>
      <w:r>
        <w:t xml:space="preserve"> </w:t>
      </w:r>
      <w:r w:rsidRPr="00673731">
        <w:t>Pair-wise comparison between index and metric scores in the Johnstone Russell-Mulgrave sub-region.</w:t>
      </w:r>
      <w:r>
        <w:t xml:space="preserve"> Data compare the changes in scores between local maxima and minima in the index time-series. For the index, and each metric,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185"/>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4"/>
        <w:gridCol w:w="350"/>
        <w:gridCol w:w="625"/>
        <w:gridCol w:w="625"/>
        <w:gridCol w:w="625"/>
        <w:gridCol w:w="625"/>
        <w:gridCol w:w="625"/>
        <w:gridCol w:w="626"/>
        <w:gridCol w:w="625"/>
        <w:gridCol w:w="625"/>
        <w:gridCol w:w="625"/>
        <w:gridCol w:w="625"/>
        <w:gridCol w:w="625"/>
        <w:gridCol w:w="626"/>
      </w:tblGrid>
      <w:tr w:rsidR="001709A5" w:rsidRPr="000E340E" w14:paraId="14F0805B" w14:textId="77777777" w:rsidTr="001709A5">
        <w:trPr>
          <w:trHeight w:val="300"/>
        </w:trPr>
        <w:tc>
          <w:tcPr>
            <w:tcW w:w="1074" w:type="dxa"/>
            <w:vMerge w:val="restart"/>
            <w:shd w:val="clear" w:color="auto" w:fill="auto"/>
            <w:noWrap/>
            <w:tcMar>
              <w:left w:w="57" w:type="dxa"/>
              <w:right w:w="57" w:type="dxa"/>
            </w:tcMar>
            <w:vAlign w:val="bottom"/>
            <w:hideMark/>
          </w:tcPr>
          <w:p w14:paraId="6A66D30E" w14:textId="77777777" w:rsidR="001709A5" w:rsidRPr="000E340E" w:rsidRDefault="001709A5" w:rsidP="001709A5">
            <w:pPr>
              <w:spacing w:after="0"/>
              <w:jc w:val="left"/>
              <w:rPr>
                <w:rFonts w:ascii="Arial Narrow" w:hAnsi="Arial Narrow"/>
                <w:sz w:val="20"/>
                <w:lang w:eastAsia="en-AU"/>
              </w:rPr>
            </w:pPr>
            <w:r w:rsidRPr="000E340E">
              <w:rPr>
                <w:rFonts w:ascii="Arial Narrow" w:hAnsi="Arial Narrow"/>
                <w:color w:val="000000"/>
                <w:sz w:val="20"/>
                <w:lang w:eastAsia="en-AU"/>
              </w:rPr>
              <w:t>Period</w:t>
            </w:r>
          </w:p>
        </w:tc>
        <w:tc>
          <w:tcPr>
            <w:tcW w:w="350" w:type="dxa"/>
            <w:vMerge w:val="restart"/>
            <w:shd w:val="clear" w:color="auto" w:fill="auto"/>
            <w:noWrap/>
            <w:tcMar>
              <w:left w:w="57" w:type="dxa"/>
              <w:right w:w="57" w:type="dxa"/>
            </w:tcMar>
            <w:textDirection w:val="btLr"/>
            <w:vAlign w:val="bottom"/>
            <w:hideMark/>
          </w:tcPr>
          <w:p w14:paraId="05BBBCEC" w14:textId="77777777" w:rsidR="001709A5" w:rsidRPr="000E340E" w:rsidRDefault="001709A5" w:rsidP="001709A5">
            <w:pPr>
              <w:spacing w:after="0"/>
              <w:ind w:left="113" w:right="113"/>
              <w:jc w:val="center"/>
              <w:rPr>
                <w:rFonts w:ascii="Arial Narrow" w:hAnsi="Arial Narrow"/>
                <w:sz w:val="20"/>
                <w:lang w:eastAsia="en-AU"/>
              </w:rPr>
            </w:pPr>
            <w:r w:rsidRPr="000E340E">
              <w:rPr>
                <w:rFonts w:ascii="Arial Narrow" w:hAnsi="Arial Narrow"/>
                <w:color w:val="000000"/>
                <w:sz w:val="20"/>
                <w:lang w:eastAsia="en-AU"/>
              </w:rPr>
              <w:t>Depth</w:t>
            </w:r>
          </w:p>
        </w:tc>
        <w:tc>
          <w:tcPr>
            <w:tcW w:w="1250" w:type="dxa"/>
            <w:gridSpan w:val="2"/>
            <w:shd w:val="clear" w:color="auto" w:fill="auto"/>
            <w:noWrap/>
            <w:tcMar>
              <w:left w:w="57" w:type="dxa"/>
              <w:right w:w="57" w:type="dxa"/>
            </w:tcMar>
            <w:vAlign w:val="bottom"/>
            <w:hideMark/>
          </w:tcPr>
          <w:p w14:paraId="0E4B4E61" w14:textId="77777777" w:rsidR="001709A5" w:rsidRPr="000E340E" w:rsidRDefault="001709A5" w:rsidP="001709A5">
            <w:pPr>
              <w:spacing w:after="0"/>
              <w:jc w:val="center"/>
              <w:rPr>
                <w:rFonts w:ascii="Arial Narrow" w:hAnsi="Arial Narrow"/>
                <w:color w:val="000000"/>
                <w:sz w:val="20"/>
                <w:lang w:eastAsia="en-AU"/>
              </w:rPr>
            </w:pPr>
            <w:r w:rsidRPr="000E340E">
              <w:rPr>
                <w:rFonts w:ascii="Arial Narrow" w:hAnsi="Arial Narrow"/>
                <w:color w:val="000000"/>
                <w:sz w:val="20"/>
                <w:lang w:eastAsia="en-AU"/>
              </w:rPr>
              <w:t>Index</w:t>
            </w:r>
          </w:p>
        </w:tc>
        <w:tc>
          <w:tcPr>
            <w:tcW w:w="1250" w:type="dxa"/>
            <w:gridSpan w:val="2"/>
            <w:shd w:val="clear" w:color="auto" w:fill="auto"/>
            <w:noWrap/>
            <w:tcMar>
              <w:left w:w="57" w:type="dxa"/>
              <w:right w:w="57" w:type="dxa"/>
            </w:tcMar>
            <w:vAlign w:val="bottom"/>
            <w:hideMark/>
          </w:tcPr>
          <w:p w14:paraId="7A0A8BE4" w14:textId="77777777" w:rsidR="001709A5" w:rsidRPr="000E340E" w:rsidRDefault="001709A5" w:rsidP="001709A5">
            <w:pPr>
              <w:spacing w:after="0"/>
              <w:jc w:val="center"/>
              <w:rPr>
                <w:rFonts w:ascii="Arial Narrow" w:hAnsi="Arial Narrow"/>
                <w:color w:val="000000"/>
                <w:sz w:val="20"/>
                <w:lang w:eastAsia="en-AU"/>
              </w:rPr>
            </w:pPr>
            <w:r w:rsidRPr="000E340E">
              <w:rPr>
                <w:rFonts w:ascii="Arial Narrow" w:hAnsi="Arial Narrow"/>
                <w:color w:val="000000"/>
                <w:sz w:val="20"/>
                <w:lang w:eastAsia="en-AU"/>
              </w:rPr>
              <w:t>Cover Change</w:t>
            </w:r>
          </w:p>
        </w:tc>
        <w:tc>
          <w:tcPr>
            <w:tcW w:w="1251" w:type="dxa"/>
            <w:gridSpan w:val="2"/>
            <w:shd w:val="clear" w:color="auto" w:fill="auto"/>
            <w:noWrap/>
            <w:tcMar>
              <w:left w:w="57" w:type="dxa"/>
              <w:right w:w="57" w:type="dxa"/>
            </w:tcMar>
            <w:vAlign w:val="bottom"/>
            <w:hideMark/>
          </w:tcPr>
          <w:p w14:paraId="01A5B3ED" w14:textId="77777777" w:rsidR="001709A5" w:rsidRPr="000E340E" w:rsidRDefault="001709A5" w:rsidP="001709A5">
            <w:pPr>
              <w:spacing w:after="0"/>
              <w:jc w:val="center"/>
              <w:rPr>
                <w:rFonts w:ascii="Arial Narrow" w:hAnsi="Arial Narrow"/>
                <w:color w:val="000000"/>
                <w:sz w:val="20"/>
                <w:lang w:eastAsia="en-AU"/>
              </w:rPr>
            </w:pPr>
            <w:r w:rsidRPr="000E340E">
              <w:rPr>
                <w:rFonts w:ascii="Arial Narrow" w:hAnsi="Arial Narrow"/>
                <w:color w:val="000000"/>
                <w:sz w:val="20"/>
                <w:lang w:eastAsia="en-AU"/>
              </w:rPr>
              <w:t>Composition</w:t>
            </w:r>
          </w:p>
        </w:tc>
        <w:tc>
          <w:tcPr>
            <w:tcW w:w="1250" w:type="dxa"/>
            <w:gridSpan w:val="2"/>
            <w:shd w:val="clear" w:color="auto" w:fill="auto"/>
            <w:noWrap/>
            <w:tcMar>
              <w:left w:w="57" w:type="dxa"/>
              <w:right w:w="57" w:type="dxa"/>
            </w:tcMar>
            <w:vAlign w:val="bottom"/>
            <w:hideMark/>
          </w:tcPr>
          <w:p w14:paraId="4CF43595" w14:textId="77777777" w:rsidR="001709A5" w:rsidRPr="000E340E" w:rsidRDefault="001709A5" w:rsidP="001709A5">
            <w:pPr>
              <w:spacing w:after="0"/>
              <w:jc w:val="center"/>
              <w:rPr>
                <w:rFonts w:ascii="Arial Narrow" w:hAnsi="Arial Narrow"/>
                <w:color w:val="000000"/>
                <w:sz w:val="20"/>
                <w:lang w:eastAsia="en-AU"/>
              </w:rPr>
            </w:pPr>
            <w:r w:rsidRPr="000E340E">
              <w:rPr>
                <w:rFonts w:ascii="Arial Narrow" w:hAnsi="Arial Narrow"/>
                <w:color w:val="000000"/>
                <w:sz w:val="20"/>
                <w:lang w:eastAsia="en-AU"/>
              </w:rPr>
              <w:t>Coral Cover</w:t>
            </w:r>
          </w:p>
        </w:tc>
        <w:tc>
          <w:tcPr>
            <w:tcW w:w="1250" w:type="dxa"/>
            <w:gridSpan w:val="2"/>
            <w:shd w:val="clear" w:color="auto" w:fill="auto"/>
            <w:noWrap/>
            <w:tcMar>
              <w:left w:w="57" w:type="dxa"/>
              <w:right w:w="57" w:type="dxa"/>
            </w:tcMar>
            <w:vAlign w:val="bottom"/>
            <w:hideMark/>
          </w:tcPr>
          <w:p w14:paraId="4FB86E98" w14:textId="77777777" w:rsidR="001709A5" w:rsidRPr="000E340E" w:rsidRDefault="001709A5" w:rsidP="001709A5">
            <w:pPr>
              <w:spacing w:after="0"/>
              <w:jc w:val="center"/>
              <w:rPr>
                <w:rFonts w:ascii="Arial Narrow" w:hAnsi="Arial Narrow"/>
                <w:color w:val="000000"/>
                <w:sz w:val="20"/>
                <w:lang w:eastAsia="en-AU"/>
              </w:rPr>
            </w:pPr>
            <w:r>
              <w:rPr>
                <w:rFonts w:ascii="Arial Narrow" w:hAnsi="Arial Narrow"/>
                <w:color w:val="000000"/>
                <w:sz w:val="20"/>
                <w:lang w:eastAsia="en-AU"/>
              </w:rPr>
              <w:t>Juvenile</w:t>
            </w:r>
          </w:p>
        </w:tc>
        <w:tc>
          <w:tcPr>
            <w:tcW w:w="1251" w:type="dxa"/>
            <w:gridSpan w:val="2"/>
            <w:shd w:val="clear" w:color="auto" w:fill="auto"/>
            <w:noWrap/>
            <w:tcMar>
              <w:left w:w="57" w:type="dxa"/>
              <w:right w:w="57" w:type="dxa"/>
            </w:tcMar>
            <w:vAlign w:val="bottom"/>
            <w:hideMark/>
          </w:tcPr>
          <w:p w14:paraId="71779DE0" w14:textId="77777777" w:rsidR="001709A5" w:rsidRPr="000E340E" w:rsidRDefault="001709A5" w:rsidP="001709A5">
            <w:pPr>
              <w:spacing w:after="0"/>
              <w:jc w:val="center"/>
              <w:rPr>
                <w:rFonts w:ascii="Arial Narrow" w:hAnsi="Arial Narrow"/>
                <w:color w:val="000000"/>
                <w:sz w:val="20"/>
                <w:lang w:eastAsia="en-AU"/>
              </w:rPr>
            </w:pPr>
            <w:r w:rsidRPr="000E340E">
              <w:rPr>
                <w:rFonts w:ascii="Arial Narrow" w:hAnsi="Arial Narrow"/>
                <w:color w:val="000000"/>
                <w:sz w:val="20"/>
                <w:lang w:eastAsia="en-AU"/>
              </w:rPr>
              <w:t>Macroalgae</w:t>
            </w:r>
          </w:p>
        </w:tc>
      </w:tr>
      <w:tr w:rsidR="001709A5" w:rsidRPr="000E340E" w14:paraId="02792FBF" w14:textId="77777777" w:rsidTr="001709A5">
        <w:trPr>
          <w:trHeight w:val="520"/>
        </w:trPr>
        <w:tc>
          <w:tcPr>
            <w:tcW w:w="1074" w:type="dxa"/>
            <w:vMerge/>
            <w:shd w:val="clear" w:color="auto" w:fill="auto"/>
            <w:noWrap/>
            <w:tcMar>
              <w:left w:w="57" w:type="dxa"/>
              <w:right w:w="57" w:type="dxa"/>
            </w:tcMar>
            <w:vAlign w:val="bottom"/>
            <w:hideMark/>
          </w:tcPr>
          <w:p w14:paraId="6978DEC6" w14:textId="77777777" w:rsidR="001709A5" w:rsidRPr="000E340E" w:rsidRDefault="001709A5" w:rsidP="001709A5">
            <w:pPr>
              <w:spacing w:after="0"/>
              <w:rPr>
                <w:rFonts w:ascii="Arial Narrow" w:hAnsi="Arial Narrow"/>
                <w:color w:val="000000"/>
                <w:sz w:val="20"/>
                <w:lang w:eastAsia="en-AU"/>
              </w:rPr>
            </w:pPr>
          </w:p>
        </w:tc>
        <w:tc>
          <w:tcPr>
            <w:tcW w:w="350" w:type="dxa"/>
            <w:vMerge/>
            <w:shd w:val="clear" w:color="auto" w:fill="auto"/>
            <w:noWrap/>
            <w:tcMar>
              <w:left w:w="57" w:type="dxa"/>
              <w:right w:w="57" w:type="dxa"/>
            </w:tcMar>
            <w:vAlign w:val="bottom"/>
            <w:hideMark/>
          </w:tcPr>
          <w:p w14:paraId="5D074937" w14:textId="77777777" w:rsidR="001709A5" w:rsidRPr="000E340E" w:rsidRDefault="001709A5" w:rsidP="001709A5">
            <w:pPr>
              <w:spacing w:after="0"/>
              <w:jc w:val="center"/>
              <w:rPr>
                <w:rFonts w:ascii="Arial Narrow" w:hAnsi="Arial Narrow"/>
                <w:color w:val="000000"/>
                <w:sz w:val="20"/>
                <w:lang w:eastAsia="en-AU"/>
              </w:rPr>
            </w:pPr>
          </w:p>
        </w:tc>
        <w:tc>
          <w:tcPr>
            <w:tcW w:w="625" w:type="dxa"/>
            <w:shd w:val="clear" w:color="auto" w:fill="auto"/>
            <w:noWrap/>
            <w:tcMar>
              <w:left w:w="57" w:type="dxa"/>
              <w:right w:w="57" w:type="dxa"/>
            </w:tcMar>
            <w:vAlign w:val="bottom"/>
            <w:hideMark/>
          </w:tcPr>
          <w:p w14:paraId="7B90A369" w14:textId="77777777" w:rsidR="001709A5" w:rsidRPr="000E340E" w:rsidRDefault="001709A5" w:rsidP="001709A5">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76D9EA94" w14:textId="77777777" w:rsidR="001709A5" w:rsidRPr="000E340E" w:rsidRDefault="001709A5" w:rsidP="001709A5">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21091E49" w14:textId="77777777" w:rsidR="001709A5" w:rsidRPr="000E340E" w:rsidRDefault="001709A5" w:rsidP="001709A5">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75DBAD5C" w14:textId="77777777" w:rsidR="001709A5" w:rsidRPr="000E340E" w:rsidRDefault="001709A5" w:rsidP="001709A5">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07969045" w14:textId="77777777" w:rsidR="001709A5" w:rsidRPr="000E340E" w:rsidRDefault="001709A5" w:rsidP="001709A5">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6" w:type="dxa"/>
            <w:shd w:val="clear" w:color="auto" w:fill="auto"/>
            <w:noWrap/>
            <w:tcMar>
              <w:left w:w="57" w:type="dxa"/>
              <w:right w:w="57" w:type="dxa"/>
            </w:tcMar>
            <w:vAlign w:val="bottom"/>
            <w:hideMark/>
          </w:tcPr>
          <w:p w14:paraId="362965A2" w14:textId="77777777" w:rsidR="001709A5" w:rsidRPr="000E340E" w:rsidRDefault="001709A5" w:rsidP="001709A5">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6D2CC506" w14:textId="77777777" w:rsidR="001709A5" w:rsidRPr="000E340E" w:rsidRDefault="001709A5" w:rsidP="001709A5">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698F7AD4" w14:textId="77777777" w:rsidR="001709A5" w:rsidRPr="000E340E" w:rsidRDefault="001709A5" w:rsidP="001709A5">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4067F666" w14:textId="77777777" w:rsidR="001709A5" w:rsidRPr="000E340E" w:rsidRDefault="001709A5" w:rsidP="001709A5">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6F6489A8" w14:textId="77777777" w:rsidR="001709A5" w:rsidRPr="000E340E" w:rsidRDefault="001709A5" w:rsidP="001709A5">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7F01F3BB" w14:textId="77777777" w:rsidR="001709A5" w:rsidRPr="000E340E" w:rsidRDefault="001709A5" w:rsidP="001709A5">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6" w:type="dxa"/>
            <w:shd w:val="clear" w:color="auto" w:fill="auto"/>
            <w:noWrap/>
            <w:tcMar>
              <w:left w:w="57" w:type="dxa"/>
              <w:right w:w="57" w:type="dxa"/>
            </w:tcMar>
            <w:vAlign w:val="bottom"/>
            <w:hideMark/>
          </w:tcPr>
          <w:p w14:paraId="08F036F6" w14:textId="77777777" w:rsidR="001709A5" w:rsidRPr="000E340E" w:rsidRDefault="001709A5" w:rsidP="001709A5">
            <w:pPr>
              <w:spacing w:after="0"/>
              <w:rPr>
                <w:rFonts w:ascii="Arial Narrow" w:hAnsi="Arial Narrow"/>
                <w:color w:val="000000"/>
                <w:sz w:val="20"/>
                <w:lang w:eastAsia="en-AU"/>
              </w:rPr>
            </w:pPr>
            <w:r w:rsidRPr="000E340E">
              <w:rPr>
                <w:rFonts w:ascii="Arial Narrow" w:hAnsi="Arial Narrow"/>
                <w:color w:val="000000"/>
                <w:sz w:val="20"/>
                <w:lang w:eastAsia="en-AU"/>
              </w:rPr>
              <w:t>P</w:t>
            </w:r>
          </w:p>
        </w:tc>
      </w:tr>
      <w:tr w:rsidR="001709A5" w:rsidRPr="00317C06" w14:paraId="320C6A6A" w14:textId="77777777" w:rsidTr="001709A5">
        <w:trPr>
          <w:trHeight w:val="300"/>
        </w:trPr>
        <w:tc>
          <w:tcPr>
            <w:tcW w:w="1074" w:type="dxa"/>
            <w:vMerge w:val="restart"/>
            <w:shd w:val="clear" w:color="auto" w:fill="auto"/>
            <w:noWrap/>
            <w:tcMar>
              <w:left w:w="57" w:type="dxa"/>
              <w:right w:w="57" w:type="dxa"/>
            </w:tcMar>
            <w:vAlign w:val="center"/>
            <w:hideMark/>
          </w:tcPr>
          <w:p w14:paraId="7E296496" w14:textId="77777777" w:rsidR="001709A5" w:rsidRPr="00317C06" w:rsidRDefault="001709A5" w:rsidP="001709A5">
            <w:pPr>
              <w:spacing w:after="0"/>
              <w:rPr>
                <w:rStyle w:val="IntenseReference"/>
              </w:rPr>
            </w:pPr>
            <w:r w:rsidRPr="00317C06">
              <w:rPr>
                <w:rStyle w:val="IntenseReference"/>
              </w:rPr>
              <w:t>200</w:t>
            </w:r>
            <w:r>
              <w:rPr>
                <w:rStyle w:val="IntenseReference"/>
              </w:rPr>
              <w:t>9</w:t>
            </w:r>
            <w:r w:rsidRPr="00317C06">
              <w:rPr>
                <w:rStyle w:val="IntenseReference"/>
              </w:rPr>
              <w:t xml:space="preserve"> to 201</w:t>
            </w:r>
            <w:r>
              <w:rPr>
                <w:rStyle w:val="IntenseReference"/>
              </w:rPr>
              <w:t>2</w:t>
            </w:r>
          </w:p>
        </w:tc>
        <w:tc>
          <w:tcPr>
            <w:tcW w:w="350" w:type="dxa"/>
            <w:shd w:val="clear" w:color="auto" w:fill="auto"/>
            <w:noWrap/>
            <w:tcMar>
              <w:left w:w="57" w:type="dxa"/>
              <w:right w:w="57" w:type="dxa"/>
            </w:tcMar>
            <w:vAlign w:val="center"/>
            <w:hideMark/>
          </w:tcPr>
          <w:p w14:paraId="1504C329" w14:textId="77777777" w:rsidR="001709A5" w:rsidRPr="00317C06" w:rsidRDefault="001709A5" w:rsidP="001709A5">
            <w:pPr>
              <w:spacing w:after="0"/>
              <w:jc w:val="center"/>
              <w:rPr>
                <w:rStyle w:val="IntenseReference"/>
              </w:rPr>
            </w:pPr>
            <w:r w:rsidRPr="00317C06">
              <w:rPr>
                <w:rStyle w:val="IntenseReference"/>
              </w:rPr>
              <w:t>2</w:t>
            </w:r>
          </w:p>
        </w:tc>
        <w:tc>
          <w:tcPr>
            <w:tcW w:w="625" w:type="dxa"/>
            <w:shd w:val="clear" w:color="auto" w:fill="D99594" w:themeFill="accent2" w:themeFillTint="99"/>
            <w:noWrap/>
            <w:tcMar>
              <w:left w:w="57" w:type="dxa"/>
              <w:right w:w="57" w:type="dxa"/>
            </w:tcMar>
            <w:vAlign w:val="bottom"/>
            <w:hideMark/>
          </w:tcPr>
          <w:p w14:paraId="72BFBF41" w14:textId="77777777" w:rsidR="001709A5" w:rsidRPr="00317C06" w:rsidRDefault="001709A5" w:rsidP="001709A5">
            <w:pPr>
              <w:spacing w:after="0"/>
              <w:jc w:val="right"/>
              <w:rPr>
                <w:rStyle w:val="IntenseReference"/>
              </w:rPr>
            </w:pPr>
            <w:r w:rsidRPr="00317C06">
              <w:rPr>
                <w:rStyle w:val="IntenseReference"/>
              </w:rPr>
              <w:t>-0.21</w:t>
            </w:r>
          </w:p>
        </w:tc>
        <w:tc>
          <w:tcPr>
            <w:tcW w:w="625" w:type="dxa"/>
            <w:shd w:val="clear" w:color="auto" w:fill="D99594" w:themeFill="accent2" w:themeFillTint="99"/>
            <w:noWrap/>
            <w:tcMar>
              <w:left w:w="57" w:type="dxa"/>
              <w:right w:w="57" w:type="dxa"/>
            </w:tcMar>
            <w:vAlign w:val="bottom"/>
            <w:hideMark/>
          </w:tcPr>
          <w:p w14:paraId="411905C4" w14:textId="77777777" w:rsidR="001709A5" w:rsidRPr="00317C06" w:rsidRDefault="001709A5" w:rsidP="001709A5">
            <w:pPr>
              <w:spacing w:after="0"/>
              <w:jc w:val="right"/>
              <w:rPr>
                <w:rStyle w:val="IntenseReference"/>
              </w:rPr>
            </w:pPr>
            <w:r w:rsidRPr="00317C06">
              <w:rPr>
                <w:rStyle w:val="IntenseReference"/>
              </w:rPr>
              <w:t>0.93</w:t>
            </w:r>
          </w:p>
        </w:tc>
        <w:tc>
          <w:tcPr>
            <w:tcW w:w="625" w:type="dxa"/>
            <w:shd w:val="clear" w:color="auto" w:fill="FFFFFF" w:themeFill="background1"/>
            <w:noWrap/>
            <w:tcMar>
              <w:left w:w="57" w:type="dxa"/>
              <w:right w:w="57" w:type="dxa"/>
            </w:tcMar>
            <w:vAlign w:val="bottom"/>
            <w:hideMark/>
          </w:tcPr>
          <w:p w14:paraId="77FF126E" w14:textId="77777777" w:rsidR="001709A5" w:rsidRPr="00317C06" w:rsidRDefault="001709A5" w:rsidP="001709A5">
            <w:pPr>
              <w:spacing w:after="0"/>
              <w:jc w:val="right"/>
              <w:rPr>
                <w:rStyle w:val="IntenseReference"/>
              </w:rPr>
            </w:pPr>
            <w:r w:rsidRPr="00317C06">
              <w:rPr>
                <w:rStyle w:val="IntenseReference"/>
              </w:rPr>
              <w:t>-0.22</w:t>
            </w:r>
          </w:p>
        </w:tc>
        <w:tc>
          <w:tcPr>
            <w:tcW w:w="625" w:type="dxa"/>
            <w:shd w:val="clear" w:color="auto" w:fill="FFFFFF" w:themeFill="background1"/>
            <w:noWrap/>
            <w:tcMar>
              <w:left w:w="57" w:type="dxa"/>
              <w:right w:w="57" w:type="dxa"/>
            </w:tcMar>
            <w:vAlign w:val="bottom"/>
            <w:hideMark/>
          </w:tcPr>
          <w:p w14:paraId="0F730B30" w14:textId="77777777" w:rsidR="001709A5" w:rsidRPr="00317C06" w:rsidRDefault="001709A5" w:rsidP="001709A5">
            <w:pPr>
              <w:spacing w:after="0"/>
              <w:jc w:val="right"/>
              <w:rPr>
                <w:rStyle w:val="IntenseReference"/>
              </w:rPr>
            </w:pPr>
            <w:r w:rsidRPr="00317C06">
              <w:rPr>
                <w:rStyle w:val="IntenseReference"/>
              </w:rPr>
              <w:t>0.67</w:t>
            </w:r>
          </w:p>
        </w:tc>
        <w:tc>
          <w:tcPr>
            <w:tcW w:w="625" w:type="dxa"/>
            <w:shd w:val="clear" w:color="auto" w:fill="F2DBDB" w:themeFill="accent2" w:themeFillTint="33"/>
            <w:noWrap/>
            <w:tcMar>
              <w:left w:w="57" w:type="dxa"/>
              <w:right w:w="57" w:type="dxa"/>
            </w:tcMar>
            <w:vAlign w:val="bottom"/>
            <w:hideMark/>
          </w:tcPr>
          <w:p w14:paraId="4B80E26A" w14:textId="77777777" w:rsidR="001709A5" w:rsidRPr="00317C06" w:rsidRDefault="001709A5" w:rsidP="001709A5">
            <w:pPr>
              <w:spacing w:after="0"/>
              <w:jc w:val="right"/>
              <w:rPr>
                <w:rStyle w:val="IntenseReference"/>
              </w:rPr>
            </w:pPr>
            <w:r w:rsidRPr="00317C06">
              <w:rPr>
                <w:rStyle w:val="IntenseReference"/>
              </w:rPr>
              <w:t>-0.25</w:t>
            </w:r>
          </w:p>
        </w:tc>
        <w:tc>
          <w:tcPr>
            <w:tcW w:w="626" w:type="dxa"/>
            <w:shd w:val="clear" w:color="auto" w:fill="F2DBDB" w:themeFill="accent2" w:themeFillTint="33"/>
            <w:noWrap/>
            <w:tcMar>
              <w:left w:w="57" w:type="dxa"/>
              <w:right w:w="57" w:type="dxa"/>
            </w:tcMar>
            <w:vAlign w:val="bottom"/>
            <w:hideMark/>
          </w:tcPr>
          <w:p w14:paraId="2A7ADC45" w14:textId="77777777" w:rsidR="001709A5" w:rsidRPr="00317C06" w:rsidRDefault="001709A5" w:rsidP="001709A5">
            <w:pPr>
              <w:spacing w:after="0"/>
              <w:jc w:val="right"/>
              <w:rPr>
                <w:rStyle w:val="IntenseReference"/>
              </w:rPr>
            </w:pPr>
            <w:r w:rsidRPr="00317C06">
              <w:rPr>
                <w:rStyle w:val="IntenseReference"/>
              </w:rPr>
              <w:t>0.74</w:t>
            </w:r>
          </w:p>
        </w:tc>
        <w:tc>
          <w:tcPr>
            <w:tcW w:w="625" w:type="dxa"/>
            <w:shd w:val="clear" w:color="auto" w:fill="E5B8B7" w:themeFill="accent2" w:themeFillTint="66"/>
            <w:noWrap/>
            <w:tcMar>
              <w:left w:w="57" w:type="dxa"/>
              <w:right w:w="57" w:type="dxa"/>
            </w:tcMar>
            <w:vAlign w:val="bottom"/>
            <w:hideMark/>
          </w:tcPr>
          <w:p w14:paraId="4660FBC9" w14:textId="77777777" w:rsidR="001709A5" w:rsidRPr="00317C06" w:rsidRDefault="001709A5" w:rsidP="001709A5">
            <w:pPr>
              <w:spacing w:after="0"/>
              <w:jc w:val="right"/>
              <w:rPr>
                <w:rStyle w:val="IntenseReference"/>
              </w:rPr>
            </w:pPr>
            <w:r w:rsidRPr="00317C06">
              <w:rPr>
                <w:rStyle w:val="IntenseReference"/>
              </w:rPr>
              <w:t>-0.24</w:t>
            </w:r>
          </w:p>
        </w:tc>
        <w:tc>
          <w:tcPr>
            <w:tcW w:w="625" w:type="dxa"/>
            <w:shd w:val="clear" w:color="auto" w:fill="E5B8B7" w:themeFill="accent2" w:themeFillTint="66"/>
            <w:noWrap/>
            <w:tcMar>
              <w:left w:w="57" w:type="dxa"/>
              <w:right w:w="57" w:type="dxa"/>
            </w:tcMar>
            <w:vAlign w:val="bottom"/>
            <w:hideMark/>
          </w:tcPr>
          <w:p w14:paraId="11A83B1E" w14:textId="77777777" w:rsidR="001709A5" w:rsidRPr="00317C06" w:rsidRDefault="001709A5" w:rsidP="001709A5">
            <w:pPr>
              <w:spacing w:after="0"/>
              <w:jc w:val="right"/>
              <w:rPr>
                <w:rStyle w:val="IntenseReference"/>
              </w:rPr>
            </w:pPr>
            <w:r w:rsidRPr="00317C06">
              <w:rPr>
                <w:rStyle w:val="IntenseReference"/>
              </w:rPr>
              <w:t>0.85</w:t>
            </w:r>
          </w:p>
        </w:tc>
        <w:tc>
          <w:tcPr>
            <w:tcW w:w="625" w:type="dxa"/>
            <w:shd w:val="clear" w:color="auto" w:fill="F2DBDB" w:themeFill="accent2" w:themeFillTint="33"/>
            <w:noWrap/>
            <w:tcMar>
              <w:left w:w="57" w:type="dxa"/>
              <w:right w:w="57" w:type="dxa"/>
            </w:tcMar>
            <w:vAlign w:val="bottom"/>
            <w:hideMark/>
          </w:tcPr>
          <w:p w14:paraId="7DF0B35A" w14:textId="77777777" w:rsidR="001709A5" w:rsidRPr="00317C06" w:rsidRDefault="001709A5" w:rsidP="001709A5">
            <w:pPr>
              <w:spacing w:after="0"/>
              <w:jc w:val="right"/>
              <w:rPr>
                <w:rStyle w:val="IntenseReference"/>
              </w:rPr>
            </w:pPr>
            <w:r w:rsidRPr="00317C06">
              <w:rPr>
                <w:rStyle w:val="IntenseReference"/>
              </w:rPr>
              <w:t>-0.12</w:t>
            </w:r>
          </w:p>
        </w:tc>
        <w:tc>
          <w:tcPr>
            <w:tcW w:w="625" w:type="dxa"/>
            <w:shd w:val="clear" w:color="auto" w:fill="F2DBDB" w:themeFill="accent2" w:themeFillTint="33"/>
            <w:noWrap/>
            <w:tcMar>
              <w:left w:w="57" w:type="dxa"/>
              <w:right w:w="57" w:type="dxa"/>
            </w:tcMar>
            <w:vAlign w:val="bottom"/>
            <w:hideMark/>
          </w:tcPr>
          <w:p w14:paraId="161D9283" w14:textId="77777777" w:rsidR="001709A5" w:rsidRPr="00317C06" w:rsidRDefault="001709A5" w:rsidP="001709A5">
            <w:pPr>
              <w:spacing w:after="0"/>
              <w:jc w:val="right"/>
              <w:rPr>
                <w:rStyle w:val="IntenseReference"/>
              </w:rPr>
            </w:pPr>
            <w:r w:rsidRPr="00317C06">
              <w:rPr>
                <w:rStyle w:val="IntenseReference"/>
              </w:rPr>
              <w:t>0.79</w:t>
            </w:r>
          </w:p>
        </w:tc>
        <w:tc>
          <w:tcPr>
            <w:tcW w:w="625" w:type="dxa"/>
            <w:shd w:val="clear" w:color="auto" w:fill="F2DBDB" w:themeFill="accent2" w:themeFillTint="33"/>
            <w:noWrap/>
            <w:tcMar>
              <w:left w:w="57" w:type="dxa"/>
              <w:right w:w="57" w:type="dxa"/>
            </w:tcMar>
            <w:vAlign w:val="bottom"/>
            <w:hideMark/>
          </w:tcPr>
          <w:p w14:paraId="078A6729" w14:textId="77777777" w:rsidR="001709A5" w:rsidRPr="00317C06" w:rsidRDefault="001709A5" w:rsidP="001709A5">
            <w:pPr>
              <w:spacing w:after="0"/>
              <w:jc w:val="right"/>
              <w:rPr>
                <w:rStyle w:val="IntenseReference"/>
              </w:rPr>
            </w:pPr>
            <w:r w:rsidRPr="00317C06">
              <w:rPr>
                <w:rStyle w:val="IntenseReference"/>
              </w:rPr>
              <w:t>-0.21</w:t>
            </w:r>
          </w:p>
        </w:tc>
        <w:tc>
          <w:tcPr>
            <w:tcW w:w="626" w:type="dxa"/>
            <w:shd w:val="clear" w:color="auto" w:fill="F2DBDB" w:themeFill="accent2" w:themeFillTint="33"/>
            <w:noWrap/>
            <w:tcMar>
              <w:left w:w="57" w:type="dxa"/>
              <w:right w:w="57" w:type="dxa"/>
            </w:tcMar>
            <w:vAlign w:val="bottom"/>
            <w:hideMark/>
          </w:tcPr>
          <w:p w14:paraId="63A452E1" w14:textId="77777777" w:rsidR="001709A5" w:rsidRPr="00317C06" w:rsidRDefault="001709A5" w:rsidP="001709A5">
            <w:pPr>
              <w:spacing w:after="0"/>
              <w:jc w:val="right"/>
              <w:rPr>
                <w:rStyle w:val="IntenseReference"/>
              </w:rPr>
            </w:pPr>
            <w:r w:rsidRPr="00317C06">
              <w:rPr>
                <w:rStyle w:val="IntenseReference"/>
              </w:rPr>
              <w:t>0.70</w:t>
            </w:r>
          </w:p>
        </w:tc>
      </w:tr>
      <w:tr w:rsidR="001709A5" w:rsidRPr="00317C06" w14:paraId="6DCE0F86" w14:textId="77777777" w:rsidTr="001709A5">
        <w:trPr>
          <w:trHeight w:val="300"/>
        </w:trPr>
        <w:tc>
          <w:tcPr>
            <w:tcW w:w="1074" w:type="dxa"/>
            <w:vMerge/>
            <w:shd w:val="clear" w:color="auto" w:fill="auto"/>
            <w:noWrap/>
            <w:tcMar>
              <w:left w:w="57" w:type="dxa"/>
              <w:right w:w="57" w:type="dxa"/>
            </w:tcMar>
            <w:vAlign w:val="center"/>
            <w:hideMark/>
          </w:tcPr>
          <w:p w14:paraId="215B34D5" w14:textId="77777777" w:rsidR="001709A5" w:rsidRPr="00317C06" w:rsidRDefault="001709A5" w:rsidP="001709A5">
            <w:pPr>
              <w:spacing w:after="0"/>
              <w:jc w:val="right"/>
              <w:rPr>
                <w:rStyle w:val="IntenseReference"/>
              </w:rPr>
            </w:pPr>
          </w:p>
        </w:tc>
        <w:tc>
          <w:tcPr>
            <w:tcW w:w="350" w:type="dxa"/>
            <w:shd w:val="clear" w:color="auto" w:fill="auto"/>
            <w:noWrap/>
            <w:tcMar>
              <w:left w:w="57" w:type="dxa"/>
              <w:right w:w="57" w:type="dxa"/>
            </w:tcMar>
            <w:vAlign w:val="center"/>
            <w:hideMark/>
          </w:tcPr>
          <w:p w14:paraId="43069E6E" w14:textId="77777777" w:rsidR="001709A5" w:rsidRPr="00317C06" w:rsidRDefault="001709A5" w:rsidP="001709A5">
            <w:pPr>
              <w:spacing w:after="0"/>
              <w:jc w:val="center"/>
              <w:rPr>
                <w:rStyle w:val="IntenseReference"/>
              </w:rPr>
            </w:pPr>
            <w:r w:rsidRPr="00317C06">
              <w:rPr>
                <w:rStyle w:val="IntenseReference"/>
              </w:rPr>
              <w:t>5</w:t>
            </w:r>
          </w:p>
        </w:tc>
        <w:tc>
          <w:tcPr>
            <w:tcW w:w="625" w:type="dxa"/>
            <w:shd w:val="clear" w:color="auto" w:fill="E5B8B7" w:themeFill="accent2" w:themeFillTint="66"/>
            <w:noWrap/>
            <w:tcMar>
              <w:left w:w="57" w:type="dxa"/>
              <w:right w:w="57" w:type="dxa"/>
            </w:tcMar>
            <w:vAlign w:val="bottom"/>
            <w:hideMark/>
          </w:tcPr>
          <w:p w14:paraId="6FF8ADA3" w14:textId="77777777" w:rsidR="001709A5" w:rsidRPr="00317C06" w:rsidRDefault="001709A5" w:rsidP="001709A5">
            <w:pPr>
              <w:spacing w:after="0"/>
              <w:jc w:val="right"/>
              <w:rPr>
                <w:rStyle w:val="IntenseReference"/>
              </w:rPr>
            </w:pPr>
            <w:r w:rsidRPr="00317C06">
              <w:rPr>
                <w:rStyle w:val="IntenseReference"/>
              </w:rPr>
              <w:t>-0.13</w:t>
            </w:r>
          </w:p>
        </w:tc>
        <w:tc>
          <w:tcPr>
            <w:tcW w:w="625" w:type="dxa"/>
            <w:shd w:val="clear" w:color="auto" w:fill="E5B8B7" w:themeFill="accent2" w:themeFillTint="66"/>
            <w:noWrap/>
            <w:tcMar>
              <w:left w:w="57" w:type="dxa"/>
              <w:right w:w="57" w:type="dxa"/>
            </w:tcMar>
            <w:vAlign w:val="bottom"/>
            <w:hideMark/>
          </w:tcPr>
          <w:p w14:paraId="322A3197" w14:textId="77777777" w:rsidR="001709A5" w:rsidRPr="00317C06" w:rsidRDefault="001709A5" w:rsidP="001709A5">
            <w:pPr>
              <w:spacing w:after="0"/>
              <w:jc w:val="right"/>
              <w:rPr>
                <w:rStyle w:val="IntenseReference"/>
              </w:rPr>
            </w:pPr>
            <w:r w:rsidRPr="00317C06">
              <w:rPr>
                <w:rStyle w:val="IntenseReference"/>
              </w:rPr>
              <w:t>0.82</w:t>
            </w:r>
          </w:p>
        </w:tc>
        <w:tc>
          <w:tcPr>
            <w:tcW w:w="625" w:type="dxa"/>
            <w:shd w:val="clear" w:color="auto" w:fill="FFFFFF" w:themeFill="background1"/>
            <w:noWrap/>
            <w:tcMar>
              <w:left w:w="57" w:type="dxa"/>
              <w:right w:w="57" w:type="dxa"/>
            </w:tcMar>
            <w:vAlign w:val="bottom"/>
            <w:hideMark/>
          </w:tcPr>
          <w:p w14:paraId="17BD2C93" w14:textId="77777777" w:rsidR="001709A5" w:rsidRPr="00317C06" w:rsidRDefault="001709A5" w:rsidP="001709A5">
            <w:pPr>
              <w:spacing w:after="0"/>
              <w:jc w:val="right"/>
              <w:rPr>
                <w:rStyle w:val="IntenseReference"/>
              </w:rPr>
            </w:pPr>
            <w:r w:rsidRPr="00317C06">
              <w:rPr>
                <w:rStyle w:val="IntenseReference"/>
              </w:rPr>
              <w:t>-0.10</w:t>
            </w:r>
          </w:p>
        </w:tc>
        <w:tc>
          <w:tcPr>
            <w:tcW w:w="625" w:type="dxa"/>
            <w:shd w:val="clear" w:color="auto" w:fill="FFFFFF" w:themeFill="background1"/>
            <w:noWrap/>
            <w:tcMar>
              <w:left w:w="57" w:type="dxa"/>
              <w:right w:w="57" w:type="dxa"/>
            </w:tcMar>
            <w:vAlign w:val="bottom"/>
            <w:hideMark/>
          </w:tcPr>
          <w:p w14:paraId="4F63B827" w14:textId="77777777" w:rsidR="001709A5" w:rsidRPr="00317C06" w:rsidRDefault="001709A5" w:rsidP="001709A5">
            <w:pPr>
              <w:spacing w:after="0"/>
              <w:jc w:val="right"/>
              <w:rPr>
                <w:rStyle w:val="IntenseReference"/>
              </w:rPr>
            </w:pPr>
            <w:r w:rsidRPr="00317C06">
              <w:rPr>
                <w:rStyle w:val="IntenseReference"/>
              </w:rPr>
              <w:t>0.62</w:t>
            </w:r>
          </w:p>
        </w:tc>
        <w:tc>
          <w:tcPr>
            <w:tcW w:w="625" w:type="dxa"/>
            <w:shd w:val="clear" w:color="auto" w:fill="F2DBDB" w:themeFill="accent2" w:themeFillTint="33"/>
            <w:noWrap/>
            <w:tcMar>
              <w:left w:w="57" w:type="dxa"/>
              <w:right w:w="57" w:type="dxa"/>
            </w:tcMar>
            <w:vAlign w:val="bottom"/>
            <w:hideMark/>
          </w:tcPr>
          <w:p w14:paraId="3F9C8536" w14:textId="77777777" w:rsidR="001709A5" w:rsidRPr="00317C06" w:rsidRDefault="001709A5" w:rsidP="001709A5">
            <w:pPr>
              <w:spacing w:after="0"/>
              <w:jc w:val="right"/>
              <w:rPr>
                <w:rStyle w:val="IntenseReference"/>
              </w:rPr>
            </w:pPr>
            <w:r w:rsidRPr="00317C06">
              <w:rPr>
                <w:rStyle w:val="IntenseReference"/>
              </w:rPr>
              <w:t>-0.25</w:t>
            </w:r>
          </w:p>
        </w:tc>
        <w:tc>
          <w:tcPr>
            <w:tcW w:w="626" w:type="dxa"/>
            <w:shd w:val="clear" w:color="auto" w:fill="F2DBDB" w:themeFill="accent2" w:themeFillTint="33"/>
            <w:noWrap/>
            <w:tcMar>
              <w:left w:w="57" w:type="dxa"/>
              <w:right w:w="57" w:type="dxa"/>
            </w:tcMar>
            <w:vAlign w:val="bottom"/>
            <w:hideMark/>
          </w:tcPr>
          <w:p w14:paraId="72AF48AC" w14:textId="77777777" w:rsidR="001709A5" w:rsidRPr="00317C06" w:rsidRDefault="001709A5" w:rsidP="001709A5">
            <w:pPr>
              <w:spacing w:after="0"/>
              <w:jc w:val="right"/>
              <w:rPr>
                <w:rStyle w:val="IntenseReference"/>
              </w:rPr>
            </w:pPr>
            <w:r w:rsidRPr="00317C06">
              <w:rPr>
                <w:rStyle w:val="IntenseReference"/>
              </w:rPr>
              <w:t>0.73</w:t>
            </w:r>
          </w:p>
        </w:tc>
        <w:tc>
          <w:tcPr>
            <w:tcW w:w="625" w:type="dxa"/>
            <w:shd w:val="clear" w:color="auto" w:fill="E5B8B7" w:themeFill="accent2" w:themeFillTint="66"/>
            <w:noWrap/>
            <w:tcMar>
              <w:left w:w="57" w:type="dxa"/>
              <w:right w:w="57" w:type="dxa"/>
            </w:tcMar>
            <w:vAlign w:val="bottom"/>
            <w:hideMark/>
          </w:tcPr>
          <w:p w14:paraId="4983E971" w14:textId="77777777" w:rsidR="001709A5" w:rsidRPr="00317C06" w:rsidRDefault="001709A5" w:rsidP="001709A5">
            <w:pPr>
              <w:spacing w:after="0"/>
              <w:jc w:val="right"/>
              <w:rPr>
                <w:rStyle w:val="IntenseReference"/>
              </w:rPr>
            </w:pPr>
            <w:r w:rsidRPr="00317C06">
              <w:rPr>
                <w:rStyle w:val="IntenseReference"/>
              </w:rPr>
              <w:t>-0.14</w:t>
            </w:r>
          </w:p>
        </w:tc>
        <w:tc>
          <w:tcPr>
            <w:tcW w:w="625" w:type="dxa"/>
            <w:shd w:val="clear" w:color="auto" w:fill="E5B8B7" w:themeFill="accent2" w:themeFillTint="66"/>
            <w:noWrap/>
            <w:tcMar>
              <w:left w:w="57" w:type="dxa"/>
              <w:right w:w="57" w:type="dxa"/>
            </w:tcMar>
            <w:vAlign w:val="bottom"/>
            <w:hideMark/>
          </w:tcPr>
          <w:p w14:paraId="649F70BC" w14:textId="77777777" w:rsidR="001709A5" w:rsidRPr="00317C06" w:rsidRDefault="001709A5" w:rsidP="001709A5">
            <w:pPr>
              <w:spacing w:after="0"/>
              <w:jc w:val="right"/>
              <w:rPr>
                <w:rStyle w:val="IntenseReference"/>
              </w:rPr>
            </w:pPr>
            <w:r w:rsidRPr="00317C06">
              <w:rPr>
                <w:rStyle w:val="IntenseReference"/>
              </w:rPr>
              <w:t>0.86</w:t>
            </w:r>
          </w:p>
        </w:tc>
        <w:tc>
          <w:tcPr>
            <w:tcW w:w="625" w:type="dxa"/>
            <w:shd w:val="clear" w:color="auto" w:fill="E5B8B7" w:themeFill="accent2" w:themeFillTint="66"/>
            <w:noWrap/>
            <w:tcMar>
              <w:left w:w="57" w:type="dxa"/>
              <w:right w:w="57" w:type="dxa"/>
            </w:tcMar>
            <w:vAlign w:val="bottom"/>
            <w:hideMark/>
          </w:tcPr>
          <w:p w14:paraId="53B4D096" w14:textId="77777777" w:rsidR="001709A5" w:rsidRPr="00317C06" w:rsidRDefault="001709A5" w:rsidP="001709A5">
            <w:pPr>
              <w:spacing w:after="0"/>
              <w:jc w:val="right"/>
              <w:rPr>
                <w:rStyle w:val="IntenseReference"/>
              </w:rPr>
            </w:pPr>
            <w:r w:rsidRPr="00317C06">
              <w:rPr>
                <w:rStyle w:val="IntenseReference"/>
              </w:rPr>
              <w:t>-0.12</w:t>
            </w:r>
          </w:p>
        </w:tc>
        <w:tc>
          <w:tcPr>
            <w:tcW w:w="625" w:type="dxa"/>
            <w:shd w:val="clear" w:color="auto" w:fill="E5B8B7" w:themeFill="accent2" w:themeFillTint="66"/>
            <w:noWrap/>
            <w:tcMar>
              <w:left w:w="57" w:type="dxa"/>
              <w:right w:w="57" w:type="dxa"/>
            </w:tcMar>
            <w:vAlign w:val="bottom"/>
            <w:hideMark/>
          </w:tcPr>
          <w:p w14:paraId="5AB2E0BC" w14:textId="77777777" w:rsidR="001709A5" w:rsidRPr="00317C06" w:rsidRDefault="001709A5" w:rsidP="001709A5">
            <w:pPr>
              <w:spacing w:after="0"/>
              <w:jc w:val="right"/>
              <w:rPr>
                <w:rStyle w:val="IntenseReference"/>
              </w:rPr>
            </w:pPr>
            <w:r w:rsidRPr="00317C06">
              <w:rPr>
                <w:rStyle w:val="IntenseReference"/>
              </w:rPr>
              <w:t>0.82</w:t>
            </w:r>
          </w:p>
        </w:tc>
        <w:tc>
          <w:tcPr>
            <w:tcW w:w="625" w:type="dxa"/>
            <w:shd w:val="clear" w:color="auto" w:fill="FFFFFF" w:themeFill="background1"/>
            <w:noWrap/>
            <w:tcMar>
              <w:left w:w="57" w:type="dxa"/>
              <w:right w:w="57" w:type="dxa"/>
            </w:tcMar>
            <w:vAlign w:val="bottom"/>
            <w:hideMark/>
          </w:tcPr>
          <w:p w14:paraId="1B6468C3" w14:textId="77777777" w:rsidR="001709A5" w:rsidRPr="00317C06" w:rsidRDefault="001709A5" w:rsidP="001709A5">
            <w:pPr>
              <w:spacing w:after="0"/>
              <w:jc w:val="right"/>
              <w:rPr>
                <w:rStyle w:val="IntenseReference"/>
              </w:rPr>
            </w:pPr>
            <w:r w:rsidRPr="00317C06">
              <w:rPr>
                <w:rStyle w:val="IntenseReference"/>
              </w:rPr>
              <w:t>-0.04</w:t>
            </w:r>
          </w:p>
        </w:tc>
        <w:tc>
          <w:tcPr>
            <w:tcW w:w="626" w:type="dxa"/>
            <w:shd w:val="clear" w:color="auto" w:fill="FFFFFF" w:themeFill="background1"/>
            <w:noWrap/>
            <w:tcMar>
              <w:left w:w="57" w:type="dxa"/>
              <w:right w:w="57" w:type="dxa"/>
            </w:tcMar>
            <w:vAlign w:val="bottom"/>
            <w:hideMark/>
          </w:tcPr>
          <w:p w14:paraId="7613B9DB" w14:textId="77777777" w:rsidR="001709A5" w:rsidRPr="00317C06" w:rsidRDefault="001709A5" w:rsidP="001709A5">
            <w:pPr>
              <w:spacing w:after="0"/>
              <w:jc w:val="right"/>
              <w:rPr>
                <w:rStyle w:val="IntenseReference"/>
              </w:rPr>
            </w:pPr>
            <w:r w:rsidRPr="00317C06">
              <w:rPr>
                <w:rStyle w:val="IntenseReference"/>
              </w:rPr>
              <w:t>0.52</w:t>
            </w:r>
          </w:p>
        </w:tc>
      </w:tr>
      <w:tr w:rsidR="001709A5" w:rsidRPr="00317C06" w14:paraId="2EBC4CD0" w14:textId="77777777" w:rsidTr="001709A5">
        <w:trPr>
          <w:trHeight w:val="300"/>
        </w:trPr>
        <w:tc>
          <w:tcPr>
            <w:tcW w:w="1074" w:type="dxa"/>
            <w:vMerge w:val="restart"/>
            <w:shd w:val="clear" w:color="auto" w:fill="auto"/>
            <w:noWrap/>
            <w:tcMar>
              <w:left w:w="57" w:type="dxa"/>
              <w:right w:w="57" w:type="dxa"/>
            </w:tcMar>
            <w:vAlign w:val="center"/>
            <w:hideMark/>
          </w:tcPr>
          <w:p w14:paraId="15368962" w14:textId="77777777" w:rsidR="001709A5" w:rsidRPr="00317C06" w:rsidRDefault="001709A5" w:rsidP="001709A5">
            <w:pPr>
              <w:spacing w:after="0"/>
              <w:rPr>
                <w:rStyle w:val="IntenseReference"/>
              </w:rPr>
            </w:pPr>
            <w:r w:rsidRPr="00317C06">
              <w:rPr>
                <w:rStyle w:val="IntenseReference"/>
              </w:rPr>
              <w:t>201</w:t>
            </w:r>
            <w:r>
              <w:rPr>
                <w:rStyle w:val="IntenseReference"/>
              </w:rPr>
              <w:t>2</w:t>
            </w:r>
            <w:r w:rsidRPr="00317C06">
              <w:rPr>
                <w:rStyle w:val="IntenseReference"/>
              </w:rPr>
              <w:t xml:space="preserve"> to 2016</w:t>
            </w:r>
          </w:p>
        </w:tc>
        <w:tc>
          <w:tcPr>
            <w:tcW w:w="350" w:type="dxa"/>
            <w:shd w:val="clear" w:color="auto" w:fill="auto"/>
            <w:noWrap/>
            <w:tcMar>
              <w:left w:w="57" w:type="dxa"/>
              <w:right w:w="57" w:type="dxa"/>
            </w:tcMar>
            <w:vAlign w:val="center"/>
            <w:hideMark/>
          </w:tcPr>
          <w:p w14:paraId="68413842" w14:textId="77777777" w:rsidR="001709A5" w:rsidRPr="00317C06" w:rsidRDefault="001709A5" w:rsidP="001709A5">
            <w:pPr>
              <w:spacing w:after="0"/>
              <w:jc w:val="center"/>
              <w:rPr>
                <w:rStyle w:val="IntenseReference"/>
              </w:rPr>
            </w:pPr>
            <w:r w:rsidRPr="00317C06">
              <w:rPr>
                <w:rStyle w:val="IntenseReference"/>
              </w:rPr>
              <w:t>2</w:t>
            </w:r>
          </w:p>
        </w:tc>
        <w:tc>
          <w:tcPr>
            <w:tcW w:w="625" w:type="dxa"/>
            <w:shd w:val="clear" w:color="auto" w:fill="548DD4" w:themeFill="text2" w:themeFillTint="99"/>
            <w:noWrap/>
            <w:tcMar>
              <w:left w:w="57" w:type="dxa"/>
              <w:right w:w="57" w:type="dxa"/>
            </w:tcMar>
            <w:vAlign w:val="bottom"/>
            <w:hideMark/>
          </w:tcPr>
          <w:p w14:paraId="29183D01" w14:textId="77777777" w:rsidR="001709A5" w:rsidRPr="00317C06" w:rsidRDefault="001709A5" w:rsidP="001709A5">
            <w:pPr>
              <w:spacing w:after="0"/>
              <w:jc w:val="right"/>
              <w:rPr>
                <w:rStyle w:val="IntenseReference"/>
              </w:rPr>
            </w:pPr>
            <w:r w:rsidRPr="00317C06">
              <w:rPr>
                <w:rStyle w:val="IntenseReference"/>
              </w:rPr>
              <w:t>0.20</w:t>
            </w:r>
          </w:p>
        </w:tc>
        <w:tc>
          <w:tcPr>
            <w:tcW w:w="625" w:type="dxa"/>
            <w:shd w:val="clear" w:color="auto" w:fill="548DD4" w:themeFill="text2" w:themeFillTint="99"/>
            <w:noWrap/>
            <w:tcMar>
              <w:left w:w="57" w:type="dxa"/>
              <w:right w:w="57" w:type="dxa"/>
            </w:tcMar>
            <w:vAlign w:val="bottom"/>
            <w:hideMark/>
          </w:tcPr>
          <w:p w14:paraId="21E920F6" w14:textId="77777777" w:rsidR="001709A5" w:rsidRPr="00317C06" w:rsidRDefault="001709A5" w:rsidP="001709A5">
            <w:pPr>
              <w:spacing w:after="0"/>
              <w:jc w:val="right"/>
              <w:rPr>
                <w:rStyle w:val="IntenseReference"/>
              </w:rPr>
            </w:pPr>
            <w:r w:rsidRPr="00317C06">
              <w:rPr>
                <w:rStyle w:val="IntenseReference"/>
              </w:rPr>
              <w:t>0.92</w:t>
            </w:r>
          </w:p>
        </w:tc>
        <w:tc>
          <w:tcPr>
            <w:tcW w:w="625" w:type="dxa"/>
            <w:shd w:val="clear" w:color="auto" w:fill="FFFFFF" w:themeFill="background1"/>
            <w:noWrap/>
            <w:tcMar>
              <w:left w:w="57" w:type="dxa"/>
              <w:right w:w="57" w:type="dxa"/>
            </w:tcMar>
            <w:vAlign w:val="bottom"/>
            <w:hideMark/>
          </w:tcPr>
          <w:p w14:paraId="07A24FCB" w14:textId="77777777" w:rsidR="001709A5" w:rsidRPr="00317C06" w:rsidRDefault="001709A5" w:rsidP="001709A5">
            <w:pPr>
              <w:spacing w:after="0"/>
              <w:jc w:val="right"/>
              <w:rPr>
                <w:rStyle w:val="IntenseReference"/>
              </w:rPr>
            </w:pPr>
            <w:r w:rsidRPr="00317C06">
              <w:rPr>
                <w:rStyle w:val="IntenseReference"/>
              </w:rPr>
              <w:t>0.27</w:t>
            </w:r>
          </w:p>
        </w:tc>
        <w:tc>
          <w:tcPr>
            <w:tcW w:w="625" w:type="dxa"/>
            <w:shd w:val="clear" w:color="auto" w:fill="FFFFFF" w:themeFill="background1"/>
            <w:noWrap/>
            <w:tcMar>
              <w:left w:w="57" w:type="dxa"/>
              <w:right w:w="57" w:type="dxa"/>
            </w:tcMar>
            <w:vAlign w:val="bottom"/>
            <w:hideMark/>
          </w:tcPr>
          <w:p w14:paraId="78DBCABA" w14:textId="77777777" w:rsidR="001709A5" w:rsidRPr="00317C06" w:rsidRDefault="001709A5" w:rsidP="001709A5">
            <w:pPr>
              <w:spacing w:after="0"/>
              <w:jc w:val="right"/>
              <w:rPr>
                <w:rStyle w:val="IntenseReference"/>
              </w:rPr>
            </w:pPr>
            <w:r w:rsidRPr="00317C06">
              <w:rPr>
                <w:rStyle w:val="IntenseReference"/>
              </w:rPr>
              <w:t>0.66</w:t>
            </w:r>
          </w:p>
        </w:tc>
        <w:tc>
          <w:tcPr>
            <w:tcW w:w="625" w:type="dxa"/>
            <w:shd w:val="clear" w:color="auto" w:fill="8DB3E2" w:themeFill="text2" w:themeFillTint="66"/>
            <w:noWrap/>
            <w:tcMar>
              <w:left w:w="57" w:type="dxa"/>
              <w:right w:w="57" w:type="dxa"/>
            </w:tcMar>
            <w:vAlign w:val="bottom"/>
            <w:hideMark/>
          </w:tcPr>
          <w:p w14:paraId="22FD3350" w14:textId="77777777" w:rsidR="001709A5" w:rsidRPr="00317C06" w:rsidRDefault="001709A5" w:rsidP="001709A5">
            <w:pPr>
              <w:spacing w:after="0"/>
              <w:jc w:val="right"/>
              <w:rPr>
                <w:rStyle w:val="IntenseReference"/>
              </w:rPr>
            </w:pPr>
            <w:r w:rsidRPr="00317C06">
              <w:rPr>
                <w:rStyle w:val="IntenseReference"/>
              </w:rPr>
              <w:t>0.33</w:t>
            </w:r>
          </w:p>
        </w:tc>
        <w:tc>
          <w:tcPr>
            <w:tcW w:w="626" w:type="dxa"/>
            <w:shd w:val="clear" w:color="auto" w:fill="8DB3E2" w:themeFill="text2" w:themeFillTint="66"/>
            <w:noWrap/>
            <w:tcMar>
              <w:left w:w="57" w:type="dxa"/>
              <w:right w:w="57" w:type="dxa"/>
            </w:tcMar>
            <w:vAlign w:val="bottom"/>
            <w:hideMark/>
          </w:tcPr>
          <w:p w14:paraId="66A653B6" w14:textId="77777777" w:rsidR="001709A5" w:rsidRPr="00317C06" w:rsidRDefault="001709A5" w:rsidP="001709A5">
            <w:pPr>
              <w:spacing w:after="0"/>
              <w:jc w:val="right"/>
              <w:rPr>
                <w:rStyle w:val="IntenseReference"/>
              </w:rPr>
            </w:pPr>
            <w:r w:rsidRPr="00317C06">
              <w:rPr>
                <w:rStyle w:val="IntenseReference"/>
              </w:rPr>
              <w:t>0.82</w:t>
            </w:r>
          </w:p>
        </w:tc>
        <w:tc>
          <w:tcPr>
            <w:tcW w:w="625" w:type="dxa"/>
            <w:shd w:val="clear" w:color="auto" w:fill="548DD4" w:themeFill="text2" w:themeFillTint="99"/>
            <w:noWrap/>
            <w:tcMar>
              <w:left w:w="57" w:type="dxa"/>
              <w:right w:w="57" w:type="dxa"/>
            </w:tcMar>
            <w:vAlign w:val="bottom"/>
            <w:hideMark/>
          </w:tcPr>
          <w:p w14:paraId="15E64A2E" w14:textId="77777777" w:rsidR="001709A5" w:rsidRPr="00317C06" w:rsidRDefault="001709A5" w:rsidP="001709A5">
            <w:pPr>
              <w:spacing w:after="0"/>
              <w:jc w:val="right"/>
              <w:rPr>
                <w:rStyle w:val="IntenseReference"/>
              </w:rPr>
            </w:pPr>
            <w:r w:rsidRPr="00317C06">
              <w:rPr>
                <w:rStyle w:val="IntenseReference"/>
              </w:rPr>
              <w:t>0.29</w:t>
            </w:r>
          </w:p>
        </w:tc>
        <w:tc>
          <w:tcPr>
            <w:tcW w:w="625" w:type="dxa"/>
            <w:shd w:val="clear" w:color="auto" w:fill="548DD4" w:themeFill="text2" w:themeFillTint="99"/>
            <w:noWrap/>
            <w:tcMar>
              <w:left w:w="57" w:type="dxa"/>
              <w:right w:w="57" w:type="dxa"/>
            </w:tcMar>
            <w:vAlign w:val="bottom"/>
            <w:hideMark/>
          </w:tcPr>
          <w:p w14:paraId="3EB8911D" w14:textId="77777777" w:rsidR="001709A5" w:rsidRPr="00317C06" w:rsidRDefault="001709A5" w:rsidP="001709A5">
            <w:pPr>
              <w:spacing w:after="0"/>
              <w:jc w:val="right"/>
              <w:rPr>
                <w:rStyle w:val="IntenseReference"/>
              </w:rPr>
            </w:pPr>
            <w:r w:rsidRPr="00317C06">
              <w:rPr>
                <w:rStyle w:val="IntenseReference"/>
              </w:rPr>
              <w:t>0.92</w:t>
            </w:r>
          </w:p>
        </w:tc>
        <w:tc>
          <w:tcPr>
            <w:tcW w:w="625" w:type="dxa"/>
            <w:shd w:val="clear" w:color="auto" w:fill="548DD4" w:themeFill="text2" w:themeFillTint="99"/>
            <w:noWrap/>
            <w:tcMar>
              <w:left w:w="57" w:type="dxa"/>
              <w:right w:w="57" w:type="dxa"/>
            </w:tcMar>
            <w:vAlign w:val="bottom"/>
            <w:hideMark/>
          </w:tcPr>
          <w:p w14:paraId="49A3ED89" w14:textId="77777777" w:rsidR="001709A5" w:rsidRPr="00317C06" w:rsidRDefault="001709A5" w:rsidP="001709A5">
            <w:pPr>
              <w:spacing w:after="0"/>
              <w:jc w:val="right"/>
              <w:rPr>
                <w:rStyle w:val="IntenseReference"/>
              </w:rPr>
            </w:pPr>
            <w:r w:rsidRPr="00317C06">
              <w:rPr>
                <w:rStyle w:val="IntenseReference"/>
              </w:rPr>
              <w:t>0.07</w:t>
            </w:r>
          </w:p>
        </w:tc>
        <w:tc>
          <w:tcPr>
            <w:tcW w:w="625" w:type="dxa"/>
            <w:shd w:val="clear" w:color="auto" w:fill="548DD4" w:themeFill="text2" w:themeFillTint="99"/>
            <w:noWrap/>
            <w:tcMar>
              <w:left w:w="57" w:type="dxa"/>
              <w:right w:w="57" w:type="dxa"/>
            </w:tcMar>
            <w:vAlign w:val="bottom"/>
            <w:hideMark/>
          </w:tcPr>
          <w:p w14:paraId="30DC7F1B" w14:textId="77777777" w:rsidR="001709A5" w:rsidRPr="00317C06" w:rsidRDefault="001709A5" w:rsidP="001709A5">
            <w:pPr>
              <w:spacing w:after="0"/>
              <w:jc w:val="right"/>
              <w:rPr>
                <w:rStyle w:val="IntenseReference"/>
              </w:rPr>
            </w:pPr>
            <w:r w:rsidRPr="00317C06">
              <w:rPr>
                <w:rStyle w:val="IntenseReference"/>
              </w:rPr>
              <w:t>0.91</w:t>
            </w:r>
          </w:p>
        </w:tc>
        <w:tc>
          <w:tcPr>
            <w:tcW w:w="625" w:type="dxa"/>
            <w:shd w:val="clear" w:color="auto" w:fill="FFFFFF" w:themeFill="background1"/>
            <w:noWrap/>
            <w:tcMar>
              <w:left w:w="57" w:type="dxa"/>
              <w:right w:w="57" w:type="dxa"/>
            </w:tcMar>
            <w:vAlign w:val="bottom"/>
            <w:hideMark/>
          </w:tcPr>
          <w:p w14:paraId="1604FC96" w14:textId="77777777" w:rsidR="001709A5" w:rsidRPr="00317C06" w:rsidRDefault="001709A5" w:rsidP="001709A5">
            <w:pPr>
              <w:spacing w:after="0"/>
              <w:jc w:val="right"/>
              <w:rPr>
                <w:rStyle w:val="IntenseReference"/>
              </w:rPr>
            </w:pPr>
            <w:r w:rsidRPr="00317C06">
              <w:rPr>
                <w:rStyle w:val="IntenseReference"/>
              </w:rPr>
              <w:t>0.04</w:t>
            </w:r>
          </w:p>
        </w:tc>
        <w:tc>
          <w:tcPr>
            <w:tcW w:w="626" w:type="dxa"/>
            <w:shd w:val="clear" w:color="auto" w:fill="FFFFFF" w:themeFill="background1"/>
            <w:noWrap/>
            <w:tcMar>
              <w:left w:w="57" w:type="dxa"/>
              <w:right w:w="57" w:type="dxa"/>
            </w:tcMar>
            <w:vAlign w:val="bottom"/>
            <w:hideMark/>
          </w:tcPr>
          <w:p w14:paraId="585ACECC" w14:textId="77777777" w:rsidR="001709A5" w:rsidRPr="00317C06" w:rsidRDefault="001709A5" w:rsidP="001709A5">
            <w:pPr>
              <w:spacing w:after="0"/>
              <w:jc w:val="right"/>
              <w:rPr>
                <w:rStyle w:val="IntenseReference"/>
              </w:rPr>
            </w:pPr>
            <w:r w:rsidRPr="00317C06">
              <w:rPr>
                <w:rStyle w:val="IntenseReference"/>
              </w:rPr>
              <w:t>0.54</w:t>
            </w:r>
          </w:p>
        </w:tc>
      </w:tr>
      <w:tr w:rsidR="001709A5" w:rsidRPr="00317C06" w14:paraId="5D7A3CC7" w14:textId="77777777" w:rsidTr="001709A5">
        <w:trPr>
          <w:trHeight w:val="300"/>
        </w:trPr>
        <w:tc>
          <w:tcPr>
            <w:tcW w:w="1074" w:type="dxa"/>
            <w:vMerge/>
            <w:shd w:val="clear" w:color="auto" w:fill="auto"/>
            <w:noWrap/>
            <w:tcMar>
              <w:left w:w="57" w:type="dxa"/>
              <w:right w:w="57" w:type="dxa"/>
            </w:tcMar>
            <w:vAlign w:val="center"/>
            <w:hideMark/>
          </w:tcPr>
          <w:p w14:paraId="08DBA633" w14:textId="77777777" w:rsidR="001709A5" w:rsidRPr="00317C06" w:rsidRDefault="001709A5" w:rsidP="001709A5">
            <w:pPr>
              <w:spacing w:after="0"/>
              <w:jc w:val="right"/>
              <w:rPr>
                <w:rStyle w:val="IntenseReference"/>
              </w:rPr>
            </w:pPr>
          </w:p>
        </w:tc>
        <w:tc>
          <w:tcPr>
            <w:tcW w:w="350" w:type="dxa"/>
            <w:shd w:val="clear" w:color="auto" w:fill="auto"/>
            <w:noWrap/>
            <w:tcMar>
              <w:left w:w="57" w:type="dxa"/>
              <w:right w:w="57" w:type="dxa"/>
            </w:tcMar>
            <w:vAlign w:val="center"/>
            <w:hideMark/>
          </w:tcPr>
          <w:p w14:paraId="6D83B5CF" w14:textId="77777777" w:rsidR="001709A5" w:rsidRPr="00317C06" w:rsidRDefault="001709A5" w:rsidP="001709A5">
            <w:pPr>
              <w:spacing w:after="0"/>
              <w:jc w:val="center"/>
              <w:rPr>
                <w:rStyle w:val="IntenseReference"/>
              </w:rPr>
            </w:pPr>
            <w:r w:rsidRPr="00317C06">
              <w:rPr>
                <w:rStyle w:val="IntenseReference"/>
              </w:rPr>
              <w:t>5</w:t>
            </w:r>
          </w:p>
        </w:tc>
        <w:tc>
          <w:tcPr>
            <w:tcW w:w="625" w:type="dxa"/>
            <w:shd w:val="clear" w:color="auto" w:fill="auto"/>
            <w:noWrap/>
            <w:tcMar>
              <w:left w:w="57" w:type="dxa"/>
              <w:right w:w="57" w:type="dxa"/>
            </w:tcMar>
            <w:vAlign w:val="bottom"/>
            <w:hideMark/>
          </w:tcPr>
          <w:p w14:paraId="70E2CABF" w14:textId="77777777" w:rsidR="001709A5" w:rsidRPr="00317C06" w:rsidRDefault="001709A5" w:rsidP="001709A5">
            <w:pPr>
              <w:spacing w:after="0"/>
              <w:jc w:val="right"/>
              <w:rPr>
                <w:rStyle w:val="IntenseReference"/>
              </w:rPr>
            </w:pPr>
            <w:r w:rsidRPr="00317C06">
              <w:rPr>
                <w:rStyle w:val="IntenseReference"/>
              </w:rPr>
              <w:t>0.06</w:t>
            </w:r>
          </w:p>
        </w:tc>
        <w:tc>
          <w:tcPr>
            <w:tcW w:w="625" w:type="dxa"/>
            <w:shd w:val="clear" w:color="auto" w:fill="auto"/>
            <w:noWrap/>
            <w:tcMar>
              <w:left w:w="57" w:type="dxa"/>
              <w:right w:w="57" w:type="dxa"/>
            </w:tcMar>
            <w:vAlign w:val="bottom"/>
            <w:hideMark/>
          </w:tcPr>
          <w:p w14:paraId="4788E7AA" w14:textId="77777777" w:rsidR="001709A5" w:rsidRPr="00317C06" w:rsidRDefault="001709A5" w:rsidP="001709A5">
            <w:pPr>
              <w:spacing w:after="0"/>
              <w:jc w:val="right"/>
              <w:rPr>
                <w:rStyle w:val="IntenseReference"/>
              </w:rPr>
            </w:pPr>
            <w:r w:rsidRPr="00317C06">
              <w:rPr>
                <w:rStyle w:val="IntenseReference"/>
              </w:rPr>
              <w:t>0.70</w:t>
            </w:r>
          </w:p>
        </w:tc>
        <w:tc>
          <w:tcPr>
            <w:tcW w:w="625" w:type="dxa"/>
            <w:shd w:val="clear" w:color="auto" w:fill="C6D9F1" w:themeFill="text2" w:themeFillTint="33"/>
            <w:noWrap/>
            <w:tcMar>
              <w:left w:w="57" w:type="dxa"/>
              <w:right w:w="57" w:type="dxa"/>
            </w:tcMar>
            <w:vAlign w:val="bottom"/>
            <w:hideMark/>
          </w:tcPr>
          <w:p w14:paraId="6A2C3C59" w14:textId="77777777" w:rsidR="001709A5" w:rsidRPr="00317C06" w:rsidRDefault="001709A5" w:rsidP="001709A5">
            <w:pPr>
              <w:spacing w:after="0"/>
              <w:jc w:val="right"/>
              <w:rPr>
                <w:rStyle w:val="IntenseReference"/>
              </w:rPr>
            </w:pPr>
            <w:r w:rsidRPr="00317C06">
              <w:rPr>
                <w:rStyle w:val="IntenseReference"/>
              </w:rPr>
              <w:t>0.22</w:t>
            </w:r>
          </w:p>
        </w:tc>
        <w:tc>
          <w:tcPr>
            <w:tcW w:w="625" w:type="dxa"/>
            <w:shd w:val="clear" w:color="auto" w:fill="C6D9F1" w:themeFill="text2" w:themeFillTint="33"/>
            <w:noWrap/>
            <w:tcMar>
              <w:left w:w="57" w:type="dxa"/>
              <w:right w:w="57" w:type="dxa"/>
            </w:tcMar>
            <w:vAlign w:val="bottom"/>
            <w:hideMark/>
          </w:tcPr>
          <w:p w14:paraId="3E140922" w14:textId="77777777" w:rsidR="001709A5" w:rsidRPr="00317C06" w:rsidRDefault="001709A5" w:rsidP="001709A5">
            <w:pPr>
              <w:spacing w:after="0"/>
              <w:jc w:val="right"/>
              <w:rPr>
                <w:rStyle w:val="IntenseReference"/>
              </w:rPr>
            </w:pPr>
            <w:r w:rsidRPr="00317C06">
              <w:rPr>
                <w:rStyle w:val="IntenseReference"/>
              </w:rPr>
              <w:t>0.70</w:t>
            </w:r>
          </w:p>
        </w:tc>
        <w:tc>
          <w:tcPr>
            <w:tcW w:w="625" w:type="dxa"/>
            <w:shd w:val="clear" w:color="auto" w:fill="auto"/>
            <w:noWrap/>
            <w:tcMar>
              <w:left w:w="57" w:type="dxa"/>
              <w:right w:w="57" w:type="dxa"/>
            </w:tcMar>
            <w:vAlign w:val="bottom"/>
            <w:hideMark/>
          </w:tcPr>
          <w:p w14:paraId="21AF3F49" w14:textId="77777777" w:rsidR="001709A5" w:rsidRPr="00317C06" w:rsidRDefault="001709A5" w:rsidP="001709A5">
            <w:pPr>
              <w:spacing w:after="0"/>
              <w:jc w:val="right"/>
              <w:rPr>
                <w:rStyle w:val="IntenseReference"/>
              </w:rPr>
            </w:pPr>
            <w:r w:rsidRPr="00317C06">
              <w:rPr>
                <w:rStyle w:val="IntenseReference"/>
              </w:rPr>
              <w:t>-0.06</w:t>
            </w:r>
          </w:p>
        </w:tc>
        <w:tc>
          <w:tcPr>
            <w:tcW w:w="626" w:type="dxa"/>
            <w:shd w:val="clear" w:color="auto" w:fill="auto"/>
            <w:noWrap/>
            <w:tcMar>
              <w:left w:w="57" w:type="dxa"/>
              <w:right w:w="57" w:type="dxa"/>
            </w:tcMar>
            <w:vAlign w:val="bottom"/>
            <w:hideMark/>
          </w:tcPr>
          <w:p w14:paraId="5B1B9681" w14:textId="77777777" w:rsidR="001709A5" w:rsidRPr="00317C06" w:rsidRDefault="001709A5" w:rsidP="001709A5">
            <w:pPr>
              <w:spacing w:after="0"/>
              <w:jc w:val="right"/>
              <w:rPr>
                <w:rStyle w:val="IntenseReference"/>
              </w:rPr>
            </w:pPr>
            <w:r w:rsidRPr="00317C06">
              <w:rPr>
                <w:rStyle w:val="IntenseReference"/>
              </w:rPr>
              <w:t>0.54</w:t>
            </w:r>
          </w:p>
        </w:tc>
        <w:tc>
          <w:tcPr>
            <w:tcW w:w="625" w:type="dxa"/>
            <w:shd w:val="clear" w:color="auto" w:fill="C6D9F1" w:themeFill="text2" w:themeFillTint="33"/>
            <w:noWrap/>
            <w:tcMar>
              <w:left w:w="57" w:type="dxa"/>
              <w:right w:w="57" w:type="dxa"/>
            </w:tcMar>
            <w:vAlign w:val="bottom"/>
            <w:hideMark/>
          </w:tcPr>
          <w:p w14:paraId="4C69BB8A" w14:textId="77777777" w:rsidR="001709A5" w:rsidRPr="00317C06" w:rsidRDefault="001709A5" w:rsidP="001709A5">
            <w:pPr>
              <w:spacing w:after="0"/>
              <w:jc w:val="right"/>
              <w:rPr>
                <w:rStyle w:val="IntenseReference"/>
              </w:rPr>
            </w:pPr>
            <w:r w:rsidRPr="00317C06">
              <w:rPr>
                <w:rStyle w:val="IntenseReference"/>
              </w:rPr>
              <w:t>0.14</w:t>
            </w:r>
          </w:p>
        </w:tc>
        <w:tc>
          <w:tcPr>
            <w:tcW w:w="625" w:type="dxa"/>
            <w:shd w:val="clear" w:color="auto" w:fill="C6D9F1" w:themeFill="text2" w:themeFillTint="33"/>
            <w:noWrap/>
            <w:tcMar>
              <w:left w:w="57" w:type="dxa"/>
              <w:right w:w="57" w:type="dxa"/>
            </w:tcMar>
            <w:vAlign w:val="bottom"/>
            <w:hideMark/>
          </w:tcPr>
          <w:p w14:paraId="0F4C6D76" w14:textId="77777777" w:rsidR="001709A5" w:rsidRPr="00317C06" w:rsidRDefault="001709A5" w:rsidP="001709A5">
            <w:pPr>
              <w:spacing w:after="0"/>
              <w:jc w:val="right"/>
              <w:rPr>
                <w:rStyle w:val="IntenseReference"/>
              </w:rPr>
            </w:pPr>
            <w:r w:rsidRPr="00317C06">
              <w:rPr>
                <w:rStyle w:val="IntenseReference"/>
              </w:rPr>
              <w:t>0.77</w:t>
            </w:r>
          </w:p>
        </w:tc>
        <w:tc>
          <w:tcPr>
            <w:tcW w:w="625" w:type="dxa"/>
            <w:shd w:val="clear" w:color="auto" w:fill="8DB3E2" w:themeFill="text2" w:themeFillTint="66"/>
            <w:noWrap/>
            <w:tcMar>
              <w:left w:w="57" w:type="dxa"/>
              <w:right w:w="57" w:type="dxa"/>
            </w:tcMar>
            <w:vAlign w:val="bottom"/>
            <w:hideMark/>
          </w:tcPr>
          <w:p w14:paraId="020FF08F" w14:textId="77777777" w:rsidR="001709A5" w:rsidRPr="00317C06" w:rsidRDefault="001709A5" w:rsidP="001709A5">
            <w:pPr>
              <w:spacing w:after="0"/>
              <w:jc w:val="right"/>
              <w:rPr>
                <w:rStyle w:val="IntenseReference"/>
              </w:rPr>
            </w:pPr>
            <w:r w:rsidRPr="00317C06">
              <w:rPr>
                <w:rStyle w:val="IntenseReference"/>
              </w:rPr>
              <w:t>0.16</w:t>
            </w:r>
          </w:p>
        </w:tc>
        <w:tc>
          <w:tcPr>
            <w:tcW w:w="625" w:type="dxa"/>
            <w:shd w:val="clear" w:color="auto" w:fill="8DB3E2" w:themeFill="text2" w:themeFillTint="66"/>
            <w:noWrap/>
            <w:tcMar>
              <w:left w:w="57" w:type="dxa"/>
              <w:right w:w="57" w:type="dxa"/>
            </w:tcMar>
            <w:vAlign w:val="bottom"/>
            <w:hideMark/>
          </w:tcPr>
          <w:p w14:paraId="388C4344" w14:textId="77777777" w:rsidR="001709A5" w:rsidRPr="00317C06" w:rsidRDefault="001709A5" w:rsidP="001709A5">
            <w:pPr>
              <w:spacing w:after="0"/>
              <w:jc w:val="right"/>
              <w:rPr>
                <w:rStyle w:val="IntenseReference"/>
              </w:rPr>
            </w:pPr>
            <w:r w:rsidRPr="00317C06">
              <w:rPr>
                <w:rStyle w:val="IntenseReference"/>
              </w:rPr>
              <w:t>0.83</w:t>
            </w:r>
          </w:p>
        </w:tc>
        <w:tc>
          <w:tcPr>
            <w:tcW w:w="625" w:type="dxa"/>
            <w:shd w:val="clear" w:color="auto" w:fill="FFFFFF" w:themeFill="background1"/>
            <w:noWrap/>
            <w:tcMar>
              <w:left w:w="57" w:type="dxa"/>
              <w:right w:w="57" w:type="dxa"/>
            </w:tcMar>
            <w:vAlign w:val="bottom"/>
            <w:hideMark/>
          </w:tcPr>
          <w:p w14:paraId="77FD4CB6" w14:textId="77777777" w:rsidR="001709A5" w:rsidRPr="00317C06" w:rsidRDefault="001709A5" w:rsidP="001709A5">
            <w:pPr>
              <w:spacing w:after="0"/>
              <w:jc w:val="right"/>
              <w:rPr>
                <w:rStyle w:val="IntenseReference"/>
              </w:rPr>
            </w:pPr>
            <w:r w:rsidRPr="00317C06">
              <w:rPr>
                <w:rStyle w:val="IntenseReference"/>
              </w:rPr>
              <w:t>-0.10</w:t>
            </w:r>
          </w:p>
        </w:tc>
        <w:tc>
          <w:tcPr>
            <w:tcW w:w="626" w:type="dxa"/>
            <w:shd w:val="clear" w:color="auto" w:fill="FFFFFF" w:themeFill="background1"/>
            <w:noWrap/>
            <w:tcMar>
              <w:left w:w="57" w:type="dxa"/>
              <w:right w:w="57" w:type="dxa"/>
            </w:tcMar>
            <w:vAlign w:val="bottom"/>
            <w:hideMark/>
          </w:tcPr>
          <w:p w14:paraId="4B74DE20" w14:textId="77777777" w:rsidR="001709A5" w:rsidRPr="00317C06" w:rsidRDefault="001709A5" w:rsidP="001709A5">
            <w:pPr>
              <w:spacing w:after="0"/>
              <w:jc w:val="right"/>
              <w:rPr>
                <w:rStyle w:val="IntenseReference"/>
              </w:rPr>
            </w:pPr>
            <w:r w:rsidRPr="00317C06">
              <w:rPr>
                <w:rStyle w:val="IntenseReference"/>
              </w:rPr>
              <w:t>0.69</w:t>
            </w:r>
          </w:p>
        </w:tc>
      </w:tr>
    </w:tbl>
    <w:p w14:paraId="357A7F40" w14:textId="77777777" w:rsidR="001709A5" w:rsidRPr="00B14EAC" w:rsidRDefault="001709A5" w:rsidP="001709A5"/>
    <w:p w14:paraId="232A50F0" w14:textId="00EA9D6A" w:rsidR="00E46159" w:rsidRDefault="00E46159" w:rsidP="00FF5767">
      <w:r>
        <w:t>Prior to 2014 the trajectories for Cover Change scores have varied dramatically between reefs (</w:t>
      </w:r>
      <w:r>
        <w:fldChar w:fldCharType="begin"/>
      </w:r>
      <w:r>
        <w:instrText xml:space="preserve"> REF _Ref491181369 \h </w:instrText>
      </w:r>
      <w:r>
        <w:fldChar w:fldCharType="separate"/>
      </w:r>
      <w:r w:rsidR="00D806F2">
        <w:t xml:space="preserve">Figure </w:t>
      </w:r>
      <w:r w:rsidR="00D806F2">
        <w:rPr>
          <w:noProof/>
        </w:rPr>
        <w:t>15</w:t>
      </w:r>
      <w:r>
        <w:fldChar w:fldCharType="end"/>
      </w:r>
      <w:r>
        <w:t>e). It is difficult to interpret inter-reef changes in this variable as scores average over changes in cover observed over the preceding four years, excluding those influenced by acute events. In this region in particular, the timing of disturbances has varied from reef to reef as COTS populations have been variously present at reefs in any given year and the exposure to storms has also varied due to the replication of sites on leeward and windward aspects of most reefs. The result is that estimates of Cover Change are based on a variable set of observations for each reef in any given year. With no disturbances in the last two years the scores for each reef are more compar</w:t>
      </w:r>
      <w:r w:rsidR="001709A5">
        <w:t>able, and consistently improved</w:t>
      </w:r>
      <w:r>
        <w:t xml:space="preserve"> (</w:t>
      </w:r>
      <w:r>
        <w:fldChar w:fldCharType="begin"/>
      </w:r>
      <w:r>
        <w:instrText xml:space="preserve"> REF _Ref491181369 \h </w:instrText>
      </w:r>
      <w:r>
        <w:fldChar w:fldCharType="separate"/>
      </w:r>
      <w:r w:rsidR="00D806F2">
        <w:t xml:space="preserve">Figure </w:t>
      </w:r>
      <w:r w:rsidR="00D806F2">
        <w:rPr>
          <w:noProof/>
        </w:rPr>
        <w:t>15</w:t>
      </w:r>
      <w:r>
        <w:fldChar w:fldCharType="end"/>
      </w:r>
      <w:r>
        <w:t xml:space="preserve">e). </w:t>
      </w:r>
    </w:p>
    <w:p w14:paraId="0F37AFE2" w14:textId="3F89F9A9" w:rsidR="006B5F2F" w:rsidRDefault="006B5F2F" w:rsidP="006B5F2F">
      <w:pPr>
        <w:rPr>
          <w:rFonts w:eastAsiaTheme="minorHAnsi" w:cs="Arial"/>
          <w:szCs w:val="22"/>
          <w:lang w:val="en-AU"/>
        </w:rPr>
      </w:pPr>
      <w:r>
        <w:rPr>
          <w:rFonts w:eastAsiaTheme="minorHAnsi" w:cs="Arial"/>
          <w:szCs w:val="22"/>
          <w:lang w:val="en-AU"/>
        </w:rPr>
        <w:t>Reefs in this subregion were n</w:t>
      </w:r>
      <w:r w:rsidR="001709A5">
        <w:rPr>
          <w:rFonts w:eastAsiaTheme="minorHAnsi" w:cs="Arial"/>
          <w:szCs w:val="22"/>
          <w:lang w:val="en-AU"/>
        </w:rPr>
        <w:t xml:space="preserve">ot severely impacted by </w:t>
      </w:r>
      <w:r>
        <w:rPr>
          <w:rFonts w:eastAsiaTheme="minorHAnsi" w:cs="Arial"/>
          <w:szCs w:val="22"/>
          <w:lang w:val="en-AU"/>
        </w:rPr>
        <w:t>high water temperatures over the 2015-2016 summer that lead to severe impacts on the northern Reef (GBRMPA 2016</w:t>
      </w:r>
      <w:r w:rsidR="008200AB">
        <w:rPr>
          <w:rFonts w:eastAsiaTheme="minorHAnsi" w:cs="Arial"/>
          <w:szCs w:val="22"/>
          <w:lang w:val="en-AU"/>
        </w:rPr>
        <w:t xml:space="preserve">, </w:t>
      </w:r>
      <w:r w:rsidR="008200AB">
        <w:rPr>
          <w:rFonts w:eastAsiaTheme="minorHAnsi" w:cs="Arial"/>
          <w:szCs w:val="22"/>
          <w:lang w:val="en-AU"/>
        </w:rPr>
        <w:fldChar w:fldCharType="begin"/>
      </w:r>
      <w:r w:rsidR="008200AB">
        <w:rPr>
          <w:rFonts w:eastAsiaTheme="minorHAnsi" w:cs="Arial"/>
          <w:szCs w:val="22"/>
          <w:lang w:val="en-AU"/>
        </w:rPr>
        <w:instrText xml:space="preserve"> REF _Ref491180328 \h </w:instrText>
      </w:r>
      <w:r w:rsidR="008200AB">
        <w:rPr>
          <w:rFonts w:eastAsiaTheme="minorHAnsi" w:cs="Arial"/>
          <w:szCs w:val="22"/>
          <w:lang w:val="en-AU"/>
        </w:rPr>
      </w:r>
      <w:r w:rsidR="008200AB">
        <w:rPr>
          <w:rFonts w:eastAsiaTheme="minorHAnsi" w:cs="Arial"/>
          <w:szCs w:val="22"/>
          <w:lang w:val="en-AU"/>
        </w:rPr>
        <w:fldChar w:fldCharType="separate"/>
      </w:r>
      <w:r w:rsidR="00D806F2">
        <w:t xml:space="preserve">Figure </w:t>
      </w:r>
      <w:r w:rsidR="00D806F2">
        <w:rPr>
          <w:noProof/>
        </w:rPr>
        <w:t>14</w:t>
      </w:r>
      <w:r w:rsidR="008200AB">
        <w:rPr>
          <w:rFonts w:eastAsiaTheme="minorHAnsi" w:cs="Arial"/>
          <w:szCs w:val="22"/>
          <w:lang w:val="en-AU"/>
        </w:rPr>
        <w:fldChar w:fldCharType="end"/>
      </w:r>
      <w:r w:rsidR="008200AB">
        <w:rPr>
          <w:rFonts w:eastAsiaTheme="minorHAnsi" w:cs="Arial"/>
          <w:szCs w:val="22"/>
          <w:lang w:val="en-AU"/>
        </w:rPr>
        <w:t>c</w:t>
      </w:r>
      <w:r>
        <w:rPr>
          <w:rFonts w:eastAsiaTheme="minorHAnsi" w:cs="Arial"/>
          <w:szCs w:val="22"/>
          <w:lang w:val="en-AU"/>
        </w:rPr>
        <w:t>). Bleaching during 2016 surveys wa</w:t>
      </w:r>
      <w:r w:rsidRPr="00260BBC">
        <w:rPr>
          <w:rFonts w:eastAsiaTheme="minorHAnsi" w:cs="Arial"/>
          <w:szCs w:val="22"/>
          <w:lang w:val="en-AU"/>
        </w:rPr>
        <w:t>s minor</w:t>
      </w:r>
      <w:r>
        <w:rPr>
          <w:rFonts w:eastAsiaTheme="minorHAnsi" w:cs="Arial"/>
          <w:szCs w:val="22"/>
          <w:lang w:val="en-AU"/>
        </w:rPr>
        <w:t xml:space="preserve">, </w:t>
      </w:r>
      <w:r w:rsidRPr="00260BBC">
        <w:rPr>
          <w:rFonts w:eastAsiaTheme="minorHAnsi" w:cs="Arial"/>
          <w:szCs w:val="22"/>
          <w:lang w:val="en-AU"/>
        </w:rPr>
        <w:t xml:space="preserve">limited to a scattering of individual colonies observed to be white or fluorescing on the reef slopes at Fitzroy and High Islands. Colonies </w:t>
      </w:r>
      <w:r>
        <w:rPr>
          <w:rFonts w:eastAsiaTheme="minorHAnsi" w:cs="Arial"/>
          <w:szCs w:val="22"/>
          <w:lang w:val="en-AU"/>
        </w:rPr>
        <w:t xml:space="preserve">exhibiting bleaching </w:t>
      </w:r>
      <w:r w:rsidRPr="00260BBC">
        <w:rPr>
          <w:rFonts w:eastAsiaTheme="minorHAnsi" w:cs="Arial"/>
          <w:szCs w:val="22"/>
          <w:lang w:val="en-AU"/>
        </w:rPr>
        <w:t xml:space="preserve">were principally from the more sensitive </w:t>
      </w:r>
      <w:r>
        <w:rPr>
          <w:rFonts w:eastAsiaTheme="minorHAnsi" w:cs="Arial"/>
          <w:szCs w:val="22"/>
          <w:lang w:val="en-AU"/>
        </w:rPr>
        <w:t>genera</w:t>
      </w:r>
      <w:r w:rsidRPr="00260BBC">
        <w:rPr>
          <w:rFonts w:eastAsiaTheme="minorHAnsi" w:cs="Arial"/>
          <w:szCs w:val="22"/>
          <w:lang w:val="en-AU"/>
        </w:rPr>
        <w:t xml:space="preserve">, </w:t>
      </w:r>
      <w:r w:rsidRPr="00707D1C">
        <w:rPr>
          <w:rFonts w:eastAsiaTheme="minorHAnsi" w:cs="Arial"/>
          <w:i/>
          <w:szCs w:val="22"/>
          <w:lang w:val="en-AU"/>
        </w:rPr>
        <w:t>Pocillopora</w:t>
      </w:r>
      <w:r w:rsidRPr="00260BBC">
        <w:rPr>
          <w:rFonts w:eastAsiaTheme="minorHAnsi" w:cs="Arial"/>
          <w:szCs w:val="22"/>
          <w:lang w:val="en-AU"/>
        </w:rPr>
        <w:t xml:space="preserve">, and </w:t>
      </w:r>
      <w:r w:rsidRPr="00707D1C">
        <w:rPr>
          <w:rFonts w:eastAsiaTheme="minorHAnsi" w:cs="Arial"/>
          <w:i/>
          <w:szCs w:val="22"/>
          <w:lang w:val="en-AU"/>
        </w:rPr>
        <w:t>Montipora</w:t>
      </w:r>
      <w:r w:rsidRPr="00260BBC">
        <w:rPr>
          <w:rFonts w:eastAsiaTheme="minorHAnsi" w:cs="Arial"/>
          <w:szCs w:val="22"/>
          <w:lang w:val="en-AU"/>
        </w:rPr>
        <w:t xml:space="preserve">. This is in contrast to the 1998 bleaching event where Fitzroy </w:t>
      </w:r>
      <w:r>
        <w:rPr>
          <w:rFonts w:eastAsiaTheme="minorHAnsi" w:cs="Arial"/>
          <w:szCs w:val="22"/>
          <w:lang w:val="en-AU"/>
        </w:rPr>
        <w:t xml:space="preserve">Island and the Frankland Group </w:t>
      </w:r>
      <w:r w:rsidRPr="00260BBC">
        <w:rPr>
          <w:rFonts w:eastAsiaTheme="minorHAnsi" w:cs="Arial"/>
          <w:szCs w:val="22"/>
          <w:lang w:val="en-AU"/>
        </w:rPr>
        <w:t>lost 81%</w:t>
      </w:r>
      <w:r>
        <w:rPr>
          <w:rFonts w:eastAsiaTheme="minorHAnsi" w:cs="Arial"/>
          <w:szCs w:val="22"/>
          <w:lang w:val="en-AU"/>
        </w:rPr>
        <w:t xml:space="preserve"> and 44% of their</w:t>
      </w:r>
      <w:r w:rsidRPr="00260BBC">
        <w:rPr>
          <w:rFonts w:eastAsiaTheme="minorHAnsi" w:cs="Arial"/>
          <w:szCs w:val="22"/>
          <w:lang w:val="en-AU"/>
        </w:rPr>
        <w:t xml:space="preserve"> coral cover</w:t>
      </w:r>
      <w:r>
        <w:rPr>
          <w:rFonts w:eastAsiaTheme="minorHAnsi" w:cs="Arial"/>
          <w:szCs w:val="22"/>
          <w:lang w:val="en-AU"/>
        </w:rPr>
        <w:t xml:space="preserve"> </w:t>
      </w:r>
      <w:r w:rsidRPr="00F301BD">
        <w:rPr>
          <w:rFonts w:eastAsiaTheme="minorHAnsi" w:cs="Arial"/>
          <w:szCs w:val="22"/>
          <w:lang w:val="en-AU"/>
        </w:rPr>
        <w:t>respectively (</w:t>
      </w:r>
      <w:r w:rsidR="008200AB">
        <w:rPr>
          <w:rFonts w:eastAsiaTheme="minorHAnsi" w:cs="Arial"/>
          <w:szCs w:val="22"/>
          <w:lang w:val="en-AU"/>
        </w:rPr>
        <w:fldChar w:fldCharType="begin"/>
      </w:r>
      <w:r w:rsidR="008200AB">
        <w:rPr>
          <w:rFonts w:eastAsiaTheme="minorHAnsi" w:cs="Arial"/>
          <w:szCs w:val="22"/>
          <w:lang w:val="en-AU"/>
        </w:rPr>
        <w:instrText xml:space="preserve"> REF _Ref491178994 \h </w:instrText>
      </w:r>
      <w:r w:rsidR="008200AB">
        <w:rPr>
          <w:rFonts w:eastAsiaTheme="minorHAnsi" w:cs="Arial"/>
          <w:szCs w:val="22"/>
          <w:lang w:val="en-AU"/>
        </w:rPr>
      </w:r>
      <w:r w:rsidR="008200AB">
        <w:rPr>
          <w:rFonts w:eastAsiaTheme="minorHAnsi" w:cs="Arial"/>
          <w:szCs w:val="22"/>
          <w:lang w:val="en-AU"/>
        </w:rPr>
        <w:fldChar w:fldCharType="separate"/>
      </w:r>
      <w:r w:rsidR="00D806F2">
        <w:t xml:space="preserve">Table A1. </w:t>
      </w:r>
      <w:r w:rsidR="00D806F2">
        <w:rPr>
          <w:noProof/>
        </w:rPr>
        <w:t>4</w:t>
      </w:r>
      <w:r w:rsidR="008200AB">
        <w:rPr>
          <w:rFonts w:eastAsiaTheme="minorHAnsi" w:cs="Arial"/>
          <w:szCs w:val="22"/>
          <w:lang w:val="en-AU"/>
        </w:rPr>
        <w:fldChar w:fldCharType="end"/>
      </w:r>
      <w:r w:rsidRPr="00F301BD">
        <w:rPr>
          <w:rFonts w:eastAsiaTheme="minorHAnsi" w:cs="Arial"/>
          <w:szCs w:val="22"/>
          <w:lang w:val="en-AU"/>
        </w:rPr>
        <w:t>).</w:t>
      </w:r>
      <w:r w:rsidR="00E75F5C">
        <w:rPr>
          <w:rFonts w:eastAsiaTheme="minorHAnsi" w:cs="Arial"/>
          <w:szCs w:val="22"/>
          <w:lang w:val="en-AU"/>
        </w:rPr>
        <w:t xml:space="preserve">  </w:t>
      </w:r>
    </w:p>
    <w:p w14:paraId="57AE7AC5" w14:textId="2913B1BF" w:rsidR="0011079D" w:rsidRPr="0075117D" w:rsidRDefault="0011079D" w:rsidP="006B5F2F">
      <w:pPr>
        <w:rPr>
          <w:rFonts w:cs="Arial"/>
          <w:szCs w:val="22"/>
        </w:rPr>
      </w:pPr>
      <w:r>
        <w:t>In 2011 the reefs in this region suffered their most severe setback</w:t>
      </w:r>
      <w:r w:rsidRPr="00B14EAC">
        <w:t xml:space="preserve"> (</w:t>
      </w:r>
      <w:r w:rsidR="00940CC9">
        <w:fldChar w:fldCharType="begin"/>
      </w:r>
      <w:r w:rsidR="00940CC9">
        <w:instrText xml:space="preserve"> REF _Ref491180328 \h </w:instrText>
      </w:r>
      <w:r w:rsidR="00940CC9">
        <w:fldChar w:fldCharType="separate"/>
      </w:r>
      <w:r w:rsidR="00D806F2">
        <w:t xml:space="preserve">Figure </w:t>
      </w:r>
      <w:r w:rsidR="00D806F2">
        <w:rPr>
          <w:noProof/>
        </w:rPr>
        <w:t>14</w:t>
      </w:r>
      <w:r w:rsidR="00940CC9">
        <w:fldChar w:fldCharType="end"/>
      </w:r>
      <w:r w:rsidR="00940CC9">
        <w:t>e</w:t>
      </w:r>
      <w:r w:rsidRPr="00B14EAC">
        <w:t>). Two consecutive cyclones</w:t>
      </w:r>
      <w:r>
        <w:t>,</w:t>
      </w:r>
      <w:r w:rsidRPr="00B14EAC">
        <w:t xml:space="preserve"> Tasha and Yasi, caused significant damage to </w:t>
      </w:r>
      <w:r>
        <w:t xml:space="preserve">coral communities at </w:t>
      </w:r>
      <w:r w:rsidRPr="00B14EAC">
        <w:t>Franklands East</w:t>
      </w:r>
      <w:r>
        <w:t>, Franklands</w:t>
      </w:r>
      <w:r w:rsidRPr="00B14EAC">
        <w:t xml:space="preserve"> West and High East</w:t>
      </w:r>
      <w:r>
        <w:t xml:space="preserve">. </w:t>
      </w:r>
      <w:r w:rsidR="005D5A92">
        <w:t xml:space="preserve">At High West, loss of coral cover at 2 m depth following these cyclones was attributed </w:t>
      </w:r>
      <w:r>
        <w:t xml:space="preserve">to low salinity floodwaters </w:t>
      </w:r>
      <w:r w:rsidRPr="00BE20D6">
        <w:t>(</w:t>
      </w:r>
      <w:r w:rsidR="00940CC9" w:rsidRPr="00BE20D6">
        <w:fldChar w:fldCharType="begin"/>
      </w:r>
      <w:r w:rsidR="00940CC9" w:rsidRPr="00BE20D6">
        <w:instrText xml:space="preserve"> REF _Ref491178994 \h </w:instrText>
      </w:r>
      <w:r w:rsidR="00671DC7" w:rsidRPr="00BE20D6">
        <w:instrText xml:space="preserve"> \* MERGEFORMAT </w:instrText>
      </w:r>
      <w:r w:rsidR="00940CC9" w:rsidRPr="00BE20D6">
        <w:fldChar w:fldCharType="separate"/>
      </w:r>
      <w:r w:rsidR="00D806F2">
        <w:t xml:space="preserve">Table A1. </w:t>
      </w:r>
      <w:r w:rsidR="00D806F2">
        <w:rPr>
          <w:noProof/>
        </w:rPr>
        <w:t>4</w:t>
      </w:r>
      <w:r w:rsidR="00940CC9" w:rsidRPr="00BE20D6">
        <w:fldChar w:fldCharType="end"/>
      </w:r>
      <w:r w:rsidR="00BE20D6" w:rsidRPr="00BE20D6">
        <w:t xml:space="preserve">, </w:t>
      </w:r>
      <w:r w:rsidR="00BE20D6" w:rsidRPr="00BE20D6">
        <w:fldChar w:fldCharType="begin"/>
      </w:r>
      <w:r w:rsidR="00BE20D6" w:rsidRPr="00BE20D6">
        <w:instrText xml:space="preserve"> REF _Ref492389983 \h </w:instrText>
      </w:r>
      <w:r w:rsidR="00BE20D6">
        <w:instrText xml:space="preserve"> \* MERGEFORMAT </w:instrText>
      </w:r>
      <w:r w:rsidR="00BE20D6" w:rsidRPr="00BE20D6">
        <w:fldChar w:fldCharType="separate"/>
      </w:r>
      <w:r w:rsidR="00D806F2">
        <w:t xml:space="preserve">Figure A1. </w:t>
      </w:r>
      <w:r w:rsidR="00D806F2">
        <w:rPr>
          <w:noProof/>
        </w:rPr>
        <w:t>2</w:t>
      </w:r>
      <w:r w:rsidR="00BE20D6" w:rsidRPr="00BE20D6">
        <w:fldChar w:fldCharType="end"/>
      </w:r>
      <w:r w:rsidRPr="00BE20D6">
        <w:t>). In combination</w:t>
      </w:r>
      <w:r w:rsidR="00940CC9" w:rsidRPr="00BE20D6">
        <w:t>,</w:t>
      </w:r>
      <w:r w:rsidRPr="00BE20D6">
        <w:t xml:space="preserve"> these disturbances resulted in a sharp decline in the coral index in 2012 (</w:t>
      </w:r>
      <w:r w:rsidR="00940CC9" w:rsidRPr="00BE20D6">
        <w:fldChar w:fldCharType="begin"/>
      </w:r>
      <w:r w:rsidR="00940CC9" w:rsidRPr="00BE20D6">
        <w:instrText xml:space="preserve"> REF _Ref491181369 \h </w:instrText>
      </w:r>
      <w:r w:rsidR="00BE20D6">
        <w:instrText xml:space="preserve"> \* MERGEFORMAT </w:instrText>
      </w:r>
      <w:r w:rsidR="00940CC9" w:rsidRPr="00BE20D6">
        <w:fldChar w:fldCharType="separate"/>
      </w:r>
      <w:r w:rsidR="00D806F2">
        <w:t xml:space="preserve">Figure </w:t>
      </w:r>
      <w:r w:rsidR="00D806F2">
        <w:rPr>
          <w:noProof/>
        </w:rPr>
        <w:t>15</w:t>
      </w:r>
      <w:r w:rsidR="00940CC9" w:rsidRPr="00BE20D6">
        <w:fldChar w:fldCharType="end"/>
      </w:r>
      <w:r w:rsidR="00940CC9" w:rsidRPr="00BE20D6">
        <w:t>a</w:t>
      </w:r>
      <w:r w:rsidRPr="00BE20D6">
        <w:t>). The effects of cyclones were further compounded by the increased prevalence of disease in 2011 (</w:t>
      </w:r>
      <w:r w:rsidR="00BE6021">
        <w:fldChar w:fldCharType="begin"/>
      </w:r>
      <w:r w:rsidR="00BE6021">
        <w:instrText xml:space="preserve"> REF _Ref491178664 \h </w:instrText>
      </w:r>
      <w:r w:rsidR="00BE6021">
        <w:fldChar w:fldCharType="separate"/>
      </w:r>
      <w:r w:rsidR="00D806F2">
        <w:t xml:space="preserve">Figure A1. </w:t>
      </w:r>
      <w:r w:rsidR="00D806F2">
        <w:rPr>
          <w:noProof/>
        </w:rPr>
        <w:t>7</w:t>
      </w:r>
      <w:r w:rsidR="00BE6021">
        <w:fldChar w:fldCharType="end"/>
      </w:r>
      <w:r w:rsidRPr="00BE20D6">
        <w:t>). Fitzroy Island, which had escaped serious damage from Tasha and Yasi</w:t>
      </w:r>
      <w:r w:rsidR="00940CC9" w:rsidRPr="00BE20D6">
        <w:t>, incurred the highest loss of coral as a result of disease</w:t>
      </w:r>
      <w:r w:rsidR="004464E5">
        <w:t>.</w:t>
      </w:r>
      <w:r w:rsidRPr="00BE20D6">
        <w:t xml:space="preserve"> </w:t>
      </w:r>
      <w:r w:rsidR="00940CC9" w:rsidRPr="00BE20D6">
        <w:t xml:space="preserve">At Fitzroy East between </w:t>
      </w:r>
      <w:r w:rsidRPr="00BE20D6">
        <w:t xml:space="preserve">60% </w:t>
      </w:r>
      <w:r w:rsidR="00940CC9" w:rsidRPr="00BE20D6">
        <w:t xml:space="preserve">(2 m) and </w:t>
      </w:r>
      <w:r w:rsidRPr="00BE20D6">
        <w:t>42% (5 m</w:t>
      </w:r>
      <w:r w:rsidR="00940CC9" w:rsidRPr="00BE20D6">
        <w:t xml:space="preserve">) of the hard cover, predominantly </w:t>
      </w:r>
      <w:r w:rsidR="00940CC9" w:rsidRPr="00BE20D6">
        <w:rPr>
          <w:i/>
        </w:rPr>
        <w:t>Acropora</w:t>
      </w:r>
      <w:r w:rsidR="00940CC9" w:rsidRPr="00BE20D6">
        <w:t xml:space="preserve">, was lost as a result of </w:t>
      </w:r>
      <w:r w:rsidR="00940CC9" w:rsidRPr="000B75FF">
        <w:t>disease (</w:t>
      </w:r>
      <w:r w:rsidR="000B75FF" w:rsidRPr="000B75FF">
        <w:fldChar w:fldCharType="begin"/>
      </w:r>
      <w:r w:rsidR="000B75FF" w:rsidRPr="000B75FF">
        <w:instrText xml:space="preserve"> REF _Ref492389983 \h </w:instrText>
      </w:r>
      <w:r w:rsidR="000B75FF">
        <w:instrText xml:space="preserve"> \* MERGEFORMAT </w:instrText>
      </w:r>
      <w:r w:rsidR="000B75FF" w:rsidRPr="000B75FF">
        <w:fldChar w:fldCharType="separate"/>
      </w:r>
      <w:r w:rsidR="00D806F2">
        <w:t xml:space="preserve">Figure A1. </w:t>
      </w:r>
      <w:r w:rsidR="00D806F2">
        <w:rPr>
          <w:noProof/>
        </w:rPr>
        <w:t>2</w:t>
      </w:r>
      <w:r w:rsidR="000B75FF" w:rsidRPr="000B75FF">
        <w:fldChar w:fldCharType="end"/>
      </w:r>
      <w:r w:rsidRPr="000B75FF">
        <w:rPr>
          <w:rFonts w:cs="Arial"/>
          <w:szCs w:val="22"/>
        </w:rPr>
        <w:t>,</w:t>
      </w:r>
      <w:r w:rsidRPr="00BE20D6">
        <w:rPr>
          <w:rFonts w:cs="Arial"/>
          <w:szCs w:val="22"/>
        </w:rPr>
        <w:t xml:space="preserve"> </w:t>
      </w:r>
      <w:r w:rsidR="00940CC9" w:rsidRPr="00BE20D6">
        <w:fldChar w:fldCharType="begin"/>
      </w:r>
      <w:r w:rsidR="00940CC9" w:rsidRPr="00BE20D6">
        <w:rPr>
          <w:rFonts w:cs="Arial"/>
          <w:szCs w:val="22"/>
        </w:rPr>
        <w:instrText xml:space="preserve"> REF _Ref491178994 \h </w:instrText>
      </w:r>
      <w:r w:rsidR="00BE20D6">
        <w:instrText xml:space="preserve"> \* MERGEFORMAT </w:instrText>
      </w:r>
      <w:r w:rsidR="00940CC9" w:rsidRPr="00BE20D6">
        <w:fldChar w:fldCharType="separate"/>
      </w:r>
      <w:r w:rsidR="00D806F2">
        <w:t xml:space="preserve">Table A1. </w:t>
      </w:r>
      <w:r w:rsidR="00D806F2">
        <w:rPr>
          <w:noProof/>
        </w:rPr>
        <w:t>4</w:t>
      </w:r>
      <w:r w:rsidR="00940CC9" w:rsidRPr="00BE20D6">
        <w:fldChar w:fldCharType="end"/>
      </w:r>
      <w:r w:rsidRPr="00F301BD">
        <w:rPr>
          <w:rFonts w:cs="Arial"/>
          <w:szCs w:val="22"/>
        </w:rPr>
        <w:t xml:space="preserve">). While the </w:t>
      </w:r>
      <w:r>
        <w:rPr>
          <w:rFonts w:cs="Arial"/>
          <w:szCs w:val="22"/>
        </w:rPr>
        <w:t xml:space="preserve">cause </w:t>
      </w:r>
      <w:r w:rsidRPr="00F301BD">
        <w:rPr>
          <w:rFonts w:cs="Arial"/>
          <w:szCs w:val="22"/>
        </w:rPr>
        <w:t xml:space="preserve">of the marked increase in disease observed at the Fitzroy Island </w:t>
      </w:r>
      <w:r>
        <w:rPr>
          <w:rFonts w:cs="Arial"/>
          <w:szCs w:val="22"/>
        </w:rPr>
        <w:t>in 2011 is unknown</w:t>
      </w:r>
      <w:r w:rsidR="00B34751">
        <w:rPr>
          <w:rFonts w:cs="Arial"/>
          <w:szCs w:val="22"/>
        </w:rPr>
        <w:t>,</w:t>
      </w:r>
      <w:r>
        <w:rPr>
          <w:rFonts w:cs="Arial"/>
          <w:szCs w:val="22"/>
        </w:rPr>
        <w:t xml:space="preserve"> it did coincide </w:t>
      </w:r>
      <w:r w:rsidR="0049220A">
        <w:rPr>
          <w:rFonts w:cs="Arial"/>
          <w:szCs w:val="22"/>
        </w:rPr>
        <w:t>with</w:t>
      </w:r>
      <w:r>
        <w:rPr>
          <w:rFonts w:cs="Arial"/>
          <w:szCs w:val="22"/>
        </w:rPr>
        <w:t xml:space="preserve"> high discharge from local rivers </w:t>
      </w:r>
      <w:r w:rsidRPr="00F301BD">
        <w:rPr>
          <w:rFonts w:cs="Arial"/>
          <w:szCs w:val="22"/>
        </w:rPr>
        <w:t>(</w:t>
      </w:r>
      <w:r w:rsidR="00B34751">
        <w:fldChar w:fldCharType="begin"/>
      </w:r>
      <w:r w:rsidR="00B34751">
        <w:rPr>
          <w:rFonts w:cs="Arial"/>
          <w:szCs w:val="22"/>
        </w:rPr>
        <w:instrText xml:space="preserve"> REF _Ref491180328 \h </w:instrText>
      </w:r>
      <w:r w:rsidR="00B34751">
        <w:fldChar w:fldCharType="separate"/>
      </w:r>
      <w:r w:rsidR="00D806F2">
        <w:t xml:space="preserve">Figure </w:t>
      </w:r>
      <w:r w:rsidR="00D806F2">
        <w:rPr>
          <w:noProof/>
        </w:rPr>
        <w:t>14</w:t>
      </w:r>
      <w:r w:rsidR="00B34751">
        <w:fldChar w:fldCharType="end"/>
      </w:r>
      <w:r w:rsidR="0075117D">
        <w:rPr>
          <w:rFonts w:cs="Arial"/>
          <w:szCs w:val="22"/>
        </w:rPr>
        <w:t>d)</w:t>
      </w:r>
      <w:r w:rsidR="00B34751">
        <w:rPr>
          <w:rFonts w:cs="Arial"/>
          <w:szCs w:val="22"/>
        </w:rPr>
        <w:t>. This observation was</w:t>
      </w:r>
      <w:r w:rsidR="0075117D">
        <w:rPr>
          <w:rFonts w:cs="Arial"/>
          <w:szCs w:val="22"/>
        </w:rPr>
        <w:t xml:space="preserve"> influential in the </w:t>
      </w:r>
      <w:r w:rsidR="004464E5">
        <w:rPr>
          <w:rFonts w:cs="Arial"/>
          <w:szCs w:val="22"/>
        </w:rPr>
        <w:t>regional-</w:t>
      </w:r>
      <w:r w:rsidR="0075117D">
        <w:rPr>
          <w:rFonts w:cs="Arial"/>
          <w:szCs w:val="22"/>
        </w:rPr>
        <w:t>level association between change in index scores and discharge from local rivers (</w:t>
      </w:r>
      <w:r w:rsidR="00B34751">
        <w:rPr>
          <w:rFonts w:cs="Arial"/>
          <w:szCs w:val="22"/>
        </w:rPr>
        <w:fldChar w:fldCharType="begin"/>
      </w:r>
      <w:r w:rsidR="00B34751">
        <w:rPr>
          <w:rFonts w:cs="Arial"/>
          <w:szCs w:val="22"/>
        </w:rPr>
        <w:instrText xml:space="preserve"> REF _Ref491164700 \h </w:instrText>
      </w:r>
      <w:r w:rsidR="00B34751">
        <w:rPr>
          <w:rFonts w:cs="Arial"/>
          <w:szCs w:val="22"/>
        </w:rPr>
      </w:r>
      <w:r w:rsidR="00B34751">
        <w:rPr>
          <w:rFonts w:cs="Arial"/>
          <w:szCs w:val="22"/>
        </w:rPr>
        <w:fldChar w:fldCharType="separate"/>
      </w:r>
      <w:r w:rsidR="00D806F2">
        <w:t xml:space="preserve">Figure </w:t>
      </w:r>
      <w:r w:rsidR="00D806F2">
        <w:rPr>
          <w:noProof/>
        </w:rPr>
        <w:t>11</w:t>
      </w:r>
      <w:r w:rsidR="00B34751">
        <w:rPr>
          <w:rFonts w:cs="Arial"/>
          <w:szCs w:val="22"/>
        </w:rPr>
        <w:fldChar w:fldCharType="end"/>
      </w:r>
      <w:r w:rsidR="0075117D">
        <w:rPr>
          <w:rFonts w:cs="Arial"/>
          <w:szCs w:val="22"/>
        </w:rPr>
        <w:t>).</w:t>
      </w:r>
    </w:p>
    <w:p w14:paraId="6FDB9725" w14:textId="02973032" w:rsidR="0011079D" w:rsidRDefault="00432E37" w:rsidP="0011079D">
      <w:r>
        <w:t xml:space="preserve">Since 2012 </w:t>
      </w:r>
      <w:r w:rsidR="00BC1C64">
        <w:t>COTS have been active in the area</w:t>
      </w:r>
      <w:r w:rsidR="0049220A">
        <w:t>,</w:t>
      </w:r>
      <w:r w:rsidR="00BC1C64">
        <w:t xml:space="preserve"> and </w:t>
      </w:r>
      <w:r w:rsidR="0075117D">
        <w:t>their feeding</w:t>
      </w:r>
      <w:r w:rsidR="00695B6C">
        <w:t xml:space="preserve"> </w:t>
      </w:r>
      <w:r w:rsidR="00BC1C64">
        <w:t>will have contributed</w:t>
      </w:r>
      <w:r w:rsidR="00695B6C">
        <w:t xml:space="preserve"> to variability i</w:t>
      </w:r>
      <w:r w:rsidR="00B34751">
        <w:t>n the improvement in the Coral C</w:t>
      </w:r>
      <w:r w:rsidR="00695B6C">
        <w:t>over metric</w:t>
      </w:r>
      <w:r w:rsidR="0049220A">
        <w:t xml:space="preserve"> through to 2016</w:t>
      </w:r>
      <w:r w:rsidR="00695B6C">
        <w:t>.</w:t>
      </w:r>
      <w:r w:rsidR="00E75F5C">
        <w:t xml:space="preserve"> </w:t>
      </w:r>
      <w:r w:rsidR="0011079D">
        <w:rPr>
          <w:rFonts w:cs="Arial"/>
          <w:szCs w:val="22"/>
        </w:rPr>
        <w:t>S</w:t>
      </w:r>
      <w:r w:rsidR="0011079D" w:rsidRPr="00F301BD">
        <w:rPr>
          <w:rFonts w:cs="Arial"/>
          <w:szCs w:val="22"/>
        </w:rPr>
        <w:t>ince monitoring began in 1992</w:t>
      </w:r>
      <w:r w:rsidR="0011079D">
        <w:rPr>
          <w:rFonts w:cs="Arial"/>
          <w:szCs w:val="22"/>
        </w:rPr>
        <w:t xml:space="preserve"> two cycles of COTS outbreaks have impacted the reefs in this sub-region. Between</w:t>
      </w:r>
      <w:r w:rsidR="0011079D" w:rsidRPr="00F301BD">
        <w:rPr>
          <w:rFonts w:cs="Arial"/>
          <w:szCs w:val="22"/>
        </w:rPr>
        <w:t>1996</w:t>
      </w:r>
      <w:r w:rsidR="005D5A92">
        <w:rPr>
          <w:rFonts w:cs="Arial"/>
          <w:szCs w:val="22"/>
        </w:rPr>
        <w:t xml:space="preserve"> and </w:t>
      </w:r>
      <w:r w:rsidR="0011079D" w:rsidRPr="00F301BD">
        <w:rPr>
          <w:rFonts w:cs="Arial"/>
          <w:szCs w:val="22"/>
        </w:rPr>
        <w:t>2000 substantial loss of cover at Green</w:t>
      </w:r>
      <w:r w:rsidR="0011079D">
        <w:rPr>
          <w:rFonts w:cs="Arial"/>
          <w:szCs w:val="22"/>
        </w:rPr>
        <w:t>,</w:t>
      </w:r>
      <w:r w:rsidR="0011079D" w:rsidRPr="00F301BD">
        <w:rPr>
          <w:rFonts w:cs="Arial"/>
          <w:szCs w:val="22"/>
        </w:rPr>
        <w:t xml:space="preserve"> Fitzroy </w:t>
      </w:r>
      <w:r w:rsidR="0011079D">
        <w:rPr>
          <w:rFonts w:cs="Arial"/>
          <w:szCs w:val="22"/>
        </w:rPr>
        <w:t xml:space="preserve">West LTMP </w:t>
      </w:r>
      <w:r w:rsidR="0011079D" w:rsidRPr="00F301BD">
        <w:rPr>
          <w:rFonts w:cs="Arial"/>
          <w:szCs w:val="22"/>
        </w:rPr>
        <w:t>and the Frankland Group (</w:t>
      </w:r>
      <w:r w:rsidR="00B34751">
        <w:fldChar w:fldCharType="begin"/>
      </w:r>
      <w:r w:rsidR="00B34751">
        <w:rPr>
          <w:rFonts w:cs="Arial"/>
          <w:szCs w:val="22"/>
        </w:rPr>
        <w:instrText xml:space="preserve"> REF _Ref491178994 \h </w:instrText>
      </w:r>
      <w:r w:rsidR="00B34751">
        <w:fldChar w:fldCharType="separate"/>
      </w:r>
      <w:r w:rsidR="00D806F2">
        <w:t xml:space="preserve">Table A1. </w:t>
      </w:r>
      <w:r w:rsidR="00D806F2">
        <w:rPr>
          <w:noProof/>
        </w:rPr>
        <w:t>4</w:t>
      </w:r>
      <w:r w:rsidR="00B34751">
        <w:fldChar w:fldCharType="end"/>
      </w:r>
      <w:r w:rsidR="0011079D" w:rsidRPr="00F301BD">
        <w:rPr>
          <w:rFonts w:cs="Arial"/>
          <w:szCs w:val="22"/>
        </w:rPr>
        <w:t>)</w:t>
      </w:r>
      <w:r w:rsidR="005D5A92">
        <w:rPr>
          <w:rFonts w:cs="Arial"/>
          <w:szCs w:val="22"/>
        </w:rPr>
        <w:t xml:space="preserve"> was attributed to COTS</w:t>
      </w:r>
      <w:r w:rsidR="0011079D" w:rsidRPr="00F301BD">
        <w:rPr>
          <w:rFonts w:cs="Arial"/>
          <w:szCs w:val="22"/>
        </w:rPr>
        <w:t xml:space="preserve">. In 2012 and 2013 elevated numbers of COTS were again </w:t>
      </w:r>
      <w:r w:rsidR="00BA3C73">
        <w:rPr>
          <w:rFonts w:cs="Arial"/>
          <w:szCs w:val="22"/>
        </w:rPr>
        <w:t xml:space="preserve">increasing. </w:t>
      </w:r>
      <w:r w:rsidR="0011079D" w:rsidRPr="00BE20D6">
        <w:rPr>
          <w:rFonts w:cs="Arial"/>
          <w:szCs w:val="22"/>
        </w:rPr>
        <w:t xml:space="preserve">In 2013 COTS had caused a </w:t>
      </w:r>
      <w:r w:rsidR="0011079D" w:rsidRPr="000B75FF">
        <w:rPr>
          <w:rFonts w:cs="Arial"/>
          <w:szCs w:val="22"/>
        </w:rPr>
        <w:t>44% reduction of the hard coral cover compared to that observed in 2011 (</w:t>
      </w:r>
      <w:r w:rsidR="00B34751" w:rsidRPr="000B75FF">
        <w:rPr>
          <w:rFonts w:cs="Arial"/>
          <w:szCs w:val="22"/>
        </w:rPr>
        <w:fldChar w:fldCharType="begin"/>
      </w:r>
      <w:r w:rsidR="00B34751" w:rsidRPr="000B75FF">
        <w:rPr>
          <w:rFonts w:cs="Arial"/>
          <w:szCs w:val="22"/>
        </w:rPr>
        <w:instrText xml:space="preserve"> REF _Ref491178994 \h </w:instrText>
      </w:r>
      <w:r w:rsidR="00671DC7" w:rsidRPr="000B75FF">
        <w:rPr>
          <w:rFonts w:cs="Arial"/>
          <w:szCs w:val="22"/>
        </w:rPr>
        <w:instrText xml:space="preserve"> \* MERGEFORMAT </w:instrText>
      </w:r>
      <w:r w:rsidR="00B34751" w:rsidRPr="000B75FF">
        <w:rPr>
          <w:rFonts w:cs="Arial"/>
          <w:szCs w:val="22"/>
        </w:rPr>
      </w:r>
      <w:r w:rsidR="00B34751" w:rsidRPr="000B75FF">
        <w:rPr>
          <w:rFonts w:cs="Arial"/>
          <w:szCs w:val="22"/>
        </w:rPr>
        <w:fldChar w:fldCharType="separate"/>
      </w:r>
      <w:r w:rsidR="00D806F2">
        <w:t xml:space="preserve">Table A1. </w:t>
      </w:r>
      <w:r w:rsidR="00D806F2">
        <w:rPr>
          <w:noProof/>
        </w:rPr>
        <w:t>4</w:t>
      </w:r>
      <w:r w:rsidR="00B34751" w:rsidRPr="000B75FF">
        <w:rPr>
          <w:rFonts w:cs="Arial"/>
          <w:szCs w:val="22"/>
        </w:rPr>
        <w:fldChar w:fldCharType="end"/>
      </w:r>
      <w:r w:rsidR="00B34751" w:rsidRPr="000B75FF">
        <w:rPr>
          <w:rFonts w:cs="Arial"/>
          <w:szCs w:val="22"/>
        </w:rPr>
        <w:t>,</w:t>
      </w:r>
      <w:r w:rsidR="00306FFA" w:rsidRPr="000B75FF">
        <w:rPr>
          <w:rFonts w:cs="Arial"/>
          <w:szCs w:val="22"/>
        </w:rPr>
        <w:t xml:space="preserve"> </w:t>
      </w:r>
      <w:r w:rsidR="000B75FF" w:rsidRPr="000B75FF">
        <w:rPr>
          <w:rFonts w:cs="Arial"/>
          <w:szCs w:val="22"/>
        </w:rPr>
        <w:fldChar w:fldCharType="begin"/>
      </w:r>
      <w:r w:rsidR="000B75FF" w:rsidRPr="000B75FF">
        <w:rPr>
          <w:rFonts w:cs="Arial"/>
          <w:szCs w:val="22"/>
        </w:rPr>
        <w:instrText xml:space="preserve"> REF _Ref492389983 \h </w:instrText>
      </w:r>
      <w:r w:rsidR="000B75FF">
        <w:rPr>
          <w:rFonts w:cs="Arial"/>
          <w:szCs w:val="22"/>
        </w:rPr>
        <w:instrText xml:space="preserve"> \* MERGEFORMAT </w:instrText>
      </w:r>
      <w:r w:rsidR="000B75FF" w:rsidRPr="000B75FF">
        <w:rPr>
          <w:rFonts w:cs="Arial"/>
          <w:szCs w:val="22"/>
        </w:rPr>
      </w:r>
      <w:r w:rsidR="000B75FF" w:rsidRPr="000B75FF">
        <w:rPr>
          <w:rFonts w:cs="Arial"/>
          <w:szCs w:val="22"/>
        </w:rPr>
        <w:fldChar w:fldCharType="separate"/>
      </w:r>
      <w:r w:rsidR="00D806F2">
        <w:t xml:space="preserve">Figure A1. </w:t>
      </w:r>
      <w:r w:rsidR="00D806F2">
        <w:rPr>
          <w:noProof/>
        </w:rPr>
        <w:t>2</w:t>
      </w:r>
      <w:r w:rsidR="000B75FF" w:rsidRPr="000B75FF">
        <w:rPr>
          <w:rFonts w:cs="Arial"/>
          <w:szCs w:val="22"/>
        </w:rPr>
        <w:fldChar w:fldCharType="end"/>
      </w:r>
      <w:r w:rsidR="0011079D" w:rsidRPr="000B75FF">
        <w:rPr>
          <w:rFonts w:cs="Arial"/>
          <w:szCs w:val="22"/>
        </w:rPr>
        <w:t>). At</w:t>
      </w:r>
      <w:r w:rsidR="0011079D" w:rsidRPr="00BE20D6">
        <w:rPr>
          <w:rFonts w:cs="Arial"/>
          <w:szCs w:val="22"/>
        </w:rPr>
        <w:t xml:space="preserve"> both Fitzroy Island an</w:t>
      </w:r>
      <w:r w:rsidR="0011079D" w:rsidRPr="00BE20D6">
        <w:t xml:space="preserve">d Green </w:t>
      </w:r>
      <w:r w:rsidR="00B34751" w:rsidRPr="00BE20D6">
        <w:t xml:space="preserve">Island </w:t>
      </w:r>
      <w:r w:rsidR="0011079D" w:rsidRPr="00BE20D6">
        <w:t>reductions in hard coral cover, in particular of the family Acroporidae (</w:t>
      </w:r>
      <w:r w:rsidR="00BE20D6" w:rsidRPr="00BE20D6">
        <w:fldChar w:fldCharType="begin"/>
      </w:r>
      <w:r w:rsidR="00BE20D6" w:rsidRPr="00BE20D6">
        <w:instrText xml:space="preserve"> REF _Ref492389983 \h </w:instrText>
      </w:r>
      <w:r w:rsidR="00BE20D6">
        <w:instrText xml:space="preserve"> \* MERGEFORMAT </w:instrText>
      </w:r>
      <w:r w:rsidR="00BE20D6" w:rsidRPr="00BE20D6">
        <w:fldChar w:fldCharType="separate"/>
      </w:r>
      <w:r w:rsidR="00D806F2">
        <w:t xml:space="preserve">Figure A1. </w:t>
      </w:r>
      <w:r w:rsidR="00D806F2">
        <w:rPr>
          <w:noProof/>
        </w:rPr>
        <w:t>2</w:t>
      </w:r>
      <w:r w:rsidR="00BE20D6" w:rsidRPr="00BE20D6">
        <w:fldChar w:fldCharType="end"/>
      </w:r>
      <w:r w:rsidR="0011079D" w:rsidRPr="00BE20D6">
        <w:t>)</w:t>
      </w:r>
      <w:r w:rsidR="00B34751" w:rsidRPr="00BE20D6">
        <w:t xml:space="preserve">, </w:t>
      </w:r>
      <w:r w:rsidR="0011079D" w:rsidRPr="00BE20D6">
        <w:t>through to 2015 were primarily the result of COTS feeding. In contrast, although low numbers of COTS were</w:t>
      </w:r>
      <w:r w:rsidR="0011079D" w:rsidRPr="00B14EAC">
        <w:t xml:space="preserve"> observed at the Frankland Group and High Island between 2012 and 2015, there was little evidence of an impact to coral cover at these reefs.</w:t>
      </w:r>
      <w:r w:rsidR="00E75F5C">
        <w:t xml:space="preserve"> </w:t>
      </w:r>
      <w:r w:rsidR="00BA3C73">
        <w:t xml:space="preserve">Helping to limit coral cover losses at both Fitzroy Island and Green Island has been the removal of starfish </w:t>
      </w:r>
      <w:r w:rsidR="00BA3C73" w:rsidRPr="00BE20D6">
        <w:rPr>
          <w:rFonts w:cs="Arial"/>
          <w:szCs w:val="22"/>
        </w:rPr>
        <w:t>by the Australian Government</w:t>
      </w:r>
      <w:r w:rsidR="004464E5">
        <w:rPr>
          <w:rFonts w:cs="Arial"/>
          <w:szCs w:val="22"/>
        </w:rPr>
        <w:t>’</w:t>
      </w:r>
      <w:r w:rsidR="00F41217">
        <w:rPr>
          <w:rFonts w:cs="Arial"/>
          <w:szCs w:val="22"/>
        </w:rPr>
        <w:t>s</w:t>
      </w:r>
      <w:r w:rsidR="00BA3C73" w:rsidRPr="00BE20D6">
        <w:rPr>
          <w:rFonts w:cs="Arial"/>
          <w:szCs w:val="22"/>
        </w:rPr>
        <w:t xml:space="preserve"> </w:t>
      </w:r>
      <w:r w:rsidR="004464E5" w:rsidRPr="00BE20D6">
        <w:rPr>
          <w:rFonts w:cs="Arial"/>
          <w:szCs w:val="22"/>
        </w:rPr>
        <w:t>Crown-Of-Thorns S</w:t>
      </w:r>
      <w:r w:rsidR="004464E5">
        <w:rPr>
          <w:rFonts w:cs="Arial"/>
          <w:szCs w:val="22"/>
        </w:rPr>
        <w:t>tarfish</w:t>
      </w:r>
      <w:r w:rsidR="004464E5" w:rsidRPr="00BE20D6">
        <w:rPr>
          <w:rFonts w:cs="Arial"/>
          <w:szCs w:val="22"/>
        </w:rPr>
        <w:t xml:space="preserve"> Management Program</w:t>
      </w:r>
      <w:r w:rsidR="004464E5">
        <w:rPr>
          <w:rFonts w:cs="Arial"/>
          <w:szCs w:val="22"/>
        </w:rPr>
        <w:t xml:space="preserve">me </w:t>
      </w:r>
      <w:r w:rsidR="005D5A92">
        <w:rPr>
          <w:rFonts w:cs="Arial"/>
          <w:szCs w:val="22"/>
        </w:rPr>
        <w:t xml:space="preserve">which removed </w:t>
      </w:r>
      <w:r w:rsidR="00F41217">
        <w:rPr>
          <w:rFonts w:cs="Arial"/>
          <w:szCs w:val="22"/>
        </w:rPr>
        <w:t xml:space="preserve">6074 </w:t>
      </w:r>
      <w:r w:rsidR="00BA3C73">
        <w:rPr>
          <w:rFonts w:cs="Arial"/>
          <w:szCs w:val="22"/>
        </w:rPr>
        <w:t xml:space="preserve">starfish from </w:t>
      </w:r>
      <w:r w:rsidR="00F41217">
        <w:rPr>
          <w:rFonts w:cs="Arial"/>
          <w:szCs w:val="22"/>
        </w:rPr>
        <w:t xml:space="preserve">Fitzroy Island reefs and a further 5556 from </w:t>
      </w:r>
      <w:r w:rsidR="00BA3C73">
        <w:rPr>
          <w:rFonts w:cs="Arial"/>
          <w:szCs w:val="22"/>
        </w:rPr>
        <w:t xml:space="preserve">Green Island </w:t>
      </w:r>
      <w:r w:rsidR="00F41217">
        <w:rPr>
          <w:rFonts w:cs="Arial"/>
          <w:szCs w:val="22"/>
        </w:rPr>
        <w:t>reef</w:t>
      </w:r>
      <w:r w:rsidR="00F41217">
        <w:rPr>
          <w:rStyle w:val="FootnoteReference"/>
          <w:szCs w:val="22"/>
        </w:rPr>
        <w:footnoteReference w:id="6"/>
      </w:r>
      <w:r w:rsidR="005D5A92">
        <w:rPr>
          <w:rFonts w:cs="Arial"/>
          <w:szCs w:val="22"/>
        </w:rPr>
        <w:t xml:space="preserve"> prior to </w:t>
      </w:r>
      <w:r w:rsidR="002C6C3C">
        <w:rPr>
          <w:rFonts w:cs="Arial"/>
          <w:szCs w:val="22"/>
        </w:rPr>
        <w:t>2016 coral surveys</w:t>
      </w:r>
      <w:r w:rsidR="00F41217">
        <w:rPr>
          <w:rFonts w:cs="Arial"/>
          <w:szCs w:val="22"/>
        </w:rPr>
        <w:t>.</w:t>
      </w:r>
      <w:r w:rsidR="00E75F5C">
        <w:rPr>
          <w:rFonts w:cs="Arial"/>
          <w:szCs w:val="22"/>
        </w:rPr>
        <w:t xml:space="preserve"> </w:t>
      </w:r>
      <w:r w:rsidR="00B34751">
        <w:t>In</w:t>
      </w:r>
      <w:r w:rsidR="0011079D" w:rsidRPr="00B14EAC">
        <w:t xml:space="preserve"> 2016, low numbers of juvenile and sub-adult COTS were </w:t>
      </w:r>
      <w:r w:rsidR="002C6C3C">
        <w:t xml:space="preserve">again </w:t>
      </w:r>
      <w:r w:rsidR="0011079D" w:rsidRPr="00B14EAC">
        <w:t>observed at all reefs in this sub-region</w:t>
      </w:r>
      <w:r w:rsidR="00B34751">
        <w:t xml:space="preserve"> indicating their ongoing recruitment. </w:t>
      </w:r>
      <w:r w:rsidR="0011079D">
        <w:t xml:space="preserve">The highest density of COTS were observed at Frankland East </w:t>
      </w:r>
      <w:r w:rsidR="00AA72A3">
        <w:t>5 m</w:t>
      </w:r>
      <w:r w:rsidR="0011079D">
        <w:t xml:space="preserve"> (150 ha</w:t>
      </w:r>
      <w:r w:rsidR="0011079D" w:rsidRPr="008470C6">
        <w:rPr>
          <w:vertAlign w:val="superscript"/>
        </w:rPr>
        <w:t>-1</w:t>
      </w:r>
      <w:r w:rsidR="0011079D">
        <w:t xml:space="preserve">) and Frankland West </w:t>
      </w:r>
      <w:r w:rsidR="00AA72A3">
        <w:t>2 m</w:t>
      </w:r>
      <w:r w:rsidR="0011079D">
        <w:t xml:space="preserve"> (125 ha</w:t>
      </w:r>
      <w:r w:rsidR="0011079D" w:rsidRPr="008470C6">
        <w:rPr>
          <w:vertAlign w:val="superscript"/>
        </w:rPr>
        <w:t>-1</w:t>
      </w:r>
      <w:r w:rsidR="00B34751">
        <w:t xml:space="preserve">). While there was little </w:t>
      </w:r>
      <w:r w:rsidR="002C6C3C">
        <w:t xml:space="preserve">effect on coral </w:t>
      </w:r>
      <w:r w:rsidR="00B34751">
        <w:t>cover at the Frankland Group observed in 2016, this was due to COTS</w:t>
      </w:r>
      <w:r w:rsidR="0011079D">
        <w:t xml:space="preserve"> consuming corals in the understory of rapidly growing </w:t>
      </w:r>
      <w:r w:rsidR="0011079D" w:rsidRPr="00327E0F">
        <w:rPr>
          <w:i/>
        </w:rPr>
        <w:t>Acropora</w:t>
      </w:r>
      <w:r w:rsidR="0011079D">
        <w:t xml:space="preserve"> thickets</w:t>
      </w:r>
      <w:r w:rsidR="00B34751">
        <w:t xml:space="preserve">; </w:t>
      </w:r>
      <w:r w:rsidR="0011079D">
        <w:t xml:space="preserve">it </w:t>
      </w:r>
      <w:r w:rsidR="00B34751">
        <w:t xml:space="preserve">likely, that if </w:t>
      </w:r>
      <w:r w:rsidR="0011079D">
        <w:t>left unchecked</w:t>
      </w:r>
      <w:r w:rsidR="00B34751">
        <w:t>,</w:t>
      </w:r>
      <w:r w:rsidR="0011079D">
        <w:t xml:space="preserve"> th</w:t>
      </w:r>
      <w:r w:rsidR="00B34751">
        <w:t xml:space="preserve">e observed </w:t>
      </w:r>
      <w:r w:rsidR="0011079D">
        <w:t>density of COTS will reduce coral cover in the near future.</w:t>
      </w:r>
    </w:p>
    <w:p w14:paraId="7006D04B" w14:textId="7396C0FA" w:rsidR="00E46159" w:rsidRDefault="00E24DC2" w:rsidP="00E46159">
      <w:r>
        <w:t>Despite recent low discharge (</w:t>
      </w:r>
      <w:r w:rsidR="00E46159">
        <w:fldChar w:fldCharType="begin"/>
      </w:r>
      <w:r w:rsidR="00E46159">
        <w:instrText xml:space="preserve"> REF _Ref491180328 \h </w:instrText>
      </w:r>
      <w:r w:rsidR="00E46159">
        <w:fldChar w:fldCharType="separate"/>
      </w:r>
      <w:r w:rsidR="00D806F2">
        <w:t xml:space="preserve">Figure </w:t>
      </w:r>
      <w:r w:rsidR="00D806F2">
        <w:rPr>
          <w:noProof/>
        </w:rPr>
        <w:t>14</w:t>
      </w:r>
      <w:r w:rsidR="00E46159">
        <w:fldChar w:fldCharType="end"/>
      </w:r>
      <w:r w:rsidR="00E46159">
        <w:t>d</w:t>
      </w:r>
      <w:r>
        <w:t xml:space="preserve">), and </w:t>
      </w:r>
      <w:r w:rsidR="004464E5">
        <w:t xml:space="preserve">relatively </w:t>
      </w:r>
      <w:r>
        <w:t>low loads of nutrients and sediments being discharged i</w:t>
      </w:r>
      <w:r w:rsidR="001C433F">
        <w:t>nto the marine environment there have been no clear reductions in regional concentrations of measured water quality parameters (</w:t>
      </w:r>
      <w:r w:rsidR="00E46159">
        <w:fldChar w:fldCharType="begin"/>
      </w:r>
      <w:r w:rsidR="00E46159">
        <w:instrText xml:space="preserve"> REF _Ref491180328 \h </w:instrText>
      </w:r>
      <w:r w:rsidR="00E46159">
        <w:fldChar w:fldCharType="separate"/>
      </w:r>
      <w:r w:rsidR="00D806F2">
        <w:t xml:space="preserve">Figure </w:t>
      </w:r>
      <w:r w:rsidR="00D806F2">
        <w:rPr>
          <w:noProof/>
        </w:rPr>
        <w:t>14</w:t>
      </w:r>
      <w:r w:rsidR="00E46159">
        <w:fldChar w:fldCharType="end"/>
      </w:r>
      <w:r w:rsidR="00E46159">
        <w:t>g, h</w:t>
      </w:r>
      <w:r w:rsidR="001C433F">
        <w:t xml:space="preserve">, </w:t>
      </w:r>
      <w:r w:rsidR="00BE6021">
        <w:fldChar w:fldCharType="begin"/>
      </w:r>
      <w:r w:rsidR="00BE6021">
        <w:instrText xml:space="preserve"> REF _Ref491266996 \h </w:instrText>
      </w:r>
      <w:r w:rsidR="00BE6021">
        <w:fldChar w:fldCharType="separate"/>
      </w:r>
      <w:r w:rsidR="00D806F2">
        <w:t xml:space="preserve">Figure A1. </w:t>
      </w:r>
      <w:r w:rsidR="00D806F2">
        <w:rPr>
          <w:noProof/>
        </w:rPr>
        <w:t>10</w:t>
      </w:r>
      <w:r w:rsidR="00BE6021">
        <w:fldChar w:fldCharType="end"/>
      </w:r>
      <w:r w:rsidR="00E46159">
        <w:t xml:space="preserve">, Waterhouse </w:t>
      </w:r>
      <w:r w:rsidR="00E46159" w:rsidRPr="00E46159">
        <w:rPr>
          <w:i/>
        </w:rPr>
        <w:t>et al.</w:t>
      </w:r>
      <w:r w:rsidR="00E46159">
        <w:t xml:space="preserve"> 2017</w:t>
      </w:r>
      <w:r w:rsidR="001C433F">
        <w:t xml:space="preserve">). </w:t>
      </w:r>
    </w:p>
    <w:p w14:paraId="53896768" w14:textId="797639CB" w:rsidR="00E46159" w:rsidRDefault="00E46159" w:rsidP="00E46159">
      <w:r>
        <w:t xml:space="preserve">Overall the recent trajectory of coral communities in this sub-region demonstrates their ability to recover when the cumulative impacts of </w:t>
      </w:r>
      <w:r w:rsidR="00611D00">
        <w:t xml:space="preserve">acute events and </w:t>
      </w:r>
      <w:r w:rsidR="0042623E">
        <w:t>run-off</w:t>
      </w:r>
      <w:r w:rsidR="00611D00">
        <w:t xml:space="preserve"> are low</w:t>
      </w:r>
      <w:r>
        <w:t>.</w:t>
      </w:r>
    </w:p>
    <w:p w14:paraId="5950E2DC" w14:textId="77777777" w:rsidR="00E46159" w:rsidRDefault="00E46159" w:rsidP="00E46159"/>
    <w:p w14:paraId="089B80BC" w14:textId="40845D74" w:rsidR="008954A3" w:rsidRDefault="008954A3" w:rsidP="0038439B">
      <w:pPr>
        <w:rPr>
          <w:rFonts w:eastAsiaTheme="minorHAnsi" w:cs="Arial"/>
          <w:szCs w:val="22"/>
          <w:lang w:val="en-AU"/>
        </w:rPr>
      </w:pPr>
    </w:p>
    <w:p w14:paraId="50A660F9" w14:textId="77777777" w:rsidR="008954A3" w:rsidRDefault="008954A3" w:rsidP="008954A3"/>
    <w:p w14:paraId="11EA904E" w14:textId="32C000D6" w:rsidR="00B36605" w:rsidRDefault="005C5749" w:rsidP="00B36605">
      <w:r>
        <w:rPr>
          <w:noProof/>
          <w:lang w:val="en-AU" w:eastAsia="en-AU"/>
        </w:rPr>
        <w:drawing>
          <wp:inline distT="0" distB="0" distL="0" distR="0" wp14:anchorId="2E0B6C9E" wp14:editId="5BA1F352">
            <wp:extent cx="6120765" cy="6120765"/>
            <wp:effectExtent l="0" t="0" r="0" b="0"/>
            <wp:docPr id="20" name="Picture 20" descr="A panel of five plots. Plots a and b present maps of sampling locations with the sea areas colour by a, mean Chl concentration and b, mean total suspended solids concentration. Plot c presents daily deviations from seasonal temperature profiles, includes markers for cyclones and annual degree heating estimates for the region. Plot d presents daily discharge from the regions rivers since 2005 along with annual total discharge relative to a 1986-2016 baseline median. Plot e presents the regional loss of coral observed in each year and the identified cause" title="Figure 14 Johnstone Russell Mulgrave environmental press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Env_johnstone.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173A39E7" w14:textId="7645CEB8" w:rsidR="00E229DD" w:rsidRDefault="006A1DEF" w:rsidP="006A1DEF">
      <w:pPr>
        <w:pStyle w:val="Caption"/>
        <w:rPr>
          <w:rStyle w:val="IntenseReference"/>
          <w:rFonts w:eastAsia="SimSun"/>
        </w:rPr>
      </w:pPr>
      <w:bookmarkStart w:id="186" w:name="_Ref491180328"/>
      <w:bookmarkStart w:id="187" w:name="_Toc491846840"/>
      <w:r>
        <w:t xml:space="preserve">Figure </w:t>
      </w:r>
      <w:r>
        <w:fldChar w:fldCharType="begin"/>
      </w:r>
      <w:r>
        <w:instrText xml:space="preserve"> SEQ Figure \* ARABIC </w:instrText>
      </w:r>
      <w:r>
        <w:fldChar w:fldCharType="separate"/>
      </w:r>
      <w:r w:rsidR="00D806F2">
        <w:rPr>
          <w:noProof/>
        </w:rPr>
        <w:t>14</w:t>
      </w:r>
      <w:r>
        <w:fldChar w:fldCharType="end"/>
      </w:r>
      <w:bookmarkEnd w:id="186"/>
      <w:r>
        <w:t xml:space="preserve"> </w:t>
      </w:r>
      <w:r w:rsidRPr="00261A6E">
        <w:t xml:space="preserve">Johnstone Russell-Mulgrave sub-region </w:t>
      </w:r>
      <w:r w:rsidR="00A416E6">
        <w:t>environmental pressures</w:t>
      </w:r>
      <w:r w:rsidRPr="00261A6E">
        <w:t>.</w:t>
      </w:r>
      <w:r w:rsidR="00E229DD">
        <w:rPr>
          <w:rStyle w:val="IntenseReference"/>
          <w:rFonts w:eastAsia="SimSun"/>
        </w:rPr>
        <w:t xml:space="preserve"> </w:t>
      </w:r>
      <w:r w:rsidR="00E229DD" w:rsidRPr="001C36F4">
        <w:rPr>
          <w:rStyle w:val="IntenseReference"/>
          <w:rFonts w:eastAsia="SimSun"/>
        </w:rPr>
        <w:t xml:space="preserve">Maps show location of monitoring sites, red symbols MMP, yellow symbols </w:t>
      </w:r>
      <w:r w:rsidR="00E229DD">
        <w:rPr>
          <w:rStyle w:val="IntenseReference"/>
          <w:rFonts w:eastAsia="SimSun"/>
        </w:rPr>
        <w:t>LTMP along with a) mean c</w:t>
      </w:r>
      <w:r w:rsidR="00E229DD" w:rsidRPr="001C36F4">
        <w:rPr>
          <w:rStyle w:val="IntenseReference"/>
          <w:rFonts w:eastAsia="SimSun"/>
        </w:rPr>
        <w:t xml:space="preserve">hlorophyll </w:t>
      </w:r>
      <w:r w:rsidR="00E229DD" w:rsidRPr="00663F7B">
        <w:rPr>
          <w:rStyle w:val="IntenseReference"/>
          <w:rFonts w:eastAsia="SimSun"/>
          <w:i/>
        </w:rPr>
        <w:t>a</w:t>
      </w:r>
      <w:r w:rsidR="00E229DD">
        <w:rPr>
          <w:rStyle w:val="IntenseReference"/>
          <w:rFonts w:eastAsia="SimSun"/>
        </w:rPr>
        <w:t xml:space="preserve"> </w:t>
      </w:r>
      <w:r w:rsidR="00E229DD" w:rsidRPr="001C36F4">
        <w:rPr>
          <w:rStyle w:val="IntenseReference"/>
          <w:rFonts w:eastAsia="SimSun"/>
        </w:rPr>
        <w:t xml:space="preserve">concentration and b) mean Non algal particulate concentrations. Water quality data are mean levels over the period 2003-2016. c) Seasonally adjusted temperature deviation, timing of cyclones and storms indicated by black arrows, accumulated degree heating days over the summer period (1st of December - 31st March) indicated by black symbols d) Combined daily (blue) and annual (red) discharge for the </w:t>
      </w:r>
      <w:r w:rsidR="001E1E73">
        <w:rPr>
          <w:rStyle w:val="IntenseReference"/>
          <w:rFonts w:eastAsia="SimSun"/>
        </w:rPr>
        <w:t xml:space="preserve">North </w:t>
      </w:r>
      <w:r w:rsidR="00E229DD">
        <w:rPr>
          <w:rStyle w:val="IntenseReference"/>
          <w:rFonts w:eastAsia="SimSun"/>
        </w:rPr>
        <w:t xml:space="preserve">Johnstone, </w:t>
      </w:r>
      <w:r w:rsidR="001E1E73">
        <w:rPr>
          <w:rStyle w:val="IntenseReference"/>
          <w:rFonts w:eastAsia="SimSun"/>
        </w:rPr>
        <w:t xml:space="preserve">South Johnstone, </w:t>
      </w:r>
      <w:r w:rsidR="00E229DD">
        <w:rPr>
          <w:rStyle w:val="IntenseReference"/>
          <w:rFonts w:eastAsia="SimSun"/>
        </w:rPr>
        <w:t xml:space="preserve">Russell and Mulgrave </w:t>
      </w:r>
      <w:r w:rsidR="00E229DD" w:rsidRPr="001C36F4">
        <w:rPr>
          <w:rStyle w:val="IntenseReference"/>
          <w:rFonts w:eastAsia="SimSun"/>
        </w:rPr>
        <w:t>rivers, red dashed line represents long-term median discharge (1986-2016). e) break-down of hard coral cover loss by disturbance type; length of bars represent the mean loss of cover across all reefs (see methods section for further detail).</w:t>
      </w:r>
      <w:bookmarkEnd w:id="187"/>
    </w:p>
    <w:p w14:paraId="11EA9056" w14:textId="77777777" w:rsidR="00B36605" w:rsidRDefault="00B36605">
      <w:pPr>
        <w:jc w:val="left"/>
      </w:pPr>
      <w:r>
        <w:br w:type="page"/>
      </w:r>
    </w:p>
    <w:p w14:paraId="11EA9057" w14:textId="77777777" w:rsidR="001C36F4" w:rsidRPr="001C36F4" w:rsidRDefault="001C36F4" w:rsidP="001C36F4"/>
    <w:p w14:paraId="11EA9058" w14:textId="6DA2913B" w:rsidR="004320ED" w:rsidRDefault="001C3EFB" w:rsidP="004320ED">
      <w:pPr>
        <w:spacing w:before="5" w:after="5"/>
        <w:ind w:left="5" w:right="5"/>
        <w:jc w:val="center"/>
        <w:rPr>
          <w:color w:val="4F81BD" w:themeColor="accent1"/>
        </w:rPr>
      </w:pPr>
      <w:r>
        <w:rPr>
          <w:noProof/>
          <w:color w:val="4F81BD" w:themeColor="accent1"/>
          <w:lang w:val="en-AU" w:eastAsia="en-AU"/>
        </w:rPr>
        <w:drawing>
          <wp:inline distT="0" distB="0" distL="0" distR="0" wp14:anchorId="10AA6CA9" wp14:editId="222FE56A">
            <wp:extent cx="6120765" cy="7138035"/>
            <wp:effectExtent l="0" t="0" r="0" b="5715"/>
            <wp:docPr id="4" name="Picture 4" descr="A panel of eight plots showing trends in coral index scores, coral cover, macroalgae proportion, juvenile density, coral change, coral composition, chlorophyll a and turbidity" title="Figure 15 Johnstone Russell-Mulgrave sub-region index and indicator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Johnstone_plots.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6120765" cy="7138035"/>
                    </a:xfrm>
                    <a:prstGeom prst="rect">
                      <a:avLst/>
                    </a:prstGeom>
                  </pic:spPr>
                </pic:pic>
              </a:graphicData>
            </a:graphic>
          </wp:inline>
        </w:drawing>
      </w:r>
    </w:p>
    <w:p w14:paraId="3E03E2BB" w14:textId="5DF2AA2F" w:rsidR="006A1DEF" w:rsidRPr="001A3582" w:rsidRDefault="006A1DEF" w:rsidP="006A1DEF">
      <w:pPr>
        <w:pStyle w:val="Caption"/>
        <w:rPr>
          <w:vanish/>
        </w:rPr>
      </w:pPr>
      <w:bookmarkStart w:id="188" w:name="_Ref491181369"/>
      <w:bookmarkStart w:id="189" w:name="_Ref438119880"/>
      <w:bookmarkStart w:id="190" w:name="_Toc491846841"/>
      <w:bookmarkStart w:id="191" w:name="_Toc437423852"/>
      <w:bookmarkStart w:id="192" w:name="_Toc437424031"/>
      <w:bookmarkStart w:id="193" w:name="_Toc437424299"/>
      <w:bookmarkStart w:id="194" w:name="_Toc437597632"/>
      <w:r>
        <w:t xml:space="preserve">Figure </w:t>
      </w:r>
      <w:r>
        <w:fldChar w:fldCharType="begin"/>
      </w:r>
      <w:r>
        <w:instrText xml:space="preserve"> SEQ Figure \* ARABIC </w:instrText>
      </w:r>
      <w:r>
        <w:fldChar w:fldCharType="separate"/>
      </w:r>
      <w:r w:rsidR="00D806F2">
        <w:rPr>
          <w:noProof/>
        </w:rPr>
        <w:t>15</w:t>
      </w:r>
      <w:r>
        <w:fldChar w:fldCharType="end"/>
      </w:r>
      <w:bookmarkEnd w:id="188"/>
      <w:r>
        <w:t xml:space="preserve"> </w:t>
      </w:r>
      <w:r w:rsidRPr="00351539">
        <w:t>Johnstone Russell-Mulgrave sub-region</w:t>
      </w:r>
      <w:r w:rsidR="00A416E6">
        <w:t xml:space="preserve"> index and indicator trends</w:t>
      </w:r>
      <w:r w:rsidRPr="00351539">
        <w:t>.</w:t>
      </w:r>
      <w:bookmarkEnd w:id="189"/>
      <w:r w:rsidRPr="001A3582">
        <w:t xml:space="preserve"> </w:t>
      </w:r>
      <w:r>
        <w:t>a)</w:t>
      </w:r>
      <w:bookmarkEnd w:id="190"/>
      <w:r>
        <w:t xml:space="preserve"> </w:t>
      </w:r>
    </w:p>
    <w:p w14:paraId="361DFB0C" w14:textId="010CE276" w:rsidR="006A1DEF" w:rsidRPr="001A3582" w:rsidRDefault="006A1DEF" w:rsidP="006A1DEF">
      <w:pPr>
        <w:pStyle w:val="Caption"/>
        <w:rPr>
          <w:rStyle w:val="IntenseReference"/>
          <w:rFonts w:eastAsia="SimSun"/>
          <w:color w:val="auto"/>
        </w:rPr>
      </w:pPr>
      <w:r w:rsidRPr="001A3582">
        <w:rPr>
          <w:rStyle w:val="IntenseReference"/>
          <w:rFonts w:eastAsia="SimSun"/>
          <w:color w:val="auto"/>
        </w:rPr>
        <w:t>Coral index</w:t>
      </w:r>
      <w:r>
        <w:rPr>
          <w:rStyle w:val="IntenseReference"/>
          <w:rFonts w:eastAsia="SimSun"/>
          <w:color w:val="auto"/>
        </w:rPr>
        <w:t>,</w:t>
      </w:r>
      <w:r w:rsidRPr="001A3582">
        <w:rPr>
          <w:rStyle w:val="IntenseReference"/>
          <w:rFonts w:eastAsia="SimSun"/>
          <w:color w:val="auto"/>
        </w:rPr>
        <w:t xml:space="preserve"> colour coding: dark green- ‘very good’; light green-‘good’; yellow – ‘moderate; orange – ‘poor’; red – ‘very poor’. </w:t>
      </w:r>
      <w:r>
        <w:rPr>
          <w:rStyle w:val="IntenseReference"/>
          <w:rFonts w:eastAsia="SimSun"/>
          <w:color w:val="auto"/>
        </w:rPr>
        <w:t xml:space="preserve">b – </w:t>
      </w:r>
      <w:r w:rsidRPr="001A3582">
        <w:rPr>
          <w:rStyle w:val="IntenseReference"/>
          <w:rFonts w:eastAsia="SimSun"/>
          <w:color w:val="auto"/>
        </w:rPr>
        <w:t>f</w:t>
      </w:r>
      <w:r>
        <w:rPr>
          <w:rStyle w:val="IntenseReference"/>
          <w:rFonts w:eastAsia="SimSun"/>
          <w:color w:val="auto"/>
        </w:rPr>
        <w:t>) trends in individual indicators, (</w:t>
      </w:r>
      <w:r w:rsidRPr="001A3582">
        <w:rPr>
          <w:rStyle w:val="IntenseReference"/>
          <w:rFonts w:eastAsia="SimSun"/>
          <w:color w:val="auto"/>
        </w:rPr>
        <w:t>blue lines</w:t>
      </w:r>
      <w:r>
        <w:rPr>
          <w:rStyle w:val="IntenseReference"/>
          <w:rFonts w:eastAsia="SimSun"/>
          <w:color w:val="auto"/>
        </w:rPr>
        <w:t xml:space="preserve">) bound by </w:t>
      </w:r>
      <w:r w:rsidRPr="001A3582">
        <w:rPr>
          <w:rStyle w:val="IntenseReference"/>
          <w:rFonts w:eastAsia="SimSun"/>
          <w:color w:val="auto"/>
        </w:rPr>
        <w:t>95% confidence intervals of those trends</w:t>
      </w:r>
      <w:r>
        <w:rPr>
          <w:rStyle w:val="IntenseReference"/>
          <w:rFonts w:eastAsia="SimSun"/>
          <w:color w:val="auto"/>
        </w:rPr>
        <w:t xml:space="preserve"> (shading)</w:t>
      </w:r>
      <w:r w:rsidRPr="001A3582">
        <w:rPr>
          <w:rStyle w:val="IntenseReference"/>
          <w:rFonts w:eastAsia="SimSun"/>
          <w:color w:val="auto"/>
        </w:rPr>
        <w:t xml:space="preserve">, grey lines represent observed profiles </w:t>
      </w:r>
      <w:r>
        <w:rPr>
          <w:rStyle w:val="IntenseReference"/>
          <w:rFonts w:eastAsia="SimSun"/>
          <w:color w:val="auto"/>
        </w:rPr>
        <w:t>at 5 m (dashed) and 2 m (solid) depths</w:t>
      </w:r>
      <w:r w:rsidRPr="001A3582">
        <w:rPr>
          <w:rStyle w:val="IntenseReference"/>
          <w:rFonts w:eastAsia="SimSun"/>
          <w:color w:val="auto"/>
        </w:rPr>
        <w:t xml:space="preserve"> </w:t>
      </w:r>
      <w:r>
        <w:rPr>
          <w:rStyle w:val="IntenseReference"/>
          <w:rFonts w:eastAsia="SimSun"/>
          <w:color w:val="auto"/>
        </w:rPr>
        <w:t>for</w:t>
      </w:r>
      <w:r w:rsidRPr="001A3582">
        <w:rPr>
          <w:rStyle w:val="IntenseReference"/>
          <w:rFonts w:eastAsia="SimSun"/>
          <w:color w:val="auto"/>
        </w:rPr>
        <w:t xml:space="preserve"> individual reefs</w:t>
      </w:r>
      <w:r>
        <w:rPr>
          <w:rStyle w:val="IntenseReference"/>
          <w:rFonts w:eastAsia="SimSun"/>
          <w:color w:val="auto"/>
        </w:rPr>
        <w:t>,</w:t>
      </w:r>
      <w:r w:rsidRPr="001A3582">
        <w:rPr>
          <w:rStyle w:val="IntenseReference"/>
          <w:rFonts w:eastAsia="SimSun"/>
          <w:color w:val="auto"/>
        </w:rPr>
        <w:t xml:space="preserve"> </w:t>
      </w:r>
      <w:r>
        <w:rPr>
          <w:rStyle w:val="IntenseReference"/>
          <w:rFonts w:eastAsia="SimSun"/>
          <w:color w:val="auto"/>
        </w:rPr>
        <w:t>g) trend</w:t>
      </w:r>
      <w:r w:rsidRPr="001A3582">
        <w:rPr>
          <w:rStyle w:val="IntenseReference"/>
          <w:rFonts w:eastAsia="SimSun"/>
          <w:color w:val="auto"/>
        </w:rPr>
        <w:t xml:space="preserve"> in chlorophyll </w:t>
      </w:r>
      <w:r w:rsidRPr="00663F7B">
        <w:rPr>
          <w:rStyle w:val="IntenseReference"/>
          <w:rFonts w:eastAsia="SimSun"/>
          <w:i/>
          <w:color w:val="auto"/>
        </w:rPr>
        <w:t>a</w:t>
      </w:r>
      <w:r w:rsidRPr="001A3582">
        <w:rPr>
          <w:rStyle w:val="IntenseReference"/>
          <w:rFonts w:eastAsia="SimSun"/>
          <w:color w:val="auto"/>
        </w:rPr>
        <w:t xml:space="preserve"> </w:t>
      </w:r>
      <w:r>
        <w:rPr>
          <w:rStyle w:val="IntenseReference"/>
          <w:rFonts w:eastAsia="SimSun"/>
          <w:color w:val="auto"/>
        </w:rPr>
        <w:t xml:space="preserve">and, h) total suspended solids, shading </w:t>
      </w:r>
      <w:r w:rsidRPr="001A3582">
        <w:rPr>
          <w:rStyle w:val="IntenseReference"/>
          <w:rFonts w:eastAsia="SimSun"/>
          <w:color w:val="auto"/>
        </w:rPr>
        <w:t>defin</w:t>
      </w:r>
      <w:r>
        <w:rPr>
          <w:rStyle w:val="IntenseReference"/>
          <w:rFonts w:eastAsia="SimSun"/>
          <w:color w:val="auto"/>
        </w:rPr>
        <w:t>es</w:t>
      </w:r>
      <w:r w:rsidRPr="001A3582">
        <w:rPr>
          <w:rStyle w:val="IntenseReference"/>
          <w:rFonts w:eastAsia="SimSun"/>
          <w:color w:val="auto"/>
        </w:rPr>
        <w:t xml:space="preserve"> 95% confidence intervals of </w:t>
      </w:r>
      <w:r>
        <w:rPr>
          <w:rStyle w:val="IntenseReference"/>
          <w:rFonts w:eastAsia="SimSun"/>
          <w:color w:val="auto"/>
        </w:rPr>
        <w:t>water quality t</w:t>
      </w:r>
      <w:r w:rsidRPr="001A3582">
        <w:rPr>
          <w:rStyle w:val="IntenseReference"/>
          <w:rFonts w:eastAsia="SimSun"/>
          <w:color w:val="auto"/>
        </w:rPr>
        <w:t>rends</w:t>
      </w:r>
      <w:r>
        <w:rPr>
          <w:rStyle w:val="IntenseReference"/>
          <w:rFonts w:eastAsia="SimSun"/>
          <w:color w:val="auto"/>
        </w:rPr>
        <w:t xml:space="preserve"> for hand sampled data (blue) or estimates derived from </w:t>
      </w:r>
      <w:r w:rsidRPr="001A3582">
        <w:rPr>
          <w:rStyle w:val="IntenseReference"/>
          <w:rFonts w:eastAsiaTheme="minorHAnsi"/>
          <w:color w:val="auto"/>
        </w:rPr>
        <w:t>ECO FLNTUSB instruments</w:t>
      </w:r>
      <w:r>
        <w:rPr>
          <w:rStyle w:val="IntenseReference"/>
          <w:rFonts w:eastAsiaTheme="minorHAnsi"/>
          <w:color w:val="auto"/>
        </w:rPr>
        <w:t xml:space="preserve"> (red)</w:t>
      </w:r>
      <w:r w:rsidRPr="001A3582">
        <w:rPr>
          <w:rStyle w:val="IntenseReference"/>
          <w:rFonts w:eastAsia="SimSun"/>
          <w:color w:val="auto"/>
        </w:rPr>
        <w:t>, black dots represent observed data. Dashed reference lines indicate GBRMPA (2010) guideline values.</w:t>
      </w:r>
    </w:p>
    <w:bookmarkEnd w:id="191"/>
    <w:bookmarkEnd w:id="192"/>
    <w:bookmarkEnd w:id="193"/>
    <w:bookmarkEnd w:id="194"/>
    <w:p w14:paraId="11EA9065" w14:textId="400A1763" w:rsidR="000C6FCB" w:rsidRPr="00F439FB" w:rsidRDefault="000C6FCB" w:rsidP="00260BBC">
      <w:pPr>
        <w:rPr>
          <w:color w:val="4F81BD" w:themeColor="accent1"/>
        </w:rPr>
      </w:pPr>
      <w:r w:rsidRPr="00F439FB">
        <w:rPr>
          <w:color w:val="4F81BD" w:themeColor="accent1"/>
        </w:rPr>
        <w:br w:type="page"/>
      </w:r>
    </w:p>
    <w:p w14:paraId="11EA9066" w14:textId="75108F73" w:rsidR="00E95C71" w:rsidRPr="00260BBC" w:rsidRDefault="00F352CD" w:rsidP="00B9528B">
      <w:pPr>
        <w:pStyle w:val="Heading3"/>
      </w:pPr>
      <w:bookmarkStart w:id="195" w:name="_Toc437424408"/>
      <w:bookmarkStart w:id="196" w:name="_Toc437424532"/>
      <w:bookmarkStart w:id="197" w:name="_Toc437432463"/>
      <w:bookmarkStart w:id="198" w:name="_Toc437432536"/>
      <w:bookmarkStart w:id="199" w:name="_Toc493153330"/>
      <w:r w:rsidRPr="00260BBC">
        <w:t>5</w:t>
      </w:r>
      <w:r w:rsidR="002A28EE" w:rsidRPr="00260BBC">
        <w:t>.</w:t>
      </w:r>
      <w:r w:rsidR="00BD49B5">
        <w:t>2.3</w:t>
      </w:r>
      <w:r w:rsidR="00A803D4">
        <w:t xml:space="preserve"> </w:t>
      </w:r>
      <w:r w:rsidR="00EA753F" w:rsidRPr="00260BBC">
        <w:t>Wet Tropics Region: Herbert Tully sub-region</w:t>
      </w:r>
      <w:bookmarkEnd w:id="195"/>
      <w:bookmarkEnd w:id="196"/>
      <w:bookmarkEnd w:id="197"/>
      <w:bookmarkEnd w:id="198"/>
      <w:bookmarkEnd w:id="199"/>
    </w:p>
    <w:p w14:paraId="1A62486A" w14:textId="6CDE5B22" w:rsidR="005A50DC" w:rsidRDefault="00AF6321" w:rsidP="005A50DC">
      <w:r w:rsidRPr="00260BBC">
        <w:t>From 2013 the coral index has continued to improve</w:t>
      </w:r>
      <w:r w:rsidR="00212214">
        <w:t xml:space="preserve"> to be categorised as ‘moderate’</w:t>
      </w:r>
      <w:r w:rsidR="00611D00">
        <w:t xml:space="preserve"> </w:t>
      </w:r>
      <w:r w:rsidRPr="00260BBC">
        <w:t xml:space="preserve">in 2016, </w:t>
      </w:r>
      <w:r>
        <w:t xml:space="preserve">and the highest level recorded </w:t>
      </w:r>
      <w:r w:rsidR="00417AF5">
        <w:t xml:space="preserve">in the sub-region </w:t>
      </w:r>
      <w:r>
        <w:t>since monitoring began in 2005</w:t>
      </w:r>
      <w:r w:rsidR="00611D00">
        <w:t xml:space="preserve"> (</w:t>
      </w:r>
      <w:r w:rsidR="00611D00">
        <w:fldChar w:fldCharType="begin"/>
      </w:r>
      <w:r w:rsidR="00611D00">
        <w:instrText xml:space="preserve"> REF _Ref491267284 \h </w:instrText>
      </w:r>
      <w:r w:rsidR="00611D00">
        <w:fldChar w:fldCharType="separate"/>
      </w:r>
      <w:r w:rsidR="00D806F2">
        <w:t xml:space="preserve">Table </w:t>
      </w:r>
      <w:r w:rsidR="00D806F2">
        <w:rPr>
          <w:noProof/>
        </w:rPr>
        <w:t>12</w:t>
      </w:r>
      <w:r w:rsidR="00611D00">
        <w:fldChar w:fldCharType="end"/>
      </w:r>
      <w:r w:rsidR="00611D00">
        <w:t xml:space="preserve">, </w:t>
      </w:r>
      <w:r w:rsidR="00611D00">
        <w:fldChar w:fldCharType="begin"/>
      </w:r>
      <w:r w:rsidR="00611D00">
        <w:instrText xml:space="preserve"> REF _Ref491267311 \h </w:instrText>
      </w:r>
      <w:r w:rsidR="00611D00">
        <w:fldChar w:fldCharType="separate"/>
      </w:r>
      <w:r w:rsidR="00D806F2">
        <w:t xml:space="preserve">Figure </w:t>
      </w:r>
      <w:r w:rsidR="00D806F2">
        <w:rPr>
          <w:noProof/>
        </w:rPr>
        <w:t>17</w:t>
      </w:r>
      <w:r w:rsidR="00611D00">
        <w:fldChar w:fldCharType="end"/>
      </w:r>
      <w:r w:rsidR="00611D00">
        <w:t>a)</w:t>
      </w:r>
      <w:r>
        <w:t>.</w:t>
      </w:r>
      <w:r w:rsidRPr="00260BBC">
        <w:t xml:space="preserve"> </w:t>
      </w:r>
      <w:r>
        <w:t xml:space="preserve">The improvement in the coral index </w:t>
      </w:r>
      <w:r w:rsidR="00E45CE9">
        <w:t>coincides with both a hiatus in acute disturbances and median to below median discharges from adjacent catchments (</w:t>
      </w:r>
      <w:r w:rsidR="00611D00">
        <w:fldChar w:fldCharType="begin"/>
      </w:r>
      <w:r w:rsidR="00611D00">
        <w:instrText xml:space="preserve"> REF _Ref491267352 \h </w:instrText>
      </w:r>
      <w:r w:rsidR="00611D00">
        <w:fldChar w:fldCharType="separate"/>
      </w:r>
      <w:r w:rsidR="00D806F2">
        <w:t xml:space="preserve">Figure </w:t>
      </w:r>
      <w:r w:rsidR="00D806F2">
        <w:rPr>
          <w:noProof/>
        </w:rPr>
        <w:t>16</w:t>
      </w:r>
      <w:r w:rsidR="00611D00">
        <w:fldChar w:fldCharType="end"/>
      </w:r>
      <w:r w:rsidR="00E45CE9">
        <w:t>c-e).</w:t>
      </w:r>
      <w:r w:rsidR="00E45CE9" w:rsidRPr="00260BBC">
        <w:t xml:space="preserve"> </w:t>
      </w:r>
      <w:r w:rsidR="00E45CE9">
        <w:t>Between 2</w:t>
      </w:r>
      <w:r w:rsidR="000F7248">
        <w:t>013 and 2016 all</w:t>
      </w:r>
      <w:r w:rsidR="00E45CE9">
        <w:t xml:space="preserve"> indicator metric scores</w:t>
      </w:r>
      <w:r w:rsidR="000F7248">
        <w:t xml:space="preserve"> improved</w:t>
      </w:r>
      <w:r w:rsidR="006C1688">
        <w:t>,</w:t>
      </w:r>
      <w:r w:rsidR="00E45CE9">
        <w:t xml:space="preserve"> the most consistent improvements were for Coral </w:t>
      </w:r>
      <w:r w:rsidR="006C1688">
        <w:t>C</w:t>
      </w:r>
      <w:r w:rsidR="00E45CE9">
        <w:t xml:space="preserve">over </w:t>
      </w:r>
      <w:r w:rsidR="000F7248">
        <w:t>and Coral</w:t>
      </w:r>
      <w:r w:rsidR="00E45CE9">
        <w:t xml:space="preserve"> </w:t>
      </w:r>
      <w:r w:rsidR="006C1688">
        <w:t>C</w:t>
      </w:r>
      <w:r w:rsidR="000F7248">
        <w:t>hange (</w:t>
      </w:r>
      <w:r w:rsidR="00611D00">
        <w:fldChar w:fldCharType="begin"/>
      </w:r>
      <w:r w:rsidR="00611D00">
        <w:instrText xml:space="preserve"> REF _Ref491267284 \h </w:instrText>
      </w:r>
      <w:r w:rsidR="00611D00">
        <w:fldChar w:fldCharType="separate"/>
      </w:r>
      <w:r w:rsidR="00D806F2">
        <w:t xml:space="preserve">Table </w:t>
      </w:r>
      <w:r w:rsidR="00D806F2">
        <w:rPr>
          <w:noProof/>
        </w:rPr>
        <w:t>12</w:t>
      </w:r>
      <w:r w:rsidR="00611D00">
        <w:fldChar w:fldCharType="end"/>
      </w:r>
      <w:r w:rsidR="000F7248">
        <w:t>). Improvement in the Composition metric indicate</w:t>
      </w:r>
      <w:r w:rsidR="006C1688">
        <w:t>s</w:t>
      </w:r>
      <w:r w:rsidR="000F7248">
        <w:t xml:space="preserve"> that </w:t>
      </w:r>
      <w:r w:rsidR="00611D00">
        <w:t xml:space="preserve">recovering coral cover </w:t>
      </w:r>
      <w:r w:rsidR="006C1688">
        <w:t xml:space="preserve">included increased cover </w:t>
      </w:r>
      <w:r w:rsidR="000F7248">
        <w:t>of spec</w:t>
      </w:r>
      <w:r w:rsidR="00611D00">
        <w:t>ies s</w:t>
      </w:r>
      <w:r w:rsidR="002C6C3C">
        <w:t xml:space="preserve">ensitive to water quality, these </w:t>
      </w:r>
      <w:r w:rsidR="000F7248">
        <w:t xml:space="preserve">taxa, largely </w:t>
      </w:r>
      <w:r w:rsidR="000F7248" w:rsidRPr="005B52B1">
        <w:rPr>
          <w:i/>
        </w:rPr>
        <w:t>Acropora</w:t>
      </w:r>
      <w:r w:rsidR="000F7248">
        <w:t xml:space="preserve"> were severely impacted by Cyclone Yasi (</w:t>
      </w:r>
      <w:r w:rsidR="00BE20D6" w:rsidRPr="00BE20D6">
        <w:fldChar w:fldCharType="begin"/>
      </w:r>
      <w:r w:rsidR="00BE20D6" w:rsidRPr="00BE20D6">
        <w:instrText xml:space="preserve"> REF _Ref492390039 \h </w:instrText>
      </w:r>
      <w:r w:rsidR="00BE20D6">
        <w:instrText xml:space="preserve"> \* MERGEFORMAT </w:instrText>
      </w:r>
      <w:r w:rsidR="00BE20D6" w:rsidRPr="00BE20D6">
        <w:fldChar w:fldCharType="separate"/>
      </w:r>
      <w:r w:rsidR="00D806F2">
        <w:t xml:space="preserve">Figure A1. </w:t>
      </w:r>
      <w:r w:rsidR="00D806F2">
        <w:rPr>
          <w:noProof/>
        </w:rPr>
        <w:t>3</w:t>
      </w:r>
      <w:r w:rsidR="00BE20D6" w:rsidRPr="00BE20D6">
        <w:fldChar w:fldCharType="end"/>
      </w:r>
      <w:r w:rsidR="000F7248" w:rsidRPr="00BE20D6">
        <w:t>).</w:t>
      </w:r>
      <w:r w:rsidR="000F7248">
        <w:t xml:space="preserve"> Conversely, improvements in the Juvenile metric largely reflect </w:t>
      </w:r>
      <w:r w:rsidR="00611D00">
        <w:t xml:space="preserve">increased </w:t>
      </w:r>
      <w:r w:rsidR="000F7248">
        <w:t xml:space="preserve">abundance of </w:t>
      </w:r>
      <w:r w:rsidR="000F7248" w:rsidRPr="005B52B1">
        <w:rPr>
          <w:i/>
        </w:rPr>
        <w:t>Turbinaria</w:t>
      </w:r>
      <w:r w:rsidR="000F7248">
        <w:t xml:space="preserve"> (Family Dendrophylliidae</w:t>
      </w:r>
      <w:r w:rsidR="00611D00">
        <w:t>,</w:t>
      </w:r>
      <w:r w:rsidR="00BE20D6">
        <w:t xml:space="preserve"> </w:t>
      </w:r>
      <w:r w:rsidR="00BE20D6" w:rsidRPr="00BE20D6">
        <w:fldChar w:fldCharType="begin"/>
      </w:r>
      <w:r w:rsidR="00BE20D6" w:rsidRPr="00BE20D6">
        <w:instrText xml:space="preserve"> REF _Ref492390039 \h </w:instrText>
      </w:r>
      <w:r w:rsidR="00BE20D6">
        <w:instrText xml:space="preserve"> \* MERGEFORMAT </w:instrText>
      </w:r>
      <w:r w:rsidR="00BE20D6" w:rsidRPr="00BE20D6">
        <w:fldChar w:fldCharType="separate"/>
      </w:r>
      <w:r w:rsidR="00D806F2">
        <w:t xml:space="preserve">Figure A1. </w:t>
      </w:r>
      <w:r w:rsidR="00D806F2">
        <w:rPr>
          <w:noProof/>
        </w:rPr>
        <w:t>3</w:t>
      </w:r>
      <w:r w:rsidR="00BE20D6" w:rsidRPr="00BE20D6">
        <w:fldChar w:fldCharType="end"/>
      </w:r>
      <w:r w:rsidR="000F7248" w:rsidRPr="00BE20D6">
        <w:t>) a</w:t>
      </w:r>
      <w:r w:rsidR="000F7248">
        <w:t xml:space="preserve"> genus not considered </w:t>
      </w:r>
      <w:r w:rsidR="00CE6032">
        <w:t>sensitive to poor water quality (</w:t>
      </w:r>
      <w:r w:rsidR="00611D00">
        <w:fldChar w:fldCharType="begin"/>
      </w:r>
      <w:r w:rsidR="00611D00">
        <w:instrText xml:space="preserve"> REF _Ref491160057 \h </w:instrText>
      </w:r>
      <w:r w:rsidR="00611D00">
        <w:fldChar w:fldCharType="separate"/>
      </w:r>
      <w:r w:rsidR="00D806F2">
        <w:t xml:space="preserve">Table A1. </w:t>
      </w:r>
      <w:r w:rsidR="00D806F2">
        <w:rPr>
          <w:noProof/>
        </w:rPr>
        <w:t>2</w:t>
      </w:r>
      <w:r w:rsidR="00611D00">
        <w:fldChar w:fldCharType="end"/>
      </w:r>
      <w:r w:rsidR="00CE6032">
        <w:t>). The least improved metric was for Macroalgae at 5</w:t>
      </w:r>
      <w:r w:rsidR="00611D00">
        <w:t xml:space="preserve"> </w:t>
      </w:r>
      <w:r w:rsidR="00CE6032">
        <w:t>m depths, a result influenced by the generally low proportion of macroalgae in the algal communities at the deeper sites (</w:t>
      </w:r>
      <w:r w:rsidR="00611D00">
        <w:fldChar w:fldCharType="begin"/>
      </w:r>
      <w:r w:rsidR="00611D00">
        <w:instrText xml:space="preserve"> REF _Ref491267311 \h </w:instrText>
      </w:r>
      <w:r w:rsidR="00611D00">
        <w:fldChar w:fldCharType="separate"/>
      </w:r>
      <w:r w:rsidR="00D806F2">
        <w:t xml:space="preserve">Figure </w:t>
      </w:r>
      <w:r w:rsidR="00D806F2">
        <w:rPr>
          <w:noProof/>
        </w:rPr>
        <w:t>17</w:t>
      </w:r>
      <w:r w:rsidR="00611D00">
        <w:fldChar w:fldCharType="end"/>
      </w:r>
      <w:r w:rsidR="00CE6032">
        <w:t>e)</w:t>
      </w:r>
      <w:r w:rsidR="006C1688">
        <w:t xml:space="preserve"> that limit</w:t>
      </w:r>
      <w:r w:rsidR="002C6C3C">
        <w:t>s</w:t>
      </w:r>
      <w:r w:rsidR="006C1688">
        <w:t xml:space="preserve"> room for improvement in this metric</w:t>
      </w:r>
      <w:r w:rsidR="00CE6032">
        <w:t>.</w:t>
      </w:r>
      <w:r w:rsidR="00E75F5C">
        <w:t xml:space="preserve"> </w:t>
      </w:r>
    </w:p>
    <w:p w14:paraId="11EA9068" w14:textId="2C757618" w:rsidR="00AF6321" w:rsidRDefault="005A50DC" w:rsidP="005A50DC">
      <w:r>
        <w:t>Reefs in this area escaped severe impact from coral bleaching over the 2015/16 summer. Temperature anomalies over the summer period did not reach the accumulated level assumed to cause coral bleaching (</w:t>
      </w:r>
      <w:r w:rsidR="00653307">
        <w:fldChar w:fldCharType="begin"/>
      </w:r>
      <w:r w:rsidR="00653307">
        <w:instrText xml:space="preserve"> REF _Ref491267352 \h </w:instrText>
      </w:r>
      <w:r w:rsidR="00653307">
        <w:fldChar w:fldCharType="separate"/>
      </w:r>
      <w:r w:rsidR="00D806F2">
        <w:t xml:space="preserve">Figure </w:t>
      </w:r>
      <w:r w:rsidR="00D806F2">
        <w:rPr>
          <w:noProof/>
        </w:rPr>
        <w:t>16</w:t>
      </w:r>
      <w:r w:rsidR="00653307">
        <w:fldChar w:fldCharType="end"/>
      </w:r>
      <w:r w:rsidR="00653307">
        <w:t>c</w:t>
      </w:r>
      <w:r>
        <w:t xml:space="preserve">). During surveys in June </w:t>
      </w:r>
      <w:r w:rsidR="002C6C3C">
        <w:t xml:space="preserve">2016 </w:t>
      </w:r>
      <w:r>
        <w:t xml:space="preserve">scattered </w:t>
      </w:r>
      <w:r w:rsidRPr="00260BBC">
        <w:t xml:space="preserve">colonies </w:t>
      </w:r>
      <w:r>
        <w:t xml:space="preserve">from a range of genera </w:t>
      </w:r>
      <w:r w:rsidRPr="00260BBC">
        <w:t xml:space="preserve">including: </w:t>
      </w:r>
      <w:r w:rsidRPr="007214CD">
        <w:rPr>
          <w:i/>
        </w:rPr>
        <w:t>Acropora</w:t>
      </w:r>
      <w:r w:rsidRPr="00260BBC">
        <w:t xml:space="preserve">, </w:t>
      </w:r>
      <w:r w:rsidRPr="007214CD">
        <w:rPr>
          <w:i/>
        </w:rPr>
        <w:t>Goniastrea</w:t>
      </w:r>
      <w:r w:rsidRPr="00260BBC">
        <w:t xml:space="preserve">, </w:t>
      </w:r>
      <w:r w:rsidRPr="007214CD">
        <w:rPr>
          <w:i/>
        </w:rPr>
        <w:t>Goniopora</w:t>
      </w:r>
      <w:r w:rsidRPr="00260BBC">
        <w:t xml:space="preserve">, </w:t>
      </w:r>
      <w:r w:rsidRPr="007214CD">
        <w:rPr>
          <w:i/>
        </w:rPr>
        <w:t>Lobophyllia</w:t>
      </w:r>
      <w:r w:rsidRPr="00260BBC">
        <w:t xml:space="preserve">, and </w:t>
      </w:r>
      <w:r w:rsidRPr="007214CD">
        <w:rPr>
          <w:i/>
        </w:rPr>
        <w:t>Porites</w:t>
      </w:r>
      <w:r w:rsidRPr="007214CD">
        <w:t xml:space="preserve"> </w:t>
      </w:r>
      <w:r>
        <w:t>were bleached or pale</w:t>
      </w:r>
      <w:r w:rsidRPr="00260BBC">
        <w:t xml:space="preserve"> </w:t>
      </w:r>
      <w:r>
        <w:t xml:space="preserve">though it </w:t>
      </w:r>
      <w:r w:rsidRPr="00260BBC">
        <w:t>is expected that these corals will recover.</w:t>
      </w:r>
      <w:r>
        <w:t xml:space="preserve"> It is possible that the slight reduction of coral cover at the </w:t>
      </w:r>
      <w:r w:rsidR="00AA72A3">
        <w:t>2 m</w:t>
      </w:r>
      <w:r>
        <w:t xml:space="preserve"> depth of Bedarra was associated with the temperature anomalies as there is no other immediately plausible explanation for this reduction. Despite any minor impact of bleaching the clear improvement in the index observed since 2013 demonstrates the propensity for recovery among the coral communities in this sub-region. </w:t>
      </w:r>
    </w:p>
    <w:p w14:paraId="7A24A2F7" w14:textId="58765840" w:rsidR="0000691A" w:rsidRDefault="007A50AB" w:rsidP="007A50AB">
      <w:pPr>
        <w:pStyle w:val="Caption"/>
      </w:pPr>
      <w:bookmarkStart w:id="200" w:name="_Ref491267284"/>
      <w:bookmarkStart w:id="201" w:name="_Toc491847031"/>
      <w:r>
        <w:t xml:space="preserve">Table </w:t>
      </w:r>
      <w:r>
        <w:fldChar w:fldCharType="begin"/>
      </w:r>
      <w:r>
        <w:instrText xml:space="preserve"> SEQ Table \* ARABIC </w:instrText>
      </w:r>
      <w:r>
        <w:fldChar w:fldCharType="separate"/>
      </w:r>
      <w:r w:rsidR="00D806F2">
        <w:rPr>
          <w:noProof/>
        </w:rPr>
        <w:t>12</w:t>
      </w:r>
      <w:r>
        <w:fldChar w:fldCharType="end"/>
      </w:r>
      <w:bookmarkEnd w:id="200"/>
      <w:r>
        <w:t xml:space="preserve"> </w:t>
      </w:r>
      <w:r w:rsidRPr="00EE158C">
        <w:t>Pair-wise comparison between index and metric scores in the Herbert Tully sub-region.</w:t>
      </w:r>
      <w:r w:rsidR="0000691A">
        <w:t xml:space="preserve"> Data compare the changes in scores between local maxima and minima in the index time-series. For the index, and each metric,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201"/>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4"/>
        <w:gridCol w:w="350"/>
        <w:gridCol w:w="625"/>
        <w:gridCol w:w="625"/>
        <w:gridCol w:w="625"/>
        <w:gridCol w:w="625"/>
        <w:gridCol w:w="625"/>
        <w:gridCol w:w="626"/>
        <w:gridCol w:w="625"/>
        <w:gridCol w:w="625"/>
        <w:gridCol w:w="625"/>
        <w:gridCol w:w="625"/>
        <w:gridCol w:w="625"/>
        <w:gridCol w:w="626"/>
      </w:tblGrid>
      <w:tr w:rsidR="007E151E" w:rsidRPr="000E340E" w14:paraId="6DD27916" w14:textId="77777777" w:rsidTr="00437B1B">
        <w:trPr>
          <w:trHeight w:val="300"/>
        </w:trPr>
        <w:tc>
          <w:tcPr>
            <w:tcW w:w="1074" w:type="dxa"/>
            <w:vMerge w:val="restart"/>
            <w:shd w:val="clear" w:color="auto" w:fill="auto"/>
            <w:noWrap/>
            <w:tcMar>
              <w:left w:w="57" w:type="dxa"/>
              <w:right w:w="57" w:type="dxa"/>
            </w:tcMar>
            <w:vAlign w:val="bottom"/>
            <w:hideMark/>
          </w:tcPr>
          <w:p w14:paraId="79762563" w14:textId="77777777" w:rsidR="007E151E" w:rsidRPr="000E340E" w:rsidRDefault="007E151E" w:rsidP="00437B1B">
            <w:pPr>
              <w:spacing w:after="0"/>
              <w:jc w:val="left"/>
              <w:rPr>
                <w:rFonts w:ascii="Arial Narrow" w:hAnsi="Arial Narrow"/>
                <w:sz w:val="20"/>
                <w:lang w:eastAsia="en-AU"/>
              </w:rPr>
            </w:pPr>
            <w:r w:rsidRPr="000E340E">
              <w:rPr>
                <w:rFonts w:ascii="Arial Narrow" w:hAnsi="Arial Narrow"/>
                <w:color w:val="000000"/>
                <w:sz w:val="20"/>
                <w:lang w:eastAsia="en-AU"/>
              </w:rPr>
              <w:t>Period</w:t>
            </w:r>
          </w:p>
        </w:tc>
        <w:tc>
          <w:tcPr>
            <w:tcW w:w="350" w:type="dxa"/>
            <w:vMerge w:val="restart"/>
            <w:shd w:val="clear" w:color="auto" w:fill="auto"/>
            <w:noWrap/>
            <w:tcMar>
              <w:left w:w="57" w:type="dxa"/>
              <w:right w:w="57" w:type="dxa"/>
            </w:tcMar>
            <w:textDirection w:val="btLr"/>
            <w:vAlign w:val="bottom"/>
            <w:hideMark/>
          </w:tcPr>
          <w:p w14:paraId="44854538" w14:textId="77777777" w:rsidR="007E151E" w:rsidRPr="000E340E" w:rsidRDefault="007E151E" w:rsidP="00437B1B">
            <w:pPr>
              <w:spacing w:after="0"/>
              <w:ind w:left="113" w:right="113"/>
              <w:jc w:val="center"/>
              <w:rPr>
                <w:rFonts w:ascii="Arial Narrow" w:hAnsi="Arial Narrow"/>
                <w:sz w:val="20"/>
                <w:lang w:eastAsia="en-AU"/>
              </w:rPr>
            </w:pPr>
            <w:r w:rsidRPr="000E340E">
              <w:rPr>
                <w:rFonts w:ascii="Arial Narrow" w:hAnsi="Arial Narrow"/>
                <w:color w:val="000000"/>
                <w:sz w:val="20"/>
                <w:lang w:eastAsia="en-AU"/>
              </w:rPr>
              <w:t>Depth</w:t>
            </w:r>
          </w:p>
        </w:tc>
        <w:tc>
          <w:tcPr>
            <w:tcW w:w="1250" w:type="dxa"/>
            <w:gridSpan w:val="2"/>
            <w:shd w:val="clear" w:color="auto" w:fill="auto"/>
            <w:noWrap/>
            <w:tcMar>
              <w:left w:w="57" w:type="dxa"/>
              <w:right w:w="57" w:type="dxa"/>
            </w:tcMar>
            <w:vAlign w:val="bottom"/>
            <w:hideMark/>
          </w:tcPr>
          <w:p w14:paraId="47BD51BB" w14:textId="77777777" w:rsidR="007E151E" w:rsidRPr="000E340E" w:rsidRDefault="007E151E"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Index</w:t>
            </w:r>
          </w:p>
        </w:tc>
        <w:tc>
          <w:tcPr>
            <w:tcW w:w="1250" w:type="dxa"/>
            <w:gridSpan w:val="2"/>
            <w:shd w:val="clear" w:color="auto" w:fill="auto"/>
            <w:noWrap/>
            <w:tcMar>
              <w:left w:w="57" w:type="dxa"/>
              <w:right w:w="57" w:type="dxa"/>
            </w:tcMar>
            <w:vAlign w:val="bottom"/>
            <w:hideMark/>
          </w:tcPr>
          <w:p w14:paraId="44F54B59" w14:textId="40A3A4A6" w:rsidR="007E151E" w:rsidRPr="000E340E" w:rsidRDefault="000F7248"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Co</w:t>
            </w:r>
            <w:r>
              <w:rPr>
                <w:rFonts w:ascii="Arial Narrow" w:hAnsi="Arial Narrow"/>
                <w:color w:val="000000"/>
                <w:sz w:val="20"/>
                <w:lang w:eastAsia="en-AU"/>
              </w:rPr>
              <w:t>ral</w:t>
            </w:r>
            <w:r w:rsidRPr="000E340E">
              <w:rPr>
                <w:rFonts w:ascii="Arial Narrow" w:hAnsi="Arial Narrow"/>
                <w:color w:val="000000"/>
                <w:sz w:val="20"/>
                <w:lang w:eastAsia="en-AU"/>
              </w:rPr>
              <w:t xml:space="preserve"> </w:t>
            </w:r>
            <w:r w:rsidR="006C1688">
              <w:rPr>
                <w:rFonts w:ascii="Arial Narrow" w:hAnsi="Arial Narrow"/>
                <w:color w:val="000000"/>
                <w:sz w:val="20"/>
                <w:lang w:eastAsia="en-AU"/>
              </w:rPr>
              <w:t>C</w:t>
            </w:r>
            <w:r w:rsidR="007E151E" w:rsidRPr="000E340E">
              <w:rPr>
                <w:rFonts w:ascii="Arial Narrow" w:hAnsi="Arial Narrow"/>
                <w:color w:val="000000"/>
                <w:sz w:val="20"/>
                <w:lang w:eastAsia="en-AU"/>
              </w:rPr>
              <w:t>hange</w:t>
            </w:r>
          </w:p>
        </w:tc>
        <w:tc>
          <w:tcPr>
            <w:tcW w:w="1251" w:type="dxa"/>
            <w:gridSpan w:val="2"/>
            <w:shd w:val="clear" w:color="auto" w:fill="auto"/>
            <w:noWrap/>
            <w:tcMar>
              <w:left w:w="57" w:type="dxa"/>
              <w:right w:w="57" w:type="dxa"/>
            </w:tcMar>
            <w:vAlign w:val="bottom"/>
            <w:hideMark/>
          </w:tcPr>
          <w:p w14:paraId="11587C10" w14:textId="77777777" w:rsidR="007E151E" w:rsidRPr="000E340E" w:rsidRDefault="007E151E"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Composition</w:t>
            </w:r>
          </w:p>
        </w:tc>
        <w:tc>
          <w:tcPr>
            <w:tcW w:w="1250" w:type="dxa"/>
            <w:gridSpan w:val="2"/>
            <w:shd w:val="clear" w:color="auto" w:fill="auto"/>
            <w:noWrap/>
            <w:tcMar>
              <w:left w:w="57" w:type="dxa"/>
              <w:right w:w="57" w:type="dxa"/>
            </w:tcMar>
            <w:vAlign w:val="bottom"/>
            <w:hideMark/>
          </w:tcPr>
          <w:p w14:paraId="0A9C266A" w14:textId="60F04467" w:rsidR="007E151E" w:rsidRPr="000E340E" w:rsidRDefault="007E151E"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 xml:space="preserve">Coral </w:t>
            </w:r>
            <w:r w:rsidR="006C1688">
              <w:rPr>
                <w:rFonts w:ascii="Arial Narrow" w:hAnsi="Arial Narrow"/>
                <w:color w:val="000000"/>
                <w:sz w:val="20"/>
                <w:lang w:eastAsia="en-AU"/>
              </w:rPr>
              <w:t>C</w:t>
            </w:r>
            <w:r w:rsidRPr="000E340E">
              <w:rPr>
                <w:rFonts w:ascii="Arial Narrow" w:hAnsi="Arial Narrow"/>
                <w:color w:val="000000"/>
                <w:sz w:val="20"/>
                <w:lang w:eastAsia="en-AU"/>
              </w:rPr>
              <w:t>over</w:t>
            </w:r>
          </w:p>
        </w:tc>
        <w:tc>
          <w:tcPr>
            <w:tcW w:w="1250" w:type="dxa"/>
            <w:gridSpan w:val="2"/>
            <w:shd w:val="clear" w:color="auto" w:fill="auto"/>
            <w:noWrap/>
            <w:tcMar>
              <w:left w:w="57" w:type="dxa"/>
              <w:right w:w="57" w:type="dxa"/>
            </w:tcMar>
            <w:vAlign w:val="bottom"/>
            <w:hideMark/>
          </w:tcPr>
          <w:p w14:paraId="237A779E" w14:textId="63AFCA2B" w:rsidR="007E151E" w:rsidRPr="000E340E" w:rsidRDefault="00C31328" w:rsidP="00C31328">
            <w:pPr>
              <w:spacing w:after="0"/>
              <w:jc w:val="center"/>
              <w:rPr>
                <w:rFonts w:ascii="Arial Narrow" w:hAnsi="Arial Narrow"/>
                <w:color w:val="000000"/>
                <w:sz w:val="20"/>
                <w:lang w:eastAsia="en-AU"/>
              </w:rPr>
            </w:pPr>
            <w:r>
              <w:rPr>
                <w:rFonts w:ascii="Arial Narrow" w:hAnsi="Arial Narrow"/>
                <w:color w:val="000000"/>
                <w:sz w:val="20"/>
                <w:lang w:eastAsia="en-AU"/>
              </w:rPr>
              <w:t>Juvenile</w:t>
            </w:r>
          </w:p>
        </w:tc>
        <w:tc>
          <w:tcPr>
            <w:tcW w:w="1251" w:type="dxa"/>
            <w:gridSpan w:val="2"/>
            <w:shd w:val="clear" w:color="auto" w:fill="auto"/>
            <w:noWrap/>
            <w:tcMar>
              <w:left w:w="57" w:type="dxa"/>
              <w:right w:w="57" w:type="dxa"/>
            </w:tcMar>
            <w:vAlign w:val="bottom"/>
            <w:hideMark/>
          </w:tcPr>
          <w:p w14:paraId="2C4BAA56" w14:textId="77777777" w:rsidR="007E151E" w:rsidRPr="000E340E" w:rsidRDefault="007E151E"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Macroalgae</w:t>
            </w:r>
          </w:p>
        </w:tc>
      </w:tr>
      <w:tr w:rsidR="007E151E" w:rsidRPr="000E340E" w14:paraId="08A4CDC1" w14:textId="77777777" w:rsidTr="00437B1B">
        <w:trPr>
          <w:trHeight w:val="520"/>
        </w:trPr>
        <w:tc>
          <w:tcPr>
            <w:tcW w:w="1074" w:type="dxa"/>
            <w:vMerge/>
            <w:shd w:val="clear" w:color="auto" w:fill="auto"/>
            <w:noWrap/>
            <w:tcMar>
              <w:left w:w="57" w:type="dxa"/>
              <w:right w:w="57" w:type="dxa"/>
            </w:tcMar>
            <w:vAlign w:val="bottom"/>
            <w:hideMark/>
          </w:tcPr>
          <w:p w14:paraId="3E7C24A6" w14:textId="77777777" w:rsidR="007E151E" w:rsidRPr="000E340E" w:rsidRDefault="007E151E" w:rsidP="00437B1B">
            <w:pPr>
              <w:spacing w:after="0"/>
              <w:rPr>
                <w:rFonts w:ascii="Arial Narrow" w:hAnsi="Arial Narrow"/>
                <w:color w:val="000000"/>
                <w:sz w:val="20"/>
                <w:lang w:eastAsia="en-AU"/>
              </w:rPr>
            </w:pPr>
          </w:p>
        </w:tc>
        <w:tc>
          <w:tcPr>
            <w:tcW w:w="350" w:type="dxa"/>
            <w:vMerge/>
            <w:shd w:val="clear" w:color="auto" w:fill="auto"/>
            <w:noWrap/>
            <w:tcMar>
              <w:left w:w="57" w:type="dxa"/>
              <w:right w:w="57" w:type="dxa"/>
            </w:tcMar>
            <w:vAlign w:val="bottom"/>
            <w:hideMark/>
          </w:tcPr>
          <w:p w14:paraId="3B96BE42" w14:textId="77777777" w:rsidR="007E151E" w:rsidRPr="000E340E" w:rsidRDefault="007E151E" w:rsidP="00437B1B">
            <w:pPr>
              <w:spacing w:after="0"/>
              <w:jc w:val="center"/>
              <w:rPr>
                <w:rFonts w:ascii="Arial Narrow" w:hAnsi="Arial Narrow"/>
                <w:color w:val="000000"/>
                <w:sz w:val="20"/>
                <w:lang w:eastAsia="en-AU"/>
              </w:rPr>
            </w:pPr>
          </w:p>
        </w:tc>
        <w:tc>
          <w:tcPr>
            <w:tcW w:w="625" w:type="dxa"/>
            <w:shd w:val="clear" w:color="auto" w:fill="auto"/>
            <w:noWrap/>
            <w:tcMar>
              <w:left w:w="57" w:type="dxa"/>
              <w:right w:w="57" w:type="dxa"/>
            </w:tcMar>
            <w:vAlign w:val="bottom"/>
            <w:hideMark/>
          </w:tcPr>
          <w:p w14:paraId="210DCE88" w14:textId="77777777" w:rsidR="007E151E" w:rsidRPr="000E340E" w:rsidRDefault="007E151E"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29B9081B" w14:textId="77777777" w:rsidR="007E151E" w:rsidRPr="000E340E" w:rsidRDefault="007E151E"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3A78BF56" w14:textId="77777777" w:rsidR="007E151E" w:rsidRPr="000E340E" w:rsidRDefault="007E151E"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455123AE" w14:textId="77777777" w:rsidR="007E151E" w:rsidRPr="000E340E" w:rsidRDefault="007E151E"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54D29118" w14:textId="77777777" w:rsidR="007E151E" w:rsidRPr="000E340E" w:rsidRDefault="007E151E"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6" w:type="dxa"/>
            <w:shd w:val="clear" w:color="auto" w:fill="auto"/>
            <w:noWrap/>
            <w:tcMar>
              <w:left w:w="57" w:type="dxa"/>
              <w:right w:w="57" w:type="dxa"/>
            </w:tcMar>
            <w:vAlign w:val="bottom"/>
            <w:hideMark/>
          </w:tcPr>
          <w:p w14:paraId="2D15191E" w14:textId="77777777" w:rsidR="007E151E" w:rsidRPr="000E340E" w:rsidRDefault="007E151E"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1D714DBF" w14:textId="77777777" w:rsidR="007E151E" w:rsidRPr="000E340E" w:rsidRDefault="007E151E"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1EC0548E" w14:textId="77777777" w:rsidR="007E151E" w:rsidRPr="000E340E" w:rsidRDefault="007E151E"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53789FF4" w14:textId="77777777" w:rsidR="007E151E" w:rsidRPr="000E340E" w:rsidRDefault="007E151E"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559D41B6" w14:textId="77777777" w:rsidR="007E151E" w:rsidRPr="000E340E" w:rsidRDefault="007E151E"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0CEEB671" w14:textId="77777777" w:rsidR="007E151E" w:rsidRPr="000E340E" w:rsidRDefault="007E151E"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6" w:type="dxa"/>
            <w:shd w:val="clear" w:color="auto" w:fill="auto"/>
            <w:noWrap/>
            <w:tcMar>
              <w:left w:w="57" w:type="dxa"/>
              <w:right w:w="57" w:type="dxa"/>
            </w:tcMar>
            <w:vAlign w:val="bottom"/>
            <w:hideMark/>
          </w:tcPr>
          <w:p w14:paraId="3CD9BFED" w14:textId="77777777" w:rsidR="007E151E" w:rsidRPr="000E340E" w:rsidRDefault="007E151E"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r>
      <w:tr w:rsidR="007E151E" w:rsidRPr="007E151E" w14:paraId="35C0B02C" w14:textId="77777777" w:rsidTr="005B52B1">
        <w:trPr>
          <w:trHeight w:val="300"/>
        </w:trPr>
        <w:tc>
          <w:tcPr>
            <w:tcW w:w="1074" w:type="dxa"/>
            <w:vMerge w:val="restart"/>
            <w:shd w:val="clear" w:color="auto" w:fill="auto"/>
            <w:noWrap/>
            <w:tcMar>
              <w:left w:w="57" w:type="dxa"/>
              <w:right w:w="57" w:type="dxa"/>
            </w:tcMar>
            <w:vAlign w:val="center"/>
            <w:hideMark/>
          </w:tcPr>
          <w:p w14:paraId="357612BF" w14:textId="39E9D45B" w:rsidR="007E151E" w:rsidRPr="007E151E" w:rsidRDefault="007E151E" w:rsidP="00CD5738">
            <w:pPr>
              <w:spacing w:after="0"/>
              <w:rPr>
                <w:rStyle w:val="IntenseReference"/>
              </w:rPr>
            </w:pPr>
            <w:r w:rsidRPr="007E151E">
              <w:rPr>
                <w:rStyle w:val="IntenseReference"/>
              </w:rPr>
              <w:t>2009 to 201</w:t>
            </w:r>
            <w:r w:rsidR="00CD5738">
              <w:rPr>
                <w:rStyle w:val="IntenseReference"/>
              </w:rPr>
              <w:t>3</w:t>
            </w:r>
          </w:p>
        </w:tc>
        <w:tc>
          <w:tcPr>
            <w:tcW w:w="350" w:type="dxa"/>
            <w:shd w:val="clear" w:color="auto" w:fill="auto"/>
            <w:noWrap/>
            <w:tcMar>
              <w:left w:w="57" w:type="dxa"/>
              <w:right w:w="57" w:type="dxa"/>
            </w:tcMar>
            <w:vAlign w:val="center"/>
            <w:hideMark/>
          </w:tcPr>
          <w:p w14:paraId="0DB9F49E" w14:textId="77777777" w:rsidR="007E151E" w:rsidRPr="007E151E" w:rsidRDefault="007E151E" w:rsidP="007E151E">
            <w:pPr>
              <w:spacing w:after="0"/>
              <w:jc w:val="center"/>
              <w:rPr>
                <w:rStyle w:val="IntenseReference"/>
              </w:rPr>
            </w:pPr>
            <w:r w:rsidRPr="007E151E">
              <w:rPr>
                <w:rStyle w:val="IntenseReference"/>
              </w:rPr>
              <w:t>2</w:t>
            </w:r>
          </w:p>
        </w:tc>
        <w:tc>
          <w:tcPr>
            <w:tcW w:w="625" w:type="dxa"/>
            <w:shd w:val="clear" w:color="auto" w:fill="FFFFFF" w:themeFill="background1"/>
            <w:noWrap/>
            <w:tcMar>
              <w:left w:w="57" w:type="dxa"/>
              <w:right w:w="57" w:type="dxa"/>
            </w:tcMar>
            <w:vAlign w:val="bottom"/>
            <w:hideMark/>
          </w:tcPr>
          <w:p w14:paraId="31EA12F6" w14:textId="66C66903" w:rsidR="007E151E" w:rsidRPr="007E151E" w:rsidRDefault="007E151E" w:rsidP="007E151E">
            <w:pPr>
              <w:spacing w:after="0"/>
              <w:jc w:val="right"/>
              <w:rPr>
                <w:rStyle w:val="IntenseReference"/>
              </w:rPr>
            </w:pPr>
            <w:r w:rsidRPr="007E151E">
              <w:rPr>
                <w:rStyle w:val="IntenseReference"/>
              </w:rPr>
              <w:t>-0.04</w:t>
            </w:r>
          </w:p>
        </w:tc>
        <w:tc>
          <w:tcPr>
            <w:tcW w:w="625" w:type="dxa"/>
            <w:shd w:val="clear" w:color="auto" w:fill="FFFFFF" w:themeFill="background1"/>
            <w:noWrap/>
            <w:tcMar>
              <w:left w:w="57" w:type="dxa"/>
              <w:right w:w="57" w:type="dxa"/>
            </w:tcMar>
            <w:vAlign w:val="bottom"/>
            <w:hideMark/>
          </w:tcPr>
          <w:p w14:paraId="7BE63EBB" w14:textId="64B7839C" w:rsidR="007E151E" w:rsidRPr="007E151E" w:rsidRDefault="007E151E" w:rsidP="007E151E">
            <w:pPr>
              <w:spacing w:after="0"/>
              <w:jc w:val="right"/>
              <w:rPr>
                <w:rStyle w:val="IntenseReference"/>
              </w:rPr>
            </w:pPr>
            <w:r w:rsidRPr="007E151E">
              <w:rPr>
                <w:rStyle w:val="IntenseReference"/>
              </w:rPr>
              <w:t>0.65</w:t>
            </w:r>
          </w:p>
        </w:tc>
        <w:tc>
          <w:tcPr>
            <w:tcW w:w="625" w:type="dxa"/>
            <w:shd w:val="clear" w:color="auto" w:fill="FFFFFF" w:themeFill="background1"/>
            <w:noWrap/>
            <w:tcMar>
              <w:left w:w="57" w:type="dxa"/>
              <w:right w:w="57" w:type="dxa"/>
            </w:tcMar>
            <w:vAlign w:val="bottom"/>
            <w:hideMark/>
          </w:tcPr>
          <w:p w14:paraId="4B018431" w14:textId="6F40EA9C" w:rsidR="007E151E" w:rsidRPr="007E151E" w:rsidRDefault="007E151E" w:rsidP="007E151E">
            <w:pPr>
              <w:spacing w:after="0"/>
              <w:jc w:val="right"/>
              <w:rPr>
                <w:rStyle w:val="IntenseReference"/>
              </w:rPr>
            </w:pPr>
            <w:r w:rsidRPr="007E151E">
              <w:rPr>
                <w:rStyle w:val="IntenseReference"/>
              </w:rPr>
              <w:t>0.05</w:t>
            </w:r>
          </w:p>
        </w:tc>
        <w:tc>
          <w:tcPr>
            <w:tcW w:w="625" w:type="dxa"/>
            <w:shd w:val="clear" w:color="auto" w:fill="FFFFFF" w:themeFill="background1"/>
            <w:noWrap/>
            <w:tcMar>
              <w:left w:w="57" w:type="dxa"/>
              <w:right w:w="57" w:type="dxa"/>
            </w:tcMar>
            <w:vAlign w:val="bottom"/>
            <w:hideMark/>
          </w:tcPr>
          <w:p w14:paraId="14393A2C" w14:textId="287554F0" w:rsidR="007E151E" w:rsidRPr="007E151E" w:rsidRDefault="007E151E" w:rsidP="007E151E">
            <w:pPr>
              <w:spacing w:after="0"/>
              <w:jc w:val="right"/>
              <w:rPr>
                <w:rStyle w:val="IntenseReference"/>
              </w:rPr>
            </w:pPr>
            <w:r w:rsidRPr="007E151E">
              <w:rPr>
                <w:rStyle w:val="IntenseReference"/>
              </w:rPr>
              <w:t>0.56</w:t>
            </w:r>
          </w:p>
        </w:tc>
        <w:tc>
          <w:tcPr>
            <w:tcW w:w="625" w:type="dxa"/>
            <w:shd w:val="clear" w:color="auto" w:fill="FFFFFF" w:themeFill="background1"/>
            <w:noWrap/>
            <w:tcMar>
              <w:left w:w="57" w:type="dxa"/>
              <w:right w:w="57" w:type="dxa"/>
            </w:tcMar>
            <w:vAlign w:val="bottom"/>
            <w:hideMark/>
          </w:tcPr>
          <w:p w14:paraId="727972D0" w14:textId="3848552D" w:rsidR="007E151E" w:rsidRPr="007E151E" w:rsidRDefault="007E151E" w:rsidP="007E151E">
            <w:pPr>
              <w:spacing w:after="0"/>
              <w:jc w:val="right"/>
              <w:rPr>
                <w:rStyle w:val="IntenseReference"/>
              </w:rPr>
            </w:pPr>
            <w:r w:rsidRPr="007E151E">
              <w:rPr>
                <w:rStyle w:val="IntenseReference"/>
              </w:rPr>
              <w:t>0.00</w:t>
            </w:r>
          </w:p>
        </w:tc>
        <w:tc>
          <w:tcPr>
            <w:tcW w:w="626" w:type="dxa"/>
            <w:shd w:val="clear" w:color="auto" w:fill="FFFFFF" w:themeFill="background1"/>
            <w:noWrap/>
            <w:tcMar>
              <w:left w:w="57" w:type="dxa"/>
              <w:right w:w="57" w:type="dxa"/>
            </w:tcMar>
            <w:vAlign w:val="bottom"/>
            <w:hideMark/>
          </w:tcPr>
          <w:p w14:paraId="383684AF" w14:textId="49F87EF5" w:rsidR="007E151E" w:rsidRPr="007E151E" w:rsidRDefault="007E151E" w:rsidP="007E151E">
            <w:pPr>
              <w:spacing w:after="0"/>
              <w:jc w:val="right"/>
              <w:rPr>
                <w:rStyle w:val="IntenseReference"/>
              </w:rPr>
            </w:pPr>
            <w:r w:rsidRPr="007E151E">
              <w:rPr>
                <w:rStyle w:val="IntenseReference"/>
              </w:rPr>
              <w:t>0.00</w:t>
            </w:r>
          </w:p>
        </w:tc>
        <w:tc>
          <w:tcPr>
            <w:tcW w:w="625" w:type="dxa"/>
            <w:shd w:val="clear" w:color="auto" w:fill="FFFFFF" w:themeFill="background1"/>
            <w:noWrap/>
            <w:tcMar>
              <w:left w:w="57" w:type="dxa"/>
              <w:right w:w="57" w:type="dxa"/>
            </w:tcMar>
            <w:vAlign w:val="bottom"/>
            <w:hideMark/>
          </w:tcPr>
          <w:p w14:paraId="1E8CEF70" w14:textId="6161FD24" w:rsidR="007E151E" w:rsidRPr="007E151E" w:rsidRDefault="007E151E" w:rsidP="007E151E">
            <w:pPr>
              <w:spacing w:after="0"/>
              <w:jc w:val="right"/>
              <w:rPr>
                <w:rStyle w:val="IntenseReference"/>
              </w:rPr>
            </w:pPr>
            <w:r w:rsidRPr="007E151E">
              <w:rPr>
                <w:rStyle w:val="IntenseReference"/>
              </w:rPr>
              <w:t>0.02</w:t>
            </w:r>
          </w:p>
        </w:tc>
        <w:tc>
          <w:tcPr>
            <w:tcW w:w="625" w:type="dxa"/>
            <w:shd w:val="clear" w:color="auto" w:fill="FFFFFF" w:themeFill="background1"/>
            <w:noWrap/>
            <w:tcMar>
              <w:left w:w="57" w:type="dxa"/>
              <w:right w:w="57" w:type="dxa"/>
            </w:tcMar>
            <w:vAlign w:val="bottom"/>
            <w:hideMark/>
          </w:tcPr>
          <w:p w14:paraId="1FCA6891" w14:textId="07393928" w:rsidR="007E151E" w:rsidRPr="007E151E" w:rsidRDefault="007E151E" w:rsidP="007E151E">
            <w:pPr>
              <w:spacing w:after="0"/>
              <w:jc w:val="right"/>
              <w:rPr>
                <w:rStyle w:val="IntenseReference"/>
              </w:rPr>
            </w:pPr>
            <w:r w:rsidRPr="007E151E">
              <w:rPr>
                <w:rStyle w:val="IntenseReference"/>
              </w:rPr>
              <w:t>0.63</w:t>
            </w:r>
          </w:p>
        </w:tc>
        <w:tc>
          <w:tcPr>
            <w:tcW w:w="625" w:type="dxa"/>
            <w:shd w:val="clear" w:color="auto" w:fill="C6D9F1" w:themeFill="text2" w:themeFillTint="33"/>
            <w:noWrap/>
            <w:tcMar>
              <w:left w:w="57" w:type="dxa"/>
              <w:right w:w="57" w:type="dxa"/>
            </w:tcMar>
            <w:vAlign w:val="bottom"/>
            <w:hideMark/>
          </w:tcPr>
          <w:p w14:paraId="331A4417" w14:textId="3952564C" w:rsidR="007E151E" w:rsidRPr="007E151E" w:rsidRDefault="007E151E" w:rsidP="007E151E">
            <w:pPr>
              <w:spacing w:after="0"/>
              <w:jc w:val="right"/>
              <w:rPr>
                <w:rStyle w:val="IntenseReference"/>
              </w:rPr>
            </w:pPr>
            <w:r w:rsidRPr="007E151E">
              <w:rPr>
                <w:rStyle w:val="IntenseReference"/>
              </w:rPr>
              <w:t>0.39</w:t>
            </w:r>
          </w:p>
        </w:tc>
        <w:tc>
          <w:tcPr>
            <w:tcW w:w="625" w:type="dxa"/>
            <w:shd w:val="clear" w:color="auto" w:fill="C6D9F1" w:themeFill="text2" w:themeFillTint="33"/>
            <w:noWrap/>
            <w:tcMar>
              <w:left w:w="57" w:type="dxa"/>
              <w:right w:w="57" w:type="dxa"/>
            </w:tcMar>
            <w:vAlign w:val="bottom"/>
            <w:hideMark/>
          </w:tcPr>
          <w:p w14:paraId="11B2EFCA" w14:textId="26C5863D" w:rsidR="007E151E" w:rsidRPr="007E151E" w:rsidRDefault="007E151E" w:rsidP="007E151E">
            <w:pPr>
              <w:spacing w:after="0"/>
              <w:jc w:val="right"/>
              <w:rPr>
                <w:rStyle w:val="IntenseReference"/>
              </w:rPr>
            </w:pPr>
            <w:r w:rsidRPr="007E151E">
              <w:rPr>
                <w:rStyle w:val="IntenseReference"/>
              </w:rPr>
              <w:t>0.84</w:t>
            </w:r>
          </w:p>
        </w:tc>
        <w:tc>
          <w:tcPr>
            <w:tcW w:w="625" w:type="dxa"/>
            <w:shd w:val="clear" w:color="auto" w:fill="D99594" w:themeFill="accent2" w:themeFillTint="99"/>
            <w:noWrap/>
            <w:tcMar>
              <w:left w:w="57" w:type="dxa"/>
              <w:right w:w="57" w:type="dxa"/>
            </w:tcMar>
            <w:vAlign w:val="bottom"/>
            <w:hideMark/>
          </w:tcPr>
          <w:p w14:paraId="18A5CC29" w14:textId="02BBA9D5" w:rsidR="007E151E" w:rsidRPr="007E151E" w:rsidRDefault="007E151E" w:rsidP="007E151E">
            <w:pPr>
              <w:spacing w:after="0"/>
              <w:jc w:val="right"/>
              <w:rPr>
                <w:rStyle w:val="IntenseReference"/>
              </w:rPr>
            </w:pPr>
            <w:r w:rsidRPr="007E151E">
              <w:rPr>
                <w:rStyle w:val="IntenseReference"/>
              </w:rPr>
              <w:t>-0.67</w:t>
            </w:r>
          </w:p>
        </w:tc>
        <w:tc>
          <w:tcPr>
            <w:tcW w:w="626" w:type="dxa"/>
            <w:shd w:val="clear" w:color="auto" w:fill="D99594" w:themeFill="accent2" w:themeFillTint="99"/>
            <w:noWrap/>
            <w:tcMar>
              <w:left w:w="57" w:type="dxa"/>
              <w:right w:w="57" w:type="dxa"/>
            </w:tcMar>
            <w:vAlign w:val="bottom"/>
            <w:hideMark/>
          </w:tcPr>
          <w:p w14:paraId="2B960814" w14:textId="746EF16B" w:rsidR="007E151E" w:rsidRPr="007E151E" w:rsidRDefault="007E151E" w:rsidP="007E151E">
            <w:pPr>
              <w:spacing w:after="0"/>
              <w:jc w:val="right"/>
              <w:rPr>
                <w:rStyle w:val="IntenseReference"/>
              </w:rPr>
            </w:pPr>
            <w:r w:rsidRPr="007E151E">
              <w:rPr>
                <w:rStyle w:val="IntenseReference"/>
              </w:rPr>
              <w:t>0.92</w:t>
            </w:r>
          </w:p>
        </w:tc>
      </w:tr>
      <w:tr w:rsidR="00103C68" w:rsidRPr="007E151E" w14:paraId="250B1072" w14:textId="77777777" w:rsidTr="00103C68">
        <w:trPr>
          <w:trHeight w:val="300"/>
        </w:trPr>
        <w:tc>
          <w:tcPr>
            <w:tcW w:w="1074" w:type="dxa"/>
            <w:vMerge/>
            <w:shd w:val="clear" w:color="auto" w:fill="auto"/>
            <w:noWrap/>
            <w:tcMar>
              <w:left w:w="57" w:type="dxa"/>
              <w:right w:w="57" w:type="dxa"/>
            </w:tcMar>
            <w:vAlign w:val="center"/>
            <w:hideMark/>
          </w:tcPr>
          <w:p w14:paraId="3C3357B5" w14:textId="77777777" w:rsidR="007E151E" w:rsidRPr="007E151E" w:rsidRDefault="007E151E" w:rsidP="007E151E">
            <w:pPr>
              <w:spacing w:after="0"/>
              <w:jc w:val="right"/>
              <w:rPr>
                <w:rStyle w:val="IntenseReference"/>
              </w:rPr>
            </w:pPr>
          </w:p>
        </w:tc>
        <w:tc>
          <w:tcPr>
            <w:tcW w:w="350" w:type="dxa"/>
            <w:shd w:val="clear" w:color="auto" w:fill="auto"/>
            <w:noWrap/>
            <w:tcMar>
              <w:left w:w="57" w:type="dxa"/>
              <w:right w:w="57" w:type="dxa"/>
            </w:tcMar>
            <w:vAlign w:val="center"/>
            <w:hideMark/>
          </w:tcPr>
          <w:p w14:paraId="18B89EC9" w14:textId="77777777" w:rsidR="007E151E" w:rsidRPr="007E151E" w:rsidRDefault="007E151E" w:rsidP="007E151E">
            <w:pPr>
              <w:spacing w:after="0"/>
              <w:jc w:val="center"/>
              <w:rPr>
                <w:rStyle w:val="IntenseReference"/>
              </w:rPr>
            </w:pPr>
            <w:r w:rsidRPr="007E151E">
              <w:rPr>
                <w:rStyle w:val="IntenseReference"/>
              </w:rPr>
              <w:t>5</w:t>
            </w:r>
          </w:p>
        </w:tc>
        <w:tc>
          <w:tcPr>
            <w:tcW w:w="625" w:type="dxa"/>
            <w:shd w:val="clear" w:color="auto" w:fill="D99594" w:themeFill="accent2" w:themeFillTint="99"/>
            <w:noWrap/>
            <w:tcMar>
              <w:left w:w="57" w:type="dxa"/>
              <w:right w:w="57" w:type="dxa"/>
            </w:tcMar>
            <w:vAlign w:val="bottom"/>
            <w:hideMark/>
          </w:tcPr>
          <w:p w14:paraId="7DB04B4D" w14:textId="5F309A0C" w:rsidR="007E151E" w:rsidRPr="007E151E" w:rsidRDefault="007E151E" w:rsidP="007E151E">
            <w:pPr>
              <w:spacing w:after="0"/>
              <w:jc w:val="right"/>
              <w:rPr>
                <w:rStyle w:val="IntenseReference"/>
              </w:rPr>
            </w:pPr>
            <w:r w:rsidRPr="007E151E">
              <w:rPr>
                <w:rStyle w:val="IntenseReference"/>
              </w:rPr>
              <w:t>-0.12</w:t>
            </w:r>
          </w:p>
        </w:tc>
        <w:tc>
          <w:tcPr>
            <w:tcW w:w="625" w:type="dxa"/>
            <w:shd w:val="clear" w:color="auto" w:fill="D99594" w:themeFill="accent2" w:themeFillTint="99"/>
            <w:noWrap/>
            <w:tcMar>
              <w:left w:w="57" w:type="dxa"/>
              <w:right w:w="57" w:type="dxa"/>
            </w:tcMar>
            <w:vAlign w:val="bottom"/>
            <w:hideMark/>
          </w:tcPr>
          <w:p w14:paraId="6F45B158" w14:textId="669298CC" w:rsidR="007E151E" w:rsidRPr="007E151E" w:rsidRDefault="007E151E" w:rsidP="007E151E">
            <w:pPr>
              <w:spacing w:after="0"/>
              <w:jc w:val="right"/>
              <w:rPr>
                <w:rStyle w:val="IntenseReference"/>
              </w:rPr>
            </w:pPr>
            <w:r w:rsidRPr="007E151E">
              <w:rPr>
                <w:rStyle w:val="IntenseReference"/>
              </w:rPr>
              <w:t>0.85</w:t>
            </w:r>
          </w:p>
        </w:tc>
        <w:tc>
          <w:tcPr>
            <w:tcW w:w="625" w:type="dxa"/>
            <w:shd w:val="clear" w:color="auto" w:fill="FFFFFF" w:themeFill="background1"/>
            <w:noWrap/>
            <w:tcMar>
              <w:left w:w="57" w:type="dxa"/>
              <w:right w:w="57" w:type="dxa"/>
            </w:tcMar>
            <w:vAlign w:val="bottom"/>
            <w:hideMark/>
          </w:tcPr>
          <w:p w14:paraId="5FB17E38" w14:textId="20FCAD2B" w:rsidR="007E151E" w:rsidRPr="007E151E" w:rsidRDefault="007E151E" w:rsidP="007E151E">
            <w:pPr>
              <w:spacing w:after="0"/>
              <w:jc w:val="right"/>
              <w:rPr>
                <w:rStyle w:val="IntenseReference"/>
              </w:rPr>
            </w:pPr>
            <w:r w:rsidRPr="007E151E">
              <w:rPr>
                <w:rStyle w:val="IntenseReference"/>
              </w:rPr>
              <w:t>-0.08</w:t>
            </w:r>
          </w:p>
        </w:tc>
        <w:tc>
          <w:tcPr>
            <w:tcW w:w="625" w:type="dxa"/>
            <w:shd w:val="clear" w:color="auto" w:fill="FFFFFF" w:themeFill="background1"/>
            <w:noWrap/>
            <w:tcMar>
              <w:left w:w="57" w:type="dxa"/>
              <w:right w:w="57" w:type="dxa"/>
            </w:tcMar>
            <w:vAlign w:val="bottom"/>
            <w:hideMark/>
          </w:tcPr>
          <w:p w14:paraId="374410EC" w14:textId="188C030B" w:rsidR="007E151E" w:rsidRPr="007E151E" w:rsidRDefault="007E151E" w:rsidP="007E151E">
            <w:pPr>
              <w:spacing w:after="0"/>
              <w:jc w:val="right"/>
              <w:rPr>
                <w:rStyle w:val="IntenseReference"/>
              </w:rPr>
            </w:pPr>
            <w:r w:rsidRPr="007E151E">
              <w:rPr>
                <w:rStyle w:val="IntenseReference"/>
              </w:rPr>
              <w:t>0.58</w:t>
            </w:r>
          </w:p>
        </w:tc>
        <w:tc>
          <w:tcPr>
            <w:tcW w:w="625" w:type="dxa"/>
            <w:shd w:val="clear" w:color="auto" w:fill="F2DBDB" w:themeFill="accent2" w:themeFillTint="33"/>
            <w:noWrap/>
            <w:tcMar>
              <w:left w:w="57" w:type="dxa"/>
              <w:right w:w="57" w:type="dxa"/>
            </w:tcMar>
            <w:vAlign w:val="bottom"/>
            <w:hideMark/>
          </w:tcPr>
          <w:p w14:paraId="4949FAC3" w14:textId="4E5D8E38" w:rsidR="007E151E" w:rsidRPr="007E151E" w:rsidRDefault="007E151E" w:rsidP="007E151E">
            <w:pPr>
              <w:spacing w:after="0"/>
              <w:jc w:val="right"/>
              <w:rPr>
                <w:rStyle w:val="IntenseReference"/>
              </w:rPr>
            </w:pPr>
            <w:r w:rsidRPr="007E151E">
              <w:rPr>
                <w:rStyle w:val="IntenseReference"/>
              </w:rPr>
              <w:t>-0.13</w:t>
            </w:r>
          </w:p>
        </w:tc>
        <w:tc>
          <w:tcPr>
            <w:tcW w:w="626" w:type="dxa"/>
            <w:shd w:val="clear" w:color="auto" w:fill="F2DBDB" w:themeFill="accent2" w:themeFillTint="33"/>
            <w:noWrap/>
            <w:tcMar>
              <w:left w:w="57" w:type="dxa"/>
              <w:right w:w="57" w:type="dxa"/>
            </w:tcMar>
            <w:vAlign w:val="bottom"/>
            <w:hideMark/>
          </w:tcPr>
          <w:p w14:paraId="3625DA31" w14:textId="7625D049" w:rsidR="007E151E" w:rsidRPr="007E151E" w:rsidRDefault="007E151E" w:rsidP="007E151E">
            <w:pPr>
              <w:spacing w:after="0"/>
              <w:jc w:val="right"/>
              <w:rPr>
                <w:rStyle w:val="IntenseReference"/>
              </w:rPr>
            </w:pPr>
            <w:r w:rsidRPr="007E151E">
              <w:rPr>
                <w:rStyle w:val="IntenseReference"/>
              </w:rPr>
              <w:t>0.71</w:t>
            </w:r>
          </w:p>
        </w:tc>
        <w:tc>
          <w:tcPr>
            <w:tcW w:w="625" w:type="dxa"/>
            <w:shd w:val="clear" w:color="auto" w:fill="FFFFFF" w:themeFill="background1"/>
            <w:noWrap/>
            <w:tcMar>
              <w:left w:w="57" w:type="dxa"/>
              <w:right w:w="57" w:type="dxa"/>
            </w:tcMar>
            <w:vAlign w:val="bottom"/>
            <w:hideMark/>
          </w:tcPr>
          <w:p w14:paraId="65304AFD" w14:textId="23B46779" w:rsidR="007E151E" w:rsidRPr="007E151E" w:rsidRDefault="007E151E" w:rsidP="007E151E">
            <w:pPr>
              <w:spacing w:after="0"/>
              <w:jc w:val="right"/>
              <w:rPr>
                <w:rStyle w:val="IntenseReference"/>
              </w:rPr>
            </w:pPr>
            <w:r w:rsidRPr="007E151E">
              <w:rPr>
                <w:rStyle w:val="IntenseReference"/>
              </w:rPr>
              <w:t>0.01</w:t>
            </w:r>
          </w:p>
        </w:tc>
        <w:tc>
          <w:tcPr>
            <w:tcW w:w="625" w:type="dxa"/>
            <w:shd w:val="clear" w:color="auto" w:fill="FFFFFF" w:themeFill="background1"/>
            <w:noWrap/>
            <w:tcMar>
              <w:left w:w="57" w:type="dxa"/>
              <w:right w:w="57" w:type="dxa"/>
            </w:tcMar>
            <w:vAlign w:val="bottom"/>
            <w:hideMark/>
          </w:tcPr>
          <w:p w14:paraId="08B9A6CD" w14:textId="5AF2569C" w:rsidR="007E151E" w:rsidRPr="007E151E" w:rsidRDefault="007E151E" w:rsidP="007E151E">
            <w:pPr>
              <w:spacing w:after="0"/>
              <w:jc w:val="right"/>
              <w:rPr>
                <w:rStyle w:val="IntenseReference"/>
              </w:rPr>
            </w:pPr>
            <w:r w:rsidRPr="007E151E">
              <w:rPr>
                <w:rStyle w:val="IntenseReference"/>
              </w:rPr>
              <w:t>0.56</w:t>
            </w:r>
          </w:p>
        </w:tc>
        <w:tc>
          <w:tcPr>
            <w:tcW w:w="625" w:type="dxa"/>
            <w:shd w:val="clear" w:color="auto" w:fill="C6D9F1" w:themeFill="text2" w:themeFillTint="33"/>
            <w:noWrap/>
            <w:tcMar>
              <w:left w:w="57" w:type="dxa"/>
              <w:right w:w="57" w:type="dxa"/>
            </w:tcMar>
            <w:vAlign w:val="bottom"/>
            <w:hideMark/>
          </w:tcPr>
          <w:p w14:paraId="5540C69C" w14:textId="1DF18DB8" w:rsidR="007E151E" w:rsidRPr="007E151E" w:rsidRDefault="007E151E" w:rsidP="007E151E">
            <w:pPr>
              <w:spacing w:after="0"/>
              <w:jc w:val="right"/>
              <w:rPr>
                <w:rStyle w:val="IntenseReference"/>
              </w:rPr>
            </w:pPr>
            <w:r w:rsidRPr="007E151E">
              <w:rPr>
                <w:rStyle w:val="IntenseReference"/>
              </w:rPr>
              <w:t>0.20</w:t>
            </w:r>
          </w:p>
        </w:tc>
        <w:tc>
          <w:tcPr>
            <w:tcW w:w="625" w:type="dxa"/>
            <w:shd w:val="clear" w:color="auto" w:fill="C6D9F1" w:themeFill="text2" w:themeFillTint="33"/>
            <w:noWrap/>
            <w:tcMar>
              <w:left w:w="57" w:type="dxa"/>
              <w:right w:w="57" w:type="dxa"/>
            </w:tcMar>
            <w:vAlign w:val="bottom"/>
            <w:hideMark/>
          </w:tcPr>
          <w:p w14:paraId="31103B18" w14:textId="56D686A9" w:rsidR="007E151E" w:rsidRPr="007E151E" w:rsidRDefault="007E151E" w:rsidP="007E151E">
            <w:pPr>
              <w:spacing w:after="0"/>
              <w:jc w:val="right"/>
              <w:rPr>
                <w:rStyle w:val="IntenseReference"/>
              </w:rPr>
            </w:pPr>
            <w:r w:rsidRPr="007E151E">
              <w:rPr>
                <w:rStyle w:val="IntenseReference"/>
              </w:rPr>
              <w:t>0.74</w:t>
            </w:r>
          </w:p>
        </w:tc>
        <w:tc>
          <w:tcPr>
            <w:tcW w:w="625" w:type="dxa"/>
            <w:shd w:val="clear" w:color="auto" w:fill="E5B8B7" w:themeFill="accent2" w:themeFillTint="66"/>
            <w:noWrap/>
            <w:tcMar>
              <w:left w:w="57" w:type="dxa"/>
              <w:right w:w="57" w:type="dxa"/>
            </w:tcMar>
            <w:vAlign w:val="bottom"/>
            <w:hideMark/>
          </w:tcPr>
          <w:p w14:paraId="56B7DB30" w14:textId="7EF8F1C9" w:rsidR="007E151E" w:rsidRPr="007E151E" w:rsidRDefault="007E151E" w:rsidP="007E151E">
            <w:pPr>
              <w:spacing w:after="0"/>
              <w:jc w:val="right"/>
              <w:rPr>
                <w:rStyle w:val="IntenseReference"/>
              </w:rPr>
            </w:pPr>
            <w:r w:rsidRPr="007E151E">
              <w:rPr>
                <w:rStyle w:val="IntenseReference"/>
              </w:rPr>
              <w:t>-0.59</w:t>
            </w:r>
          </w:p>
        </w:tc>
        <w:tc>
          <w:tcPr>
            <w:tcW w:w="626" w:type="dxa"/>
            <w:shd w:val="clear" w:color="auto" w:fill="E5B8B7" w:themeFill="accent2" w:themeFillTint="66"/>
            <w:noWrap/>
            <w:tcMar>
              <w:left w:w="57" w:type="dxa"/>
              <w:right w:w="57" w:type="dxa"/>
            </w:tcMar>
            <w:vAlign w:val="bottom"/>
            <w:hideMark/>
          </w:tcPr>
          <w:p w14:paraId="6660A79D" w14:textId="2F60978B" w:rsidR="007E151E" w:rsidRPr="007E151E" w:rsidRDefault="007E151E" w:rsidP="007E151E">
            <w:pPr>
              <w:spacing w:after="0"/>
              <w:jc w:val="right"/>
              <w:rPr>
                <w:rStyle w:val="IntenseReference"/>
              </w:rPr>
            </w:pPr>
            <w:r w:rsidRPr="007E151E">
              <w:rPr>
                <w:rStyle w:val="IntenseReference"/>
              </w:rPr>
              <w:t>0.89</w:t>
            </w:r>
          </w:p>
        </w:tc>
      </w:tr>
      <w:tr w:rsidR="00103C68" w:rsidRPr="007E151E" w14:paraId="36076083" w14:textId="77777777" w:rsidTr="00103C68">
        <w:trPr>
          <w:trHeight w:val="300"/>
        </w:trPr>
        <w:tc>
          <w:tcPr>
            <w:tcW w:w="1074" w:type="dxa"/>
            <w:vMerge w:val="restart"/>
            <w:shd w:val="clear" w:color="auto" w:fill="auto"/>
            <w:noWrap/>
            <w:tcMar>
              <w:left w:w="57" w:type="dxa"/>
              <w:right w:w="57" w:type="dxa"/>
            </w:tcMar>
            <w:vAlign w:val="center"/>
            <w:hideMark/>
          </w:tcPr>
          <w:p w14:paraId="3482BA29" w14:textId="5A846ADE" w:rsidR="007E151E" w:rsidRPr="007E151E" w:rsidRDefault="007E151E" w:rsidP="00CD5738">
            <w:pPr>
              <w:spacing w:after="0"/>
              <w:rPr>
                <w:rStyle w:val="IntenseReference"/>
              </w:rPr>
            </w:pPr>
            <w:r w:rsidRPr="007E151E">
              <w:rPr>
                <w:rStyle w:val="IntenseReference"/>
              </w:rPr>
              <w:t>201</w:t>
            </w:r>
            <w:r w:rsidR="00CD5738">
              <w:rPr>
                <w:rStyle w:val="IntenseReference"/>
              </w:rPr>
              <w:t>3</w:t>
            </w:r>
            <w:r w:rsidRPr="007E151E">
              <w:rPr>
                <w:rStyle w:val="IntenseReference"/>
              </w:rPr>
              <w:t xml:space="preserve"> to 2016</w:t>
            </w:r>
          </w:p>
        </w:tc>
        <w:tc>
          <w:tcPr>
            <w:tcW w:w="350" w:type="dxa"/>
            <w:shd w:val="clear" w:color="auto" w:fill="auto"/>
            <w:noWrap/>
            <w:tcMar>
              <w:left w:w="57" w:type="dxa"/>
              <w:right w:w="57" w:type="dxa"/>
            </w:tcMar>
            <w:vAlign w:val="center"/>
            <w:hideMark/>
          </w:tcPr>
          <w:p w14:paraId="162C7B15" w14:textId="77777777" w:rsidR="007E151E" w:rsidRPr="007E151E" w:rsidRDefault="007E151E" w:rsidP="007E151E">
            <w:pPr>
              <w:spacing w:after="0"/>
              <w:jc w:val="center"/>
              <w:rPr>
                <w:rStyle w:val="IntenseReference"/>
              </w:rPr>
            </w:pPr>
            <w:r w:rsidRPr="007E151E">
              <w:rPr>
                <w:rStyle w:val="IntenseReference"/>
              </w:rPr>
              <w:t>2</w:t>
            </w:r>
          </w:p>
        </w:tc>
        <w:tc>
          <w:tcPr>
            <w:tcW w:w="625" w:type="dxa"/>
            <w:shd w:val="clear" w:color="auto" w:fill="548DD4" w:themeFill="text2" w:themeFillTint="99"/>
            <w:noWrap/>
            <w:tcMar>
              <w:left w:w="57" w:type="dxa"/>
              <w:right w:w="57" w:type="dxa"/>
            </w:tcMar>
            <w:vAlign w:val="bottom"/>
            <w:hideMark/>
          </w:tcPr>
          <w:p w14:paraId="437A9358" w14:textId="27A27C26" w:rsidR="007E151E" w:rsidRPr="007E151E" w:rsidRDefault="007E151E" w:rsidP="007E151E">
            <w:pPr>
              <w:spacing w:after="0"/>
              <w:jc w:val="right"/>
              <w:rPr>
                <w:rStyle w:val="IntenseReference"/>
              </w:rPr>
            </w:pPr>
            <w:r w:rsidRPr="007E151E">
              <w:rPr>
                <w:rStyle w:val="IntenseReference"/>
              </w:rPr>
              <w:t>0.26</w:t>
            </w:r>
          </w:p>
        </w:tc>
        <w:tc>
          <w:tcPr>
            <w:tcW w:w="625" w:type="dxa"/>
            <w:shd w:val="clear" w:color="auto" w:fill="548DD4" w:themeFill="text2" w:themeFillTint="99"/>
            <w:noWrap/>
            <w:tcMar>
              <w:left w:w="57" w:type="dxa"/>
              <w:right w:w="57" w:type="dxa"/>
            </w:tcMar>
            <w:vAlign w:val="bottom"/>
            <w:hideMark/>
          </w:tcPr>
          <w:p w14:paraId="50737215" w14:textId="1F8190AD" w:rsidR="007E151E" w:rsidRPr="007E151E" w:rsidRDefault="007E151E" w:rsidP="007E151E">
            <w:pPr>
              <w:spacing w:after="0"/>
              <w:jc w:val="right"/>
              <w:rPr>
                <w:rStyle w:val="IntenseReference"/>
              </w:rPr>
            </w:pPr>
            <w:r w:rsidRPr="007E151E">
              <w:rPr>
                <w:rStyle w:val="IntenseReference"/>
              </w:rPr>
              <w:t>0.92</w:t>
            </w:r>
          </w:p>
        </w:tc>
        <w:tc>
          <w:tcPr>
            <w:tcW w:w="625" w:type="dxa"/>
            <w:shd w:val="clear" w:color="auto" w:fill="548DD4" w:themeFill="text2" w:themeFillTint="99"/>
            <w:noWrap/>
            <w:tcMar>
              <w:left w:w="57" w:type="dxa"/>
              <w:right w:w="57" w:type="dxa"/>
            </w:tcMar>
            <w:vAlign w:val="bottom"/>
            <w:hideMark/>
          </w:tcPr>
          <w:p w14:paraId="77EC64AB" w14:textId="489812A4" w:rsidR="007E151E" w:rsidRPr="007E151E" w:rsidRDefault="007E151E" w:rsidP="007E151E">
            <w:pPr>
              <w:spacing w:after="0"/>
              <w:jc w:val="right"/>
              <w:rPr>
                <w:rStyle w:val="IntenseReference"/>
              </w:rPr>
            </w:pPr>
            <w:r w:rsidRPr="007E151E">
              <w:rPr>
                <w:rStyle w:val="IntenseReference"/>
              </w:rPr>
              <w:t>0.36</w:t>
            </w:r>
          </w:p>
        </w:tc>
        <w:tc>
          <w:tcPr>
            <w:tcW w:w="625" w:type="dxa"/>
            <w:shd w:val="clear" w:color="auto" w:fill="548DD4" w:themeFill="text2" w:themeFillTint="99"/>
            <w:noWrap/>
            <w:tcMar>
              <w:left w:w="57" w:type="dxa"/>
              <w:right w:w="57" w:type="dxa"/>
            </w:tcMar>
            <w:vAlign w:val="bottom"/>
            <w:hideMark/>
          </w:tcPr>
          <w:p w14:paraId="42DEFA8B" w14:textId="0D0FF699" w:rsidR="007E151E" w:rsidRPr="007E151E" w:rsidRDefault="007E151E" w:rsidP="007E151E">
            <w:pPr>
              <w:spacing w:after="0"/>
              <w:jc w:val="right"/>
              <w:rPr>
                <w:rStyle w:val="IntenseReference"/>
              </w:rPr>
            </w:pPr>
            <w:r w:rsidRPr="007E151E">
              <w:rPr>
                <w:rStyle w:val="IntenseReference"/>
              </w:rPr>
              <w:t>0.92</w:t>
            </w:r>
          </w:p>
        </w:tc>
        <w:tc>
          <w:tcPr>
            <w:tcW w:w="625" w:type="dxa"/>
            <w:shd w:val="clear" w:color="auto" w:fill="C6D9F1" w:themeFill="text2" w:themeFillTint="33"/>
            <w:noWrap/>
            <w:tcMar>
              <w:left w:w="57" w:type="dxa"/>
              <w:right w:w="57" w:type="dxa"/>
            </w:tcMar>
            <w:vAlign w:val="bottom"/>
            <w:hideMark/>
          </w:tcPr>
          <w:p w14:paraId="7F3E7B3D" w14:textId="3873F6F7" w:rsidR="007E151E" w:rsidRPr="007E151E" w:rsidRDefault="007E151E" w:rsidP="007E151E">
            <w:pPr>
              <w:spacing w:after="0"/>
              <w:jc w:val="right"/>
              <w:rPr>
                <w:rStyle w:val="IntenseReference"/>
              </w:rPr>
            </w:pPr>
            <w:r w:rsidRPr="007E151E">
              <w:rPr>
                <w:rStyle w:val="IntenseReference"/>
              </w:rPr>
              <w:t>0.33</w:t>
            </w:r>
          </w:p>
        </w:tc>
        <w:tc>
          <w:tcPr>
            <w:tcW w:w="626" w:type="dxa"/>
            <w:shd w:val="clear" w:color="auto" w:fill="C6D9F1" w:themeFill="text2" w:themeFillTint="33"/>
            <w:noWrap/>
            <w:tcMar>
              <w:left w:w="57" w:type="dxa"/>
              <w:right w:w="57" w:type="dxa"/>
            </w:tcMar>
            <w:vAlign w:val="bottom"/>
            <w:hideMark/>
          </w:tcPr>
          <w:p w14:paraId="1B0ABDB6" w14:textId="53D64216" w:rsidR="007E151E" w:rsidRPr="007E151E" w:rsidRDefault="007E151E" w:rsidP="007E151E">
            <w:pPr>
              <w:spacing w:after="0"/>
              <w:jc w:val="right"/>
              <w:rPr>
                <w:rStyle w:val="IntenseReference"/>
              </w:rPr>
            </w:pPr>
            <w:r w:rsidRPr="007E151E">
              <w:rPr>
                <w:rStyle w:val="IntenseReference"/>
              </w:rPr>
              <w:t>0.72</w:t>
            </w:r>
          </w:p>
        </w:tc>
        <w:tc>
          <w:tcPr>
            <w:tcW w:w="625" w:type="dxa"/>
            <w:shd w:val="clear" w:color="auto" w:fill="548DD4" w:themeFill="text2" w:themeFillTint="99"/>
            <w:noWrap/>
            <w:tcMar>
              <w:left w:w="57" w:type="dxa"/>
              <w:right w:w="57" w:type="dxa"/>
            </w:tcMar>
            <w:vAlign w:val="bottom"/>
            <w:hideMark/>
          </w:tcPr>
          <w:p w14:paraId="061CADFC" w14:textId="5DB23675" w:rsidR="007E151E" w:rsidRPr="007E151E" w:rsidRDefault="007E151E" w:rsidP="007E151E">
            <w:pPr>
              <w:spacing w:after="0"/>
              <w:jc w:val="right"/>
              <w:rPr>
                <w:rStyle w:val="IntenseReference"/>
              </w:rPr>
            </w:pPr>
            <w:r w:rsidRPr="007E151E">
              <w:rPr>
                <w:rStyle w:val="IntenseReference"/>
              </w:rPr>
              <w:t>0.21</w:t>
            </w:r>
          </w:p>
        </w:tc>
        <w:tc>
          <w:tcPr>
            <w:tcW w:w="625" w:type="dxa"/>
            <w:shd w:val="clear" w:color="auto" w:fill="548DD4" w:themeFill="text2" w:themeFillTint="99"/>
            <w:noWrap/>
            <w:tcMar>
              <w:left w:w="57" w:type="dxa"/>
              <w:right w:w="57" w:type="dxa"/>
            </w:tcMar>
            <w:vAlign w:val="bottom"/>
            <w:hideMark/>
          </w:tcPr>
          <w:p w14:paraId="154B5F3C" w14:textId="18E018FF" w:rsidR="007E151E" w:rsidRPr="007E151E" w:rsidRDefault="007E151E" w:rsidP="007E151E">
            <w:pPr>
              <w:spacing w:after="0"/>
              <w:jc w:val="right"/>
              <w:rPr>
                <w:rStyle w:val="IntenseReference"/>
              </w:rPr>
            </w:pPr>
            <w:r w:rsidRPr="007E151E">
              <w:rPr>
                <w:rStyle w:val="IntenseReference"/>
              </w:rPr>
              <w:t>1.00</w:t>
            </w:r>
          </w:p>
        </w:tc>
        <w:tc>
          <w:tcPr>
            <w:tcW w:w="625" w:type="dxa"/>
            <w:shd w:val="clear" w:color="auto" w:fill="C6D9F1" w:themeFill="text2" w:themeFillTint="33"/>
            <w:noWrap/>
            <w:tcMar>
              <w:left w:w="57" w:type="dxa"/>
              <w:right w:w="57" w:type="dxa"/>
            </w:tcMar>
            <w:vAlign w:val="bottom"/>
            <w:hideMark/>
          </w:tcPr>
          <w:p w14:paraId="07914D9A" w14:textId="682BB717" w:rsidR="007E151E" w:rsidRPr="007E151E" w:rsidRDefault="007E151E" w:rsidP="007E151E">
            <w:pPr>
              <w:spacing w:after="0"/>
              <w:jc w:val="right"/>
              <w:rPr>
                <w:rStyle w:val="IntenseReference"/>
              </w:rPr>
            </w:pPr>
            <w:r w:rsidRPr="007E151E">
              <w:rPr>
                <w:rStyle w:val="IntenseReference"/>
              </w:rPr>
              <w:t>0.17</w:t>
            </w:r>
          </w:p>
        </w:tc>
        <w:tc>
          <w:tcPr>
            <w:tcW w:w="625" w:type="dxa"/>
            <w:shd w:val="clear" w:color="auto" w:fill="C6D9F1" w:themeFill="text2" w:themeFillTint="33"/>
            <w:noWrap/>
            <w:tcMar>
              <w:left w:w="57" w:type="dxa"/>
              <w:right w:w="57" w:type="dxa"/>
            </w:tcMar>
            <w:vAlign w:val="bottom"/>
            <w:hideMark/>
          </w:tcPr>
          <w:p w14:paraId="6C5AC763" w14:textId="701BDFFE" w:rsidR="007E151E" w:rsidRPr="007E151E" w:rsidRDefault="007E151E" w:rsidP="007E151E">
            <w:pPr>
              <w:spacing w:after="0"/>
              <w:jc w:val="right"/>
              <w:rPr>
                <w:rStyle w:val="IntenseReference"/>
              </w:rPr>
            </w:pPr>
            <w:r w:rsidRPr="007E151E">
              <w:rPr>
                <w:rStyle w:val="IntenseReference"/>
              </w:rPr>
              <w:t>0.79</w:t>
            </w:r>
          </w:p>
        </w:tc>
        <w:tc>
          <w:tcPr>
            <w:tcW w:w="625" w:type="dxa"/>
            <w:shd w:val="clear" w:color="auto" w:fill="8DB3E2" w:themeFill="text2" w:themeFillTint="66"/>
            <w:noWrap/>
            <w:tcMar>
              <w:left w:w="57" w:type="dxa"/>
              <w:right w:w="57" w:type="dxa"/>
            </w:tcMar>
            <w:vAlign w:val="bottom"/>
            <w:hideMark/>
          </w:tcPr>
          <w:p w14:paraId="71A014E0" w14:textId="786D1007" w:rsidR="007E151E" w:rsidRPr="007E151E" w:rsidRDefault="007E151E" w:rsidP="007E151E">
            <w:pPr>
              <w:spacing w:after="0"/>
              <w:jc w:val="right"/>
              <w:rPr>
                <w:rStyle w:val="IntenseReference"/>
              </w:rPr>
            </w:pPr>
            <w:r w:rsidRPr="007E151E">
              <w:rPr>
                <w:rStyle w:val="IntenseReference"/>
              </w:rPr>
              <w:t>0.20</w:t>
            </w:r>
          </w:p>
        </w:tc>
        <w:tc>
          <w:tcPr>
            <w:tcW w:w="626" w:type="dxa"/>
            <w:shd w:val="clear" w:color="auto" w:fill="8DB3E2" w:themeFill="text2" w:themeFillTint="66"/>
            <w:noWrap/>
            <w:tcMar>
              <w:left w:w="57" w:type="dxa"/>
              <w:right w:w="57" w:type="dxa"/>
            </w:tcMar>
            <w:vAlign w:val="bottom"/>
            <w:hideMark/>
          </w:tcPr>
          <w:p w14:paraId="254DD594" w14:textId="0B0CC705" w:rsidR="007E151E" w:rsidRPr="007E151E" w:rsidRDefault="007E151E" w:rsidP="007E151E">
            <w:pPr>
              <w:spacing w:after="0"/>
              <w:jc w:val="right"/>
              <w:rPr>
                <w:rStyle w:val="IntenseReference"/>
              </w:rPr>
            </w:pPr>
            <w:r w:rsidRPr="007E151E">
              <w:rPr>
                <w:rStyle w:val="IntenseReference"/>
              </w:rPr>
              <w:t>0.85</w:t>
            </w:r>
          </w:p>
        </w:tc>
      </w:tr>
      <w:tr w:rsidR="00103C68" w:rsidRPr="007E151E" w14:paraId="4D28D35C" w14:textId="77777777" w:rsidTr="00103C68">
        <w:trPr>
          <w:trHeight w:val="300"/>
        </w:trPr>
        <w:tc>
          <w:tcPr>
            <w:tcW w:w="1074" w:type="dxa"/>
            <w:vMerge/>
            <w:shd w:val="clear" w:color="auto" w:fill="auto"/>
            <w:noWrap/>
            <w:tcMar>
              <w:left w:w="57" w:type="dxa"/>
              <w:right w:w="57" w:type="dxa"/>
            </w:tcMar>
            <w:vAlign w:val="center"/>
            <w:hideMark/>
          </w:tcPr>
          <w:p w14:paraId="540E61F2" w14:textId="77777777" w:rsidR="007E151E" w:rsidRPr="007E151E" w:rsidRDefault="007E151E" w:rsidP="007E151E">
            <w:pPr>
              <w:spacing w:after="0"/>
              <w:jc w:val="right"/>
              <w:rPr>
                <w:rStyle w:val="IntenseReference"/>
              </w:rPr>
            </w:pPr>
          </w:p>
        </w:tc>
        <w:tc>
          <w:tcPr>
            <w:tcW w:w="350" w:type="dxa"/>
            <w:shd w:val="clear" w:color="auto" w:fill="auto"/>
            <w:noWrap/>
            <w:tcMar>
              <w:left w:w="57" w:type="dxa"/>
              <w:right w:w="57" w:type="dxa"/>
            </w:tcMar>
            <w:vAlign w:val="center"/>
            <w:hideMark/>
          </w:tcPr>
          <w:p w14:paraId="46D07162" w14:textId="77777777" w:rsidR="007E151E" w:rsidRPr="007E151E" w:rsidRDefault="007E151E" w:rsidP="007E151E">
            <w:pPr>
              <w:spacing w:after="0"/>
              <w:jc w:val="center"/>
              <w:rPr>
                <w:rStyle w:val="IntenseReference"/>
              </w:rPr>
            </w:pPr>
            <w:r w:rsidRPr="007E151E">
              <w:rPr>
                <w:rStyle w:val="IntenseReference"/>
              </w:rPr>
              <w:t>5</w:t>
            </w:r>
          </w:p>
        </w:tc>
        <w:tc>
          <w:tcPr>
            <w:tcW w:w="625" w:type="dxa"/>
            <w:shd w:val="clear" w:color="auto" w:fill="548DD4" w:themeFill="text2" w:themeFillTint="99"/>
            <w:noWrap/>
            <w:tcMar>
              <w:left w:w="57" w:type="dxa"/>
              <w:right w:w="57" w:type="dxa"/>
            </w:tcMar>
            <w:vAlign w:val="bottom"/>
            <w:hideMark/>
          </w:tcPr>
          <w:p w14:paraId="459A88BB" w14:textId="043BC2A4" w:rsidR="007E151E" w:rsidRPr="007E151E" w:rsidRDefault="007E151E" w:rsidP="007E151E">
            <w:pPr>
              <w:spacing w:after="0"/>
              <w:jc w:val="right"/>
              <w:rPr>
                <w:rStyle w:val="IntenseReference"/>
              </w:rPr>
            </w:pPr>
            <w:r w:rsidRPr="007E151E">
              <w:rPr>
                <w:rStyle w:val="IntenseReference"/>
              </w:rPr>
              <w:t>0.25</w:t>
            </w:r>
          </w:p>
        </w:tc>
        <w:tc>
          <w:tcPr>
            <w:tcW w:w="625" w:type="dxa"/>
            <w:shd w:val="clear" w:color="auto" w:fill="548DD4" w:themeFill="text2" w:themeFillTint="99"/>
            <w:noWrap/>
            <w:tcMar>
              <w:left w:w="57" w:type="dxa"/>
              <w:right w:w="57" w:type="dxa"/>
            </w:tcMar>
            <w:vAlign w:val="bottom"/>
            <w:hideMark/>
          </w:tcPr>
          <w:p w14:paraId="547C3663" w14:textId="03A6CD6C" w:rsidR="007E151E" w:rsidRPr="007E151E" w:rsidRDefault="007E151E" w:rsidP="007E151E">
            <w:pPr>
              <w:spacing w:after="0"/>
              <w:jc w:val="right"/>
              <w:rPr>
                <w:rStyle w:val="IntenseReference"/>
              </w:rPr>
            </w:pPr>
            <w:r w:rsidRPr="007E151E">
              <w:rPr>
                <w:rStyle w:val="IntenseReference"/>
              </w:rPr>
              <w:t>1.00</w:t>
            </w:r>
          </w:p>
        </w:tc>
        <w:tc>
          <w:tcPr>
            <w:tcW w:w="625" w:type="dxa"/>
            <w:shd w:val="clear" w:color="auto" w:fill="8DB3E2" w:themeFill="text2" w:themeFillTint="66"/>
            <w:noWrap/>
            <w:tcMar>
              <w:left w:w="57" w:type="dxa"/>
              <w:right w:w="57" w:type="dxa"/>
            </w:tcMar>
            <w:vAlign w:val="bottom"/>
            <w:hideMark/>
          </w:tcPr>
          <w:p w14:paraId="3C3F669B" w14:textId="3123526C" w:rsidR="007E151E" w:rsidRPr="007E151E" w:rsidRDefault="007E151E" w:rsidP="007E151E">
            <w:pPr>
              <w:spacing w:after="0"/>
              <w:jc w:val="right"/>
              <w:rPr>
                <w:rStyle w:val="IntenseReference"/>
              </w:rPr>
            </w:pPr>
            <w:r w:rsidRPr="007E151E">
              <w:rPr>
                <w:rStyle w:val="IntenseReference"/>
              </w:rPr>
              <w:t>0.28</w:t>
            </w:r>
          </w:p>
        </w:tc>
        <w:tc>
          <w:tcPr>
            <w:tcW w:w="625" w:type="dxa"/>
            <w:shd w:val="clear" w:color="auto" w:fill="8DB3E2" w:themeFill="text2" w:themeFillTint="66"/>
            <w:noWrap/>
            <w:tcMar>
              <w:left w:w="57" w:type="dxa"/>
              <w:right w:w="57" w:type="dxa"/>
            </w:tcMar>
            <w:vAlign w:val="bottom"/>
            <w:hideMark/>
          </w:tcPr>
          <w:p w14:paraId="67501EB3" w14:textId="331DB6D4" w:rsidR="007E151E" w:rsidRPr="007E151E" w:rsidRDefault="007E151E" w:rsidP="007E151E">
            <w:pPr>
              <w:spacing w:after="0"/>
              <w:jc w:val="right"/>
              <w:rPr>
                <w:rStyle w:val="IntenseReference"/>
              </w:rPr>
            </w:pPr>
            <w:r w:rsidRPr="007E151E">
              <w:rPr>
                <w:rStyle w:val="IntenseReference"/>
              </w:rPr>
              <w:t>0.88</w:t>
            </w:r>
          </w:p>
        </w:tc>
        <w:tc>
          <w:tcPr>
            <w:tcW w:w="625" w:type="dxa"/>
            <w:shd w:val="clear" w:color="auto" w:fill="8DB3E2" w:themeFill="text2" w:themeFillTint="66"/>
            <w:noWrap/>
            <w:tcMar>
              <w:left w:w="57" w:type="dxa"/>
              <w:right w:w="57" w:type="dxa"/>
            </w:tcMar>
            <w:vAlign w:val="bottom"/>
            <w:hideMark/>
          </w:tcPr>
          <w:p w14:paraId="07B6A36E" w14:textId="15FBA255" w:rsidR="007E151E" w:rsidRPr="007E151E" w:rsidRDefault="007E151E" w:rsidP="007E151E">
            <w:pPr>
              <w:spacing w:after="0"/>
              <w:jc w:val="right"/>
              <w:rPr>
                <w:rStyle w:val="IntenseReference"/>
              </w:rPr>
            </w:pPr>
            <w:r w:rsidRPr="007E151E">
              <w:rPr>
                <w:rStyle w:val="IntenseReference"/>
              </w:rPr>
              <w:t>0.33</w:t>
            </w:r>
          </w:p>
        </w:tc>
        <w:tc>
          <w:tcPr>
            <w:tcW w:w="626" w:type="dxa"/>
            <w:shd w:val="clear" w:color="auto" w:fill="8DB3E2" w:themeFill="text2" w:themeFillTint="66"/>
            <w:noWrap/>
            <w:tcMar>
              <w:left w:w="57" w:type="dxa"/>
              <w:right w:w="57" w:type="dxa"/>
            </w:tcMar>
            <w:vAlign w:val="bottom"/>
            <w:hideMark/>
          </w:tcPr>
          <w:p w14:paraId="04A863BE" w14:textId="718F5D02" w:rsidR="007E151E" w:rsidRPr="007E151E" w:rsidRDefault="007E151E" w:rsidP="007E151E">
            <w:pPr>
              <w:spacing w:after="0"/>
              <w:jc w:val="right"/>
              <w:rPr>
                <w:rStyle w:val="IntenseReference"/>
              </w:rPr>
            </w:pPr>
            <w:r w:rsidRPr="007E151E">
              <w:rPr>
                <w:rStyle w:val="IntenseReference"/>
              </w:rPr>
              <w:t>0.86</w:t>
            </w:r>
          </w:p>
        </w:tc>
        <w:tc>
          <w:tcPr>
            <w:tcW w:w="625" w:type="dxa"/>
            <w:shd w:val="clear" w:color="auto" w:fill="548DD4" w:themeFill="text2" w:themeFillTint="99"/>
            <w:noWrap/>
            <w:tcMar>
              <w:left w:w="57" w:type="dxa"/>
              <w:right w:w="57" w:type="dxa"/>
            </w:tcMar>
            <w:vAlign w:val="bottom"/>
            <w:hideMark/>
          </w:tcPr>
          <w:p w14:paraId="4B072D04" w14:textId="23F01688" w:rsidR="007E151E" w:rsidRPr="007E151E" w:rsidRDefault="007E151E" w:rsidP="007E151E">
            <w:pPr>
              <w:spacing w:after="0"/>
              <w:jc w:val="right"/>
              <w:rPr>
                <w:rStyle w:val="IntenseReference"/>
              </w:rPr>
            </w:pPr>
            <w:r w:rsidRPr="007E151E">
              <w:rPr>
                <w:rStyle w:val="IntenseReference"/>
              </w:rPr>
              <w:t>0.20</w:t>
            </w:r>
          </w:p>
        </w:tc>
        <w:tc>
          <w:tcPr>
            <w:tcW w:w="625" w:type="dxa"/>
            <w:shd w:val="clear" w:color="auto" w:fill="548DD4" w:themeFill="text2" w:themeFillTint="99"/>
            <w:noWrap/>
            <w:tcMar>
              <w:left w:w="57" w:type="dxa"/>
              <w:right w:w="57" w:type="dxa"/>
            </w:tcMar>
            <w:vAlign w:val="bottom"/>
            <w:hideMark/>
          </w:tcPr>
          <w:p w14:paraId="6D56C6BF" w14:textId="4C9D1C2C" w:rsidR="007E151E" w:rsidRPr="007E151E" w:rsidRDefault="007E151E" w:rsidP="007E151E">
            <w:pPr>
              <w:spacing w:after="0"/>
              <w:jc w:val="right"/>
              <w:rPr>
                <w:rStyle w:val="IntenseReference"/>
              </w:rPr>
            </w:pPr>
            <w:r w:rsidRPr="007E151E">
              <w:rPr>
                <w:rStyle w:val="IntenseReference"/>
              </w:rPr>
              <w:t>1.00</w:t>
            </w:r>
          </w:p>
        </w:tc>
        <w:tc>
          <w:tcPr>
            <w:tcW w:w="625" w:type="dxa"/>
            <w:shd w:val="clear" w:color="auto" w:fill="C6D9F1" w:themeFill="text2" w:themeFillTint="33"/>
            <w:noWrap/>
            <w:tcMar>
              <w:left w:w="57" w:type="dxa"/>
              <w:right w:w="57" w:type="dxa"/>
            </w:tcMar>
            <w:vAlign w:val="bottom"/>
            <w:hideMark/>
          </w:tcPr>
          <w:p w14:paraId="3513747D" w14:textId="424EA9BD" w:rsidR="007E151E" w:rsidRPr="007E151E" w:rsidRDefault="007E151E" w:rsidP="007E151E">
            <w:pPr>
              <w:spacing w:after="0"/>
              <w:jc w:val="right"/>
              <w:rPr>
                <w:rStyle w:val="IntenseReference"/>
              </w:rPr>
            </w:pPr>
            <w:r w:rsidRPr="007E151E">
              <w:rPr>
                <w:rStyle w:val="IntenseReference"/>
              </w:rPr>
              <w:t>0.17</w:t>
            </w:r>
          </w:p>
        </w:tc>
        <w:tc>
          <w:tcPr>
            <w:tcW w:w="625" w:type="dxa"/>
            <w:shd w:val="clear" w:color="auto" w:fill="C6D9F1" w:themeFill="text2" w:themeFillTint="33"/>
            <w:noWrap/>
            <w:tcMar>
              <w:left w:w="57" w:type="dxa"/>
              <w:right w:w="57" w:type="dxa"/>
            </w:tcMar>
            <w:vAlign w:val="bottom"/>
            <w:hideMark/>
          </w:tcPr>
          <w:p w14:paraId="4668B6DA" w14:textId="5ED284C3" w:rsidR="007E151E" w:rsidRPr="007E151E" w:rsidRDefault="007E151E" w:rsidP="007E151E">
            <w:pPr>
              <w:spacing w:after="0"/>
              <w:jc w:val="right"/>
              <w:rPr>
                <w:rStyle w:val="IntenseReference"/>
              </w:rPr>
            </w:pPr>
            <w:r w:rsidRPr="007E151E">
              <w:rPr>
                <w:rStyle w:val="IntenseReference"/>
              </w:rPr>
              <w:t>0.74</w:t>
            </w:r>
          </w:p>
        </w:tc>
        <w:tc>
          <w:tcPr>
            <w:tcW w:w="625" w:type="dxa"/>
            <w:shd w:val="clear" w:color="auto" w:fill="FFFFFF" w:themeFill="background1"/>
            <w:noWrap/>
            <w:tcMar>
              <w:left w:w="57" w:type="dxa"/>
              <w:right w:w="57" w:type="dxa"/>
            </w:tcMar>
            <w:vAlign w:val="bottom"/>
            <w:hideMark/>
          </w:tcPr>
          <w:p w14:paraId="3A3BA210" w14:textId="4D3C0328" w:rsidR="007E151E" w:rsidRPr="007E151E" w:rsidRDefault="007E151E" w:rsidP="007E151E">
            <w:pPr>
              <w:spacing w:after="0"/>
              <w:jc w:val="right"/>
              <w:rPr>
                <w:rStyle w:val="IntenseReference"/>
              </w:rPr>
            </w:pPr>
            <w:r w:rsidRPr="007E151E">
              <w:rPr>
                <w:rStyle w:val="IntenseReference"/>
              </w:rPr>
              <w:t>0.25</w:t>
            </w:r>
          </w:p>
        </w:tc>
        <w:tc>
          <w:tcPr>
            <w:tcW w:w="626" w:type="dxa"/>
            <w:shd w:val="clear" w:color="auto" w:fill="FFFFFF" w:themeFill="background1"/>
            <w:noWrap/>
            <w:tcMar>
              <w:left w:w="57" w:type="dxa"/>
              <w:right w:w="57" w:type="dxa"/>
            </w:tcMar>
            <w:vAlign w:val="bottom"/>
            <w:hideMark/>
          </w:tcPr>
          <w:p w14:paraId="1CC503A0" w14:textId="1251F8F7" w:rsidR="007E151E" w:rsidRPr="007E151E" w:rsidRDefault="007E151E" w:rsidP="007E151E">
            <w:pPr>
              <w:spacing w:after="0"/>
              <w:jc w:val="right"/>
              <w:rPr>
                <w:rStyle w:val="IntenseReference"/>
              </w:rPr>
            </w:pPr>
            <w:r w:rsidRPr="007E151E">
              <w:rPr>
                <w:rStyle w:val="IntenseReference"/>
              </w:rPr>
              <w:t>0.65</w:t>
            </w:r>
          </w:p>
        </w:tc>
      </w:tr>
    </w:tbl>
    <w:p w14:paraId="4584246C" w14:textId="77777777" w:rsidR="007E151E" w:rsidRDefault="007E151E" w:rsidP="00B36605"/>
    <w:p w14:paraId="11EA906C" w14:textId="31402F24" w:rsidR="00B36605" w:rsidRDefault="00B36605" w:rsidP="00B36605">
      <w:r w:rsidRPr="00260BBC">
        <w:t>The trend i</w:t>
      </w:r>
      <w:r>
        <w:t>n the coral index identifies</w:t>
      </w:r>
      <w:r w:rsidRPr="00260BBC">
        <w:t xml:space="preserve"> distinct declines </w:t>
      </w:r>
      <w:r>
        <w:t>caused by damage attributed to Cyclone Larry in 2006 and Cyclone Yasi in 2011 followed by</w:t>
      </w:r>
      <w:r w:rsidR="006C1688">
        <w:t xml:space="preserve"> recovery</w:t>
      </w:r>
      <w:r w:rsidRPr="00260BBC">
        <w:t xml:space="preserve"> in subsequent years (</w:t>
      </w:r>
      <w:r w:rsidR="00611D00">
        <w:fldChar w:fldCharType="begin"/>
      </w:r>
      <w:r w:rsidR="00611D00">
        <w:instrText xml:space="preserve"> REF _Ref491267311 \h </w:instrText>
      </w:r>
      <w:r w:rsidR="00611D00">
        <w:fldChar w:fldCharType="separate"/>
      </w:r>
      <w:r w:rsidR="00D806F2">
        <w:t xml:space="preserve">Figure </w:t>
      </w:r>
      <w:r w:rsidR="00D806F2">
        <w:rPr>
          <w:noProof/>
        </w:rPr>
        <w:t>17</w:t>
      </w:r>
      <w:r w:rsidR="00611D00">
        <w:fldChar w:fldCharType="end"/>
      </w:r>
      <w:r w:rsidRPr="00260BBC">
        <w:t xml:space="preserve">a). </w:t>
      </w:r>
      <w:r w:rsidR="00B95356">
        <w:t>The</w:t>
      </w:r>
      <w:r w:rsidR="00B95356" w:rsidRPr="00260BBC">
        <w:t xml:space="preserve"> combined</w:t>
      </w:r>
      <w:r w:rsidR="00B95356">
        <w:t xml:space="preserve"> impacts of these cyclones</w:t>
      </w:r>
      <w:r w:rsidR="00B95356" w:rsidRPr="00260BBC">
        <w:t xml:space="preserve"> account for </w:t>
      </w:r>
      <w:r w:rsidR="006B0864">
        <w:t>91</w:t>
      </w:r>
      <w:r w:rsidR="00B95356" w:rsidRPr="00260BBC">
        <w:t>% of the hard coral cover lost since 2005 (</w:t>
      </w:r>
      <w:r w:rsidR="00611D00">
        <w:fldChar w:fldCharType="begin"/>
      </w:r>
      <w:r w:rsidR="00611D00">
        <w:instrText xml:space="preserve"> REF _Ref491267352 \h </w:instrText>
      </w:r>
      <w:r w:rsidR="00611D00">
        <w:fldChar w:fldCharType="separate"/>
      </w:r>
      <w:r w:rsidR="00D806F2">
        <w:t xml:space="preserve">Figure </w:t>
      </w:r>
      <w:r w:rsidR="00D806F2">
        <w:rPr>
          <w:noProof/>
        </w:rPr>
        <w:t>16</w:t>
      </w:r>
      <w:r w:rsidR="00611D00">
        <w:fldChar w:fldCharType="end"/>
      </w:r>
      <w:r w:rsidR="00B95356">
        <w:t>e)</w:t>
      </w:r>
      <w:r w:rsidR="00B95356" w:rsidRPr="00260BBC">
        <w:t xml:space="preserve">. </w:t>
      </w:r>
      <w:r>
        <w:t>Of note is that following each cyclone</w:t>
      </w:r>
      <w:r w:rsidR="007103DF">
        <w:t>,</w:t>
      </w:r>
      <w:r>
        <w:t xml:space="preserve"> in </w:t>
      </w:r>
      <w:r w:rsidR="00B95356">
        <w:t>addition an</w:t>
      </w:r>
      <w:r>
        <w:t xml:space="preserve"> immediate reduction, </w:t>
      </w:r>
      <w:r w:rsidR="007103DF">
        <w:t xml:space="preserve">there </w:t>
      </w:r>
      <w:r w:rsidR="00B95356">
        <w:t>wa</w:t>
      </w:r>
      <w:r>
        <w:t xml:space="preserve">s a </w:t>
      </w:r>
      <w:r w:rsidR="00417AF5">
        <w:t xml:space="preserve">lagged </w:t>
      </w:r>
      <w:r>
        <w:t>decline in the index</w:t>
      </w:r>
      <w:r w:rsidR="00CE6032">
        <w:t xml:space="preserve"> scores</w:t>
      </w:r>
      <w:r w:rsidR="006B0864">
        <w:t xml:space="preserve"> (</w:t>
      </w:r>
      <w:r w:rsidR="00611D00">
        <w:fldChar w:fldCharType="begin"/>
      </w:r>
      <w:r w:rsidR="00611D00">
        <w:instrText xml:space="preserve"> REF _Ref491267352 \h </w:instrText>
      </w:r>
      <w:r w:rsidR="00611D00">
        <w:fldChar w:fldCharType="separate"/>
      </w:r>
      <w:r w:rsidR="00D806F2">
        <w:t xml:space="preserve">Figure </w:t>
      </w:r>
      <w:r w:rsidR="00D806F2">
        <w:rPr>
          <w:noProof/>
        </w:rPr>
        <w:t>16</w:t>
      </w:r>
      <w:r w:rsidR="00611D00">
        <w:fldChar w:fldCharType="end"/>
      </w:r>
      <w:r w:rsidR="006B0864">
        <w:t>a)</w:t>
      </w:r>
      <w:r>
        <w:t xml:space="preserve">. This lagged response </w:t>
      </w:r>
      <w:r w:rsidR="00B95356">
        <w:t>reflects temporary improvement in the Macroalgae metric</w:t>
      </w:r>
      <w:r w:rsidR="006B0864">
        <w:t xml:space="preserve"> </w:t>
      </w:r>
      <w:r w:rsidR="00B95356">
        <w:t>in the first post cyclone survey</w:t>
      </w:r>
      <w:r w:rsidR="00611D00">
        <w:t xml:space="preserve"> (</w:t>
      </w:r>
      <w:r w:rsidR="00611D00">
        <w:fldChar w:fldCharType="begin"/>
      </w:r>
      <w:r w:rsidR="00611D00">
        <w:instrText xml:space="preserve"> REF _Ref491267311 \h </w:instrText>
      </w:r>
      <w:r w:rsidR="00611D00">
        <w:fldChar w:fldCharType="separate"/>
      </w:r>
      <w:r w:rsidR="00D806F2">
        <w:t xml:space="preserve">Figure </w:t>
      </w:r>
      <w:r w:rsidR="00D806F2">
        <w:rPr>
          <w:noProof/>
        </w:rPr>
        <w:t>17</w:t>
      </w:r>
      <w:r w:rsidR="00611D00">
        <w:fldChar w:fldCharType="end"/>
      </w:r>
      <w:r w:rsidR="00611D00">
        <w:t xml:space="preserve">e). During cyclones, </w:t>
      </w:r>
      <w:r w:rsidR="006B0864">
        <w:t xml:space="preserve">macroalgae </w:t>
      </w:r>
      <w:r w:rsidR="009F5517">
        <w:t xml:space="preserve">are </w:t>
      </w:r>
      <w:r w:rsidR="006B0864">
        <w:t>striped from the substrate</w:t>
      </w:r>
      <w:r w:rsidR="00611D00">
        <w:t xml:space="preserve">, temporarily reducing their abundance. Subsequent rapid </w:t>
      </w:r>
      <w:r w:rsidR="006B0864">
        <w:t>colonis</w:t>
      </w:r>
      <w:r w:rsidR="00611D00">
        <w:t xml:space="preserve">ation of space as a result of reduced coral cover ensures reduced scores of Macroalgae compounding the impact on index scores resulting from immediate losses of coral </w:t>
      </w:r>
      <w:r w:rsidR="006B0864">
        <w:t>(</w:t>
      </w:r>
      <w:r w:rsidR="00611D00">
        <w:fldChar w:fldCharType="begin"/>
      </w:r>
      <w:r w:rsidR="00611D00">
        <w:instrText xml:space="preserve"> REF _Ref491267311 \h </w:instrText>
      </w:r>
      <w:r w:rsidR="00611D00">
        <w:fldChar w:fldCharType="separate"/>
      </w:r>
      <w:r w:rsidR="00D806F2">
        <w:t xml:space="preserve">Figure </w:t>
      </w:r>
      <w:r w:rsidR="00D806F2">
        <w:rPr>
          <w:noProof/>
        </w:rPr>
        <w:t>17</w:t>
      </w:r>
      <w:r w:rsidR="00611D00">
        <w:fldChar w:fldCharType="end"/>
      </w:r>
      <w:r w:rsidR="006B0864">
        <w:t xml:space="preserve">e). </w:t>
      </w:r>
    </w:p>
    <w:p w14:paraId="1CD4F47B" w14:textId="2643A66F" w:rsidR="003B3B81" w:rsidRPr="00260BBC" w:rsidRDefault="003B3B81" w:rsidP="003B3B81">
      <w:pPr>
        <w:rPr>
          <w:color w:val="4F81BD" w:themeColor="accent1"/>
        </w:rPr>
      </w:pPr>
      <w:r w:rsidRPr="00260BBC">
        <w:t xml:space="preserve">The </w:t>
      </w:r>
      <w:r w:rsidR="00F94921">
        <w:t xml:space="preserve">coral </w:t>
      </w:r>
      <w:r w:rsidRPr="00260BBC">
        <w:t>sampling sites in this sub-region are primarily influenced by discharge from the Tully and Herbert rivers. As of 2015, monitoring of King was ceased in favour of a new location at Bedarra</w:t>
      </w:r>
      <w:r>
        <w:t xml:space="preserve"> that was</w:t>
      </w:r>
      <w:r w:rsidRPr="00260BBC">
        <w:t xml:space="preserve"> selected to coincide more closely with a revised sampling design for water quality monitoring. All </w:t>
      </w:r>
      <w:r w:rsidR="002C6C3C">
        <w:t>the</w:t>
      </w:r>
      <w:r w:rsidRPr="00260BBC">
        <w:t xml:space="preserve"> </w:t>
      </w:r>
      <w:r>
        <w:t xml:space="preserve">coral monitoring </w:t>
      </w:r>
      <w:r w:rsidRPr="00260BBC">
        <w:t xml:space="preserve">sites </w:t>
      </w:r>
      <w:r>
        <w:t>in this sub-region are situated in relatively clear</w:t>
      </w:r>
      <w:r w:rsidR="007103DF">
        <w:t>, though nutrient rich waters (t</w:t>
      </w:r>
      <w:r>
        <w:t>urbidity below the Guideline</w:t>
      </w:r>
      <w:r w:rsidR="00463FB2">
        <w:t>,</w:t>
      </w:r>
      <w:r>
        <w:t xml:space="preserve"> </w:t>
      </w:r>
      <w:r w:rsidR="00463FB2">
        <w:t xml:space="preserve">Chl </w:t>
      </w:r>
      <w:r w:rsidR="00463FB2" w:rsidRPr="00663F7B">
        <w:rPr>
          <w:i/>
        </w:rPr>
        <w:t>a</w:t>
      </w:r>
      <w:r w:rsidR="00463FB2">
        <w:t xml:space="preserve"> concentration above the Guideline</w:t>
      </w:r>
      <w:r w:rsidR="007103DF">
        <w:t>)</w:t>
      </w:r>
      <w:r w:rsidR="00463FB2">
        <w:t xml:space="preserve"> </w:t>
      </w:r>
      <w:r>
        <w:t>(</w:t>
      </w:r>
      <w:r w:rsidR="00463FB2">
        <w:fldChar w:fldCharType="begin"/>
      </w:r>
      <w:r w:rsidR="00463FB2">
        <w:instrText xml:space="preserve"> REF _Ref491178261 \h </w:instrText>
      </w:r>
      <w:r w:rsidR="00463FB2">
        <w:fldChar w:fldCharType="separate"/>
      </w:r>
      <w:r w:rsidR="00D806F2">
        <w:t xml:space="preserve">Figure </w:t>
      </w:r>
      <w:r w:rsidR="00D806F2">
        <w:rPr>
          <w:noProof/>
        </w:rPr>
        <w:t>12</w:t>
      </w:r>
      <w:r w:rsidR="00463FB2">
        <w:fldChar w:fldCharType="end"/>
      </w:r>
      <w:r>
        <w:t>b,</w:t>
      </w:r>
      <w:r w:rsidR="00463FB2">
        <w:t xml:space="preserve"> </w:t>
      </w:r>
      <w:r w:rsidR="00463FB2">
        <w:fldChar w:fldCharType="begin"/>
      </w:r>
      <w:r w:rsidR="00463FB2">
        <w:instrText xml:space="preserve"> REF _Ref491177799 \h </w:instrText>
      </w:r>
      <w:r w:rsidR="00463FB2">
        <w:fldChar w:fldCharType="separate"/>
      </w:r>
      <w:r w:rsidR="00D806F2">
        <w:t xml:space="preserve">Table A1. </w:t>
      </w:r>
      <w:r w:rsidR="00D806F2">
        <w:rPr>
          <w:noProof/>
        </w:rPr>
        <w:t>6</w:t>
      </w:r>
      <w:r w:rsidR="00463FB2">
        <w:fldChar w:fldCharType="end"/>
      </w:r>
      <w:r w:rsidR="00463FB2">
        <w:t>)</w:t>
      </w:r>
      <w:r>
        <w:t>. This combination of low turbidity and high nutrient availability is consistent with the prevalence of macroalgae observed in the shallow depths at most reefs</w:t>
      </w:r>
      <w:r w:rsidR="00F94921">
        <w:t xml:space="preserve"> (</w:t>
      </w:r>
      <w:r w:rsidR="00463FB2">
        <w:fldChar w:fldCharType="begin"/>
      </w:r>
      <w:r w:rsidR="00463FB2">
        <w:instrText xml:space="preserve"> REF _Ref491267311 \h </w:instrText>
      </w:r>
      <w:r w:rsidR="00463FB2">
        <w:fldChar w:fldCharType="separate"/>
      </w:r>
      <w:r w:rsidR="00D806F2">
        <w:t xml:space="preserve">Figure </w:t>
      </w:r>
      <w:r w:rsidR="00D806F2">
        <w:rPr>
          <w:noProof/>
        </w:rPr>
        <w:t>17</w:t>
      </w:r>
      <w:r w:rsidR="00463FB2">
        <w:fldChar w:fldCharType="end"/>
      </w:r>
      <w:r w:rsidR="00F94921">
        <w:t>c)</w:t>
      </w:r>
    </w:p>
    <w:p w14:paraId="11EA9071" w14:textId="0333493C" w:rsidR="00D64814" w:rsidRPr="00F439FB" w:rsidRDefault="005C5749" w:rsidP="00FB7FD7">
      <w:pPr>
        <w:keepNext/>
        <w:spacing w:before="5" w:after="0"/>
        <w:ind w:left="5" w:right="5"/>
        <w:jc w:val="center"/>
        <w:rPr>
          <w:color w:val="4F81BD" w:themeColor="accent1"/>
        </w:rPr>
      </w:pPr>
      <w:r>
        <w:rPr>
          <w:noProof/>
          <w:color w:val="4F81BD" w:themeColor="accent1"/>
          <w:lang w:val="en-AU" w:eastAsia="en-AU"/>
        </w:rPr>
        <w:drawing>
          <wp:inline distT="0" distB="0" distL="0" distR="0" wp14:anchorId="65B7D451" wp14:editId="6E2086BB">
            <wp:extent cx="6120765" cy="6591300"/>
            <wp:effectExtent l="0" t="0" r="0" b="0"/>
            <wp:docPr id="25" name="Picture 25" descr="A panel of five plots. Plots a and b present maps of sampling locations with the sea areas colour by a, mean Chl concentration and b, mean total suspended solids concentration. Plot c presents daily deviations from seasonal temperature profiles, includes markers for cyclones and annual degree heating estimates for the region. Plot d presents daily discharge from the regions rivers since 2005 along with annual total discharge relative to a 1986-2016 baseline median. Plot e presents the regional loss of coral observed in each year and identified the cause." title="Figure 16 Herbert Tully sub-region environmental press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Env_Tully.pn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6120765" cy="6591300"/>
                    </a:xfrm>
                    <a:prstGeom prst="rect">
                      <a:avLst/>
                    </a:prstGeom>
                  </pic:spPr>
                </pic:pic>
              </a:graphicData>
            </a:graphic>
          </wp:inline>
        </w:drawing>
      </w:r>
    </w:p>
    <w:p w14:paraId="11EA9072" w14:textId="5F68C101" w:rsidR="00D64814" w:rsidRPr="00F439FB" w:rsidRDefault="007A50AB" w:rsidP="007A50AB">
      <w:pPr>
        <w:pStyle w:val="Caption"/>
        <w:rPr>
          <w:rStyle w:val="IntenseReference"/>
          <w:rFonts w:eastAsia="SimSun"/>
          <w:vanish/>
          <w:color w:val="4F81BD" w:themeColor="accent1"/>
        </w:rPr>
      </w:pPr>
      <w:bookmarkStart w:id="202" w:name="_Ref491267352"/>
      <w:bookmarkStart w:id="203" w:name="_Ref438120434"/>
      <w:bookmarkStart w:id="204" w:name="_Toc437423853"/>
      <w:bookmarkStart w:id="205" w:name="_Toc437424032"/>
      <w:bookmarkStart w:id="206" w:name="_Toc437424300"/>
      <w:bookmarkStart w:id="207" w:name="_Toc437597633"/>
      <w:bookmarkStart w:id="208" w:name="_Toc491846842"/>
      <w:r>
        <w:t xml:space="preserve">Figure </w:t>
      </w:r>
      <w:r>
        <w:fldChar w:fldCharType="begin"/>
      </w:r>
      <w:r>
        <w:instrText xml:space="preserve"> SEQ Figure \* ARABIC </w:instrText>
      </w:r>
      <w:r>
        <w:fldChar w:fldCharType="separate"/>
      </w:r>
      <w:r w:rsidR="00D806F2">
        <w:rPr>
          <w:noProof/>
        </w:rPr>
        <w:t>16</w:t>
      </w:r>
      <w:r>
        <w:fldChar w:fldCharType="end"/>
      </w:r>
      <w:bookmarkEnd w:id="202"/>
      <w:r>
        <w:t xml:space="preserve"> </w:t>
      </w:r>
      <w:r w:rsidRPr="006E6E69">
        <w:t xml:space="preserve">Herbert Tully sub-region environmental </w:t>
      </w:r>
      <w:r w:rsidR="009D02B0">
        <w:t>pressures</w:t>
      </w:r>
      <w:r w:rsidRPr="006E6E69">
        <w:t>.</w:t>
      </w:r>
      <w:bookmarkEnd w:id="203"/>
      <w:bookmarkEnd w:id="204"/>
      <w:bookmarkEnd w:id="205"/>
      <w:bookmarkEnd w:id="206"/>
      <w:bookmarkEnd w:id="207"/>
      <w:bookmarkEnd w:id="208"/>
      <w:r w:rsidR="00EA753F" w:rsidRPr="00F439FB">
        <w:rPr>
          <w:rStyle w:val="IntenseReference"/>
          <w:rFonts w:eastAsia="SimSun"/>
          <w:color w:val="4F81BD" w:themeColor="accent1"/>
        </w:rPr>
        <w:t xml:space="preserve"> </w:t>
      </w:r>
    </w:p>
    <w:p w14:paraId="11EA9073" w14:textId="5681BDBB" w:rsidR="001C36F4" w:rsidRDefault="001C36F4" w:rsidP="00F872DF">
      <w:pPr>
        <w:pStyle w:val="Caption"/>
        <w:rPr>
          <w:rStyle w:val="IntenseReference"/>
          <w:rFonts w:eastAsia="SimSun"/>
        </w:rPr>
      </w:pPr>
      <w:r w:rsidRPr="001C36F4">
        <w:rPr>
          <w:rStyle w:val="IntenseReference"/>
          <w:rFonts w:eastAsia="SimSun"/>
        </w:rPr>
        <w:t>Maps show location of monitoring sites, red symbols MMP, yellow s</w:t>
      </w:r>
      <w:r w:rsidR="00663F7B">
        <w:rPr>
          <w:rStyle w:val="IntenseReference"/>
          <w:rFonts w:eastAsia="SimSun"/>
        </w:rPr>
        <w:t>ymbols LTMP along with a) mean c</w:t>
      </w:r>
      <w:r w:rsidRPr="001C36F4">
        <w:rPr>
          <w:rStyle w:val="IntenseReference"/>
          <w:rFonts w:eastAsia="SimSun"/>
        </w:rPr>
        <w:t xml:space="preserve">hlorophyll </w:t>
      </w:r>
      <w:r w:rsidR="00663F7B" w:rsidRPr="00663F7B">
        <w:rPr>
          <w:rStyle w:val="IntenseReference"/>
          <w:rFonts w:eastAsia="SimSun"/>
          <w:i/>
        </w:rPr>
        <w:t>a</w:t>
      </w:r>
      <w:r w:rsidR="00663F7B">
        <w:rPr>
          <w:rStyle w:val="IntenseReference"/>
          <w:rFonts w:eastAsia="SimSun"/>
        </w:rPr>
        <w:t xml:space="preserve"> </w:t>
      </w:r>
      <w:r w:rsidRPr="001C36F4">
        <w:rPr>
          <w:rStyle w:val="IntenseReference"/>
          <w:rFonts w:eastAsia="SimSun"/>
        </w:rPr>
        <w:t xml:space="preserve">concentration and b) mean Non algal particulate concentrations. Water quality data are mean levels over the period 2003-2016. c) Seasonally adjusted temperature deviation, timing of cyclones and storms indicated by black arrows, accumulated degree heating days over the summer period (1st of December - 31st March) indicated by black symbols d) Combined daily (blue) and annual (red) discharge for the </w:t>
      </w:r>
      <w:r w:rsidR="001E1E73">
        <w:rPr>
          <w:rStyle w:val="IntenseReference"/>
          <w:rFonts w:eastAsia="SimSun"/>
        </w:rPr>
        <w:t>Herbert, Murray and T</w:t>
      </w:r>
      <w:r w:rsidR="00E229DD">
        <w:rPr>
          <w:rStyle w:val="IntenseReference"/>
          <w:rFonts w:eastAsia="SimSun"/>
        </w:rPr>
        <w:t xml:space="preserve">ully </w:t>
      </w:r>
      <w:r w:rsidRPr="001C36F4">
        <w:rPr>
          <w:rStyle w:val="IntenseReference"/>
          <w:rFonts w:eastAsia="SimSun"/>
        </w:rPr>
        <w:t>rivers, red dashed line represents long-term median discharge (1986-2016). e) break-down of hard coral cover loss by disturbance type; length of bars represent the mean loss of cover across all reefs (see methods section for further detail).</w:t>
      </w:r>
    </w:p>
    <w:p w14:paraId="453C89F3" w14:textId="29D15678" w:rsidR="00BE20D6" w:rsidRPr="00260BBC" w:rsidRDefault="00BE20D6" w:rsidP="00BE20D6">
      <w:r>
        <w:t xml:space="preserve">The result of relatively low discharge in recent years may explain concentrations of Chl-a, </w:t>
      </w:r>
      <w:r w:rsidRPr="00260BBC">
        <w:t xml:space="preserve">TSS, </w:t>
      </w:r>
      <w:r>
        <w:t xml:space="preserve">and </w:t>
      </w:r>
      <w:r w:rsidRPr="00260BBC">
        <w:t>nitrogen oxides</w:t>
      </w:r>
      <w:r>
        <w:t xml:space="preserve"> dipping below guideline values in 2016 (</w:t>
      </w:r>
      <w:r>
        <w:fldChar w:fldCharType="begin"/>
      </w:r>
      <w:r>
        <w:instrText xml:space="preserve"> REF _Ref491181369 \h </w:instrText>
      </w:r>
      <w:r>
        <w:fldChar w:fldCharType="separate"/>
      </w:r>
      <w:r w:rsidR="00D806F2">
        <w:t xml:space="preserve">Figure </w:t>
      </w:r>
      <w:r w:rsidR="00D806F2">
        <w:rPr>
          <w:noProof/>
        </w:rPr>
        <w:t>15</w:t>
      </w:r>
      <w:r>
        <w:fldChar w:fldCharType="end"/>
      </w:r>
      <w:r>
        <w:t xml:space="preserve">d, </w:t>
      </w:r>
      <w:r>
        <w:fldChar w:fldCharType="begin"/>
      </w:r>
      <w:r>
        <w:instrText xml:space="preserve"> REF _Ref491267352 \h </w:instrText>
      </w:r>
      <w:r>
        <w:fldChar w:fldCharType="separate"/>
      </w:r>
      <w:r w:rsidR="00D806F2">
        <w:t xml:space="preserve">Figure </w:t>
      </w:r>
      <w:r w:rsidR="00D806F2">
        <w:rPr>
          <w:noProof/>
        </w:rPr>
        <w:t>16</w:t>
      </w:r>
      <w:r>
        <w:fldChar w:fldCharType="end"/>
      </w:r>
      <w:r>
        <w:t xml:space="preserve">g, h, </w:t>
      </w:r>
      <w:r w:rsidR="00BE6021">
        <w:fldChar w:fldCharType="begin"/>
      </w:r>
      <w:r w:rsidR="00BE6021">
        <w:instrText xml:space="preserve"> REF _Ref491268850 \h </w:instrText>
      </w:r>
      <w:r w:rsidR="00BE6021">
        <w:fldChar w:fldCharType="separate"/>
      </w:r>
      <w:r w:rsidR="00D806F2">
        <w:t xml:space="preserve">Figure A1. </w:t>
      </w:r>
      <w:r w:rsidR="00D806F2">
        <w:rPr>
          <w:noProof/>
        </w:rPr>
        <w:t>11</w:t>
      </w:r>
      <w:r w:rsidR="00BE6021">
        <w:fldChar w:fldCharType="end"/>
      </w:r>
      <w:r>
        <w:t>,</w:t>
      </w:r>
      <w:r w:rsidR="00E75F5C">
        <w:t xml:space="preserve"> </w:t>
      </w:r>
      <w:r>
        <w:t xml:space="preserve">Waterhouse </w:t>
      </w:r>
      <w:r w:rsidRPr="00463FB2">
        <w:rPr>
          <w:i/>
        </w:rPr>
        <w:t>et al.</w:t>
      </w:r>
      <w:r>
        <w:t xml:space="preserve"> 2017)</w:t>
      </w:r>
      <w:r w:rsidRPr="00260BBC">
        <w:t>.</w:t>
      </w:r>
      <w:r>
        <w:t xml:space="preserve"> The in-situ monitoring of both Chl </w:t>
      </w:r>
      <w:r w:rsidRPr="00463FB2">
        <w:rPr>
          <w:i/>
        </w:rPr>
        <w:t>a</w:t>
      </w:r>
      <w:r>
        <w:t xml:space="preserve"> and Turbidity, however, do not show similar declines (</w:t>
      </w:r>
      <w:r>
        <w:fldChar w:fldCharType="begin"/>
      </w:r>
      <w:r>
        <w:instrText xml:space="preserve"> REF _Ref491267311 \h </w:instrText>
      </w:r>
      <w:r>
        <w:fldChar w:fldCharType="separate"/>
      </w:r>
      <w:r w:rsidR="00D806F2">
        <w:t xml:space="preserve">Figure </w:t>
      </w:r>
      <w:r w:rsidR="00D806F2">
        <w:rPr>
          <w:noProof/>
        </w:rPr>
        <w:t>17</w:t>
      </w:r>
      <w:r>
        <w:fldChar w:fldCharType="end"/>
      </w:r>
      <w:r>
        <w:t xml:space="preserve">g, h), reducing evidence for a clear response to </w:t>
      </w:r>
      <w:r w:rsidR="0042623E">
        <w:t>run-off</w:t>
      </w:r>
      <w:r>
        <w:t>.</w:t>
      </w:r>
      <w:r w:rsidR="00E75F5C">
        <w:t xml:space="preserve"> </w:t>
      </w:r>
    </w:p>
    <w:p w14:paraId="11EA9077" w14:textId="4429AE64" w:rsidR="00D64814" w:rsidRPr="00F439FB" w:rsidRDefault="001C3EFB" w:rsidP="000C6FCB">
      <w:pPr>
        <w:rPr>
          <w:color w:val="4F81BD" w:themeColor="accent1"/>
        </w:rPr>
      </w:pPr>
      <w:r>
        <w:rPr>
          <w:noProof/>
          <w:color w:val="4F81BD" w:themeColor="accent1"/>
          <w:lang w:val="en-AU" w:eastAsia="en-AU"/>
        </w:rPr>
        <w:drawing>
          <wp:inline distT="0" distB="0" distL="0" distR="0" wp14:anchorId="0E140ECB" wp14:editId="63F80492">
            <wp:extent cx="6120765" cy="7138035"/>
            <wp:effectExtent l="0" t="0" r="0" b="5715"/>
            <wp:docPr id="6" name="Picture 6" descr="A panel of eight plots showing trends in coral index scores, coral cover, macroalgae proportion, juvenile density, coral change, coral composition, chlorophyll a and turbidity" title="Figure 17 Herbert Tully sub-region index and indicator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ully_plots.pn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6120765" cy="7138035"/>
                    </a:xfrm>
                    <a:prstGeom prst="rect">
                      <a:avLst/>
                    </a:prstGeom>
                  </pic:spPr>
                </pic:pic>
              </a:graphicData>
            </a:graphic>
          </wp:inline>
        </w:drawing>
      </w:r>
    </w:p>
    <w:p w14:paraId="521223B1" w14:textId="44E681CB" w:rsidR="007A50AB" w:rsidRPr="001A3582" w:rsidRDefault="007A50AB" w:rsidP="007A50AB">
      <w:pPr>
        <w:pStyle w:val="Caption"/>
        <w:rPr>
          <w:vanish/>
        </w:rPr>
      </w:pPr>
      <w:bookmarkStart w:id="209" w:name="_Ref491267311"/>
      <w:bookmarkStart w:id="210" w:name="_Ref438120452"/>
      <w:bookmarkStart w:id="211" w:name="_Toc437423854"/>
      <w:bookmarkStart w:id="212" w:name="_Toc437424033"/>
      <w:bookmarkStart w:id="213" w:name="_Toc437424302"/>
      <w:bookmarkStart w:id="214" w:name="_Toc437597635"/>
      <w:bookmarkStart w:id="215" w:name="_Toc491846843"/>
      <w:r>
        <w:t xml:space="preserve">Figure </w:t>
      </w:r>
      <w:r>
        <w:fldChar w:fldCharType="begin"/>
      </w:r>
      <w:r>
        <w:instrText xml:space="preserve"> SEQ Figure \* ARABIC </w:instrText>
      </w:r>
      <w:r>
        <w:fldChar w:fldCharType="separate"/>
      </w:r>
      <w:r w:rsidR="00D806F2">
        <w:rPr>
          <w:noProof/>
        </w:rPr>
        <w:t>17</w:t>
      </w:r>
      <w:r>
        <w:fldChar w:fldCharType="end"/>
      </w:r>
      <w:bookmarkEnd w:id="209"/>
      <w:r>
        <w:t xml:space="preserve"> </w:t>
      </w:r>
      <w:r w:rsidRPr="00F67A5B">
        <w:t>Herbert Tully sub-region</w:t>
      </w:r>
      <w:r w:rsidR="00A416E6">
        <w:t xml:space="preserve"> index and indicator trends</w:t>
      </w:r>
      <w:r w:rsidRPr="00F67A5B">
        <w:t>.</w:t>
      </w:r>
      <w:bookmarkEnd w:id="210"/>
      <w:bookmarkEnd w:id="211"/>
      <w:bookmarkEnd w:id="212"/>
      <w:bookmarkEnd w:id="213"/>
      <w:bookmarkEnd w:id="214"/>
      <w:r w:rsidRPr="001A3582">
        <w:t xml:space="preserve"> </w:t>
      </w:r>
      <w:r>
        <w:t>a)</w:t>
      </w:r>
      <w:bookmarkEnd w:id="215"/>
      <w:r>
        <w:t xml:space="preserve"> </w:t>
      </w:r>
    </w:p>
    <w:p w14:paraId="1CF02694" w14:textId="77777777" w:rsidR="007A50AB" w:rsidRPr="001A3582" w:rsidRDefault="007A50AB" w:rsidP="007A50AB">
      <w:pPr>
        <w:pStyle w:val="Caption"/>
        <w:rPr>
          <w:rStyle w:val="IntenseReference"/>
          <w:rFonts w:eastAsia="SimSun"/>
          <w:color w:val="auto"/>
        </w:rPr>
      </w:pPr>
      <w:r w:rsidRPr="001A3582">
        <w:rPr>
          <w:rStyle w:val="IntenseReference"/>
          <w:rFonts w:eastAsia="SimSun"/>
          <w:color w:val="auto"/>
        </w:rPr>
        <w:t>Coral index</w:t>
      </w:r>
      <w:r>
        <w:rPr>
          <w:rStyle w:val="IntenseReference"/>
          <w:rFonts w:eastAsia="SimSun"/>
          <w:color w:val="auto"/>
        </w:rPr>
        <w:t>,</w:t>
      </w:r>
      <w:r w:rsidRPr="001A3582">
        <w:rPr>
          <w:rStyle w:val="IntenseReference"/>
          <w:rFonts w:eastAsia="SimSun"/>
          <w:color w:val="auto"/>
        </w:rPr>
        <w:t xml:space="preserve"> colour coding: dark green- ‘very good’; light green-‘good’; yellow – ‘moderate; orange – ‘poor’; red – ‘very poor’. </w:t>
      </w:r>
      <w:r>
        <w:rPr>
          <w:rStyle w:val="IntenseReference"/>
          <w:rFonts w:eastAsia="SimSun"/>
          <w:color w:val="auto"/>
        </w:rPr>
        <w:t xml:space="preserve">b – </w:t>
      </w:r>
      <w:r w:rsidRPr="001A3582">
        <w:rPr>
          <w:rStyle w:val="IntenseReference"/>
          <w:rFonts w:eastAsia="SimSun"/>
          <w:color w:val="auto"/>
        </w:rPr>
        <w:t>f</w:t>
      </w:r>
      <w:r>
        <w:rPr>
          <w:rStyle w:val="IntenseReference"/>
          <w:rFonts w:eastAsia="SimSun"/>
          <w:color w:val="auto"/>
        </w:rPr>
        <w:t>) trends in individual indicators, (</w:t>
      </w:r>
      <w:r w:rsidRPr="001A3582">
        <w:rPr>
          <w:rStyle w:val="IntenseReference"/>
          <w:rFonts w:eastAsia="SimSun"/>
          <w:color w:val="auto"/>
        </w:rPr>
        <w:t>blue lines</w:t>
      </w:r>
      <w:r>
        <w:rPr>
          <w:rStyle w:val="IntenseReference"/>
          <w:rFonts w:eastAsia="SimSun"/>
          <w:color w:val="auto"/>
        </w:rPr>
        <w:t xml:space="preserve">) bound by </w:t>
      </w:r>
      <w:r w:rsidRPr="001A3582">
        <w:rPr>
          <w:rStyle w:val="IntenseReference"/>
          <w:rFonts w:eastAsia="SimSun"/>
          <w:color w:val="auto"/>
        </w:rPr>
        <w:t>95% confidence intervals of those trends</w:t>
      </w:r>
      <w:r>
        <w:rPr>
          <w:rStyle w:val="IntenseReference"/>
          <w:rFonts w:eastAsia="SimSun"/>
          <w:color w:val="auto"/>
        </w:rPr>
        <w:t xml:space="preserve"> (shading)</w:t>
      </w:r>
      <w:r w:rsidRPr="001A3582">
        <w:rPr>
          <w:rStyle w:val="IntenseReference"/>
          <w:rFonts w:eastAsia="SimSun"/>
          <w:color w:val="auto"/>
        </w:rPr>
        <w:t xml:space="preserve">, grey lines represent observed profiles </w:t>
      </w:r>
      <w:r>
        <w:rPr>
          <w:rStyle w:val="IntenseReference"/>
          <w:rFonts w:eastAsia="SimSun"/>
          <w:color w:val="auto"/>
        </w:rPr>
        <w:t>at 5 m (dashed) and 2 m (solid) depths</w:t>
      </w:r>
      <w:r w:rsidRPr="001A3582">
        <w:rPr>
          <w:rStyle w:val="IntenseReference"/>
          <w:rFonts w:eastAsia="SimSun"/>
          <w:color w:val="auto"/>
        </w:rPr>
        <w:t xml:space="preserve"> </w:t>
      </w:r>
      <w:r>
        <w:rPr>
          <w:rStyle w:val="IntenseReference"/>
          <w:rFonts w:eastAsia="SimSun"/>
          <w:color w:val="auto"/>
        </w:rPr>
        <w:t>for</w:t>
      </w:r>
      <w:r w:rsidRPr="001A3582">
        <w:rPr>
          <w:rStyle w:val="IntenseReference"/>
          <w:rFonts w:eastAsia="SimSun"/>
          <w:color w:val="auto"/>
        </w:rPr>
        <w:t xml:space="preserve"> individual reefs</w:t>
      </w:r>
      <w:r>
        <w:rPr>
          <w:rStyle w:val="IntenseReference"/>
          <w:rFonts w:eastAsia="SimSun"/>
          <w:color w:val="auto"/>
        </w:rPr>
        <w:t>,</w:t>
      </w:r>
      <w:r w:rsidRPr="001A3582">
        <w:rPr>
          <w:rStyle w:val="IntenseReference"/>
          <w:rFonts w:eastAsia="SimSun"/>
          <w:color w:val="auto"/>
        </w:rPr>
        <w:t xml:space="preserve"> </w:t>
      </w:r>
      <w:r>
        <w:rPr>
          <w:rStyle w:val="IntenseReference"/>
          <w:rFonts w:eastAsia="SimSun"/>
          <w:color w:val="auto"/>
        </w:rPr>
        <w:t>g) trend</w:t>
      </w:r>
      <w:r w:rsidRPr="001A3582">
        <w:rPr>
          <w:rStyle w:val="IntenseReference"/>
          <w:rFonts w:eastAsia="SimSun"/>
          <w:color w:val="auto"/>
        </w:rPr>
        <w:t xml:space="preserve"> in chlorophyll </w:t>
      </w:r>
      <w:r w:rsidRPr="00663F7B">
        <w:rPr>
          <w:rStyle w:val="IntenseReference"/>
          <w:rFonts w:eastAsia="SimSun"/>
          <w:i/>
          <w:color w:val="auto"/>
        </w:rPr>
        <w:t>a</w:t>
      </w:r>
      <w:r w:rsidRPr="001A3582">
        <w:rPr>
          <w:rStyle w:val="IntenseReference"/>
          <w:rFonts w:eastAsia="SimSun"/>
          <w:color w:val="auto"/>
        </w:rPr>
        <w:t xml:space="preserve"> </w:t>
      </w:r>
      <w:r>
        <w:rPr>
          <w:rStyle w:val="IntenseReference"/>
          <w:rFonts w:eastAsia="SimSun"/>
          <w:color w:val="auto"/>
        </w:rPr>
        <w:t xml:space="preserve">and, h) total suspended solids, shading </w:t>
      </w:r>
      <w:r w:rsidRPr="001A3582">
        <w:rPr>
          <w:rStyle w:val="IntenseReference"/>
          <w:rFonts w:eastAsia="SimSun"/>
          <w:color w:val="auto"/>
        </w:rPr>
        <w:t>defin</w:t>
      </w:r>
      <w:r>
        <w:rPr>
          <w:rStyle w:val="IntenseReference"/>
          <w:rFonts w:eastAsia="SimSun"/>
          <w:color w:val="auto"/>
        </w:rPr>
        <w:t>es</w:t>
      </w:r>
      <w:r w:rsidRPr="001A3582">
        <w:rPr>
          <w:rStyle w:val="IntenseReference"/>
          <w:rFonts w:eastAsia="SimSun"/>
          <w:color w:val="auto"/>
        </w:rPr>
        <w:t xml:space="preserve"> 95% confidence intervals of </w:t>
      </w:r>
      <w:r>
        <w:rPr>
          <w:rStyle w:val="IntenseReference"/>
          <w:rFonts w:eastAsia="SimSun"/>
          <w:color w:val="auto"/>
        </w:rPr>
        <w:t>water quality t</w:t>
      </w:r>
      <w:r w:rsidRPr="001A3582">
        <w:rPr>
          <w:rStyle w:val="IntenseReference"/>
          <w:rFonts w:eastAsia="SimSun"/>
          <w:color w:val="auto"/>
        </w:rPr>
        <w:t>rends</w:t>
      </w:r>
      <w:r>
        <w:rPr>
          <w:rStyle w:val="IntenseReference"/>
          <w:rFonts w:eastAsia="SimSun"/>
          <w:color w:val="auto"/>
        </w:rPr>
        <w:t xml:space="preserve"> for hand sampled data (blue) or estimates derived from </w:t>
      </w:r>
      <w:r w:rsidRPr="001A3582">
        <w:rPr>
          <w:rStyle w:val="IntenseReference"/>
          <w:rFonts w:eastAsiaTheme="minorHAnsi"/>
          <w:color w:val="auto"/>
        </w:rPr>
        <w:t>ECO FLNTUSB instruments</w:t>
      </w:r>
      <w:r>
        <w:rPr>
          <w:rStyle w:val="IntenseReference"/>
          <w:rFonts w:eastAsiaTheme="minorHAnsi"/>
          <w:color w:val="auto"/>
        </w:rPr>
        <w:t xml:space="preserve"> (red)</w:t>
      </w:r>
      <w:r w:rsidRPr="001A3582">
        <w:rPr>
          <w:rStyle w:val="IntenseReference"/>
          <w:rFonts w:eastAsia="SimSun"/>
          <w:color w:val="auto"/>
        </w:rPr>
        <w:t>, black dots represent observed data. Dashed reference lines indicate GBRMPA (2010) guideline values.</w:t>
      </w:r>
    </w:p>
    <w:p w14:paraId="366EB6F8" w14:textId="140655B1" w:rsidR="007A50AB" w:rsidRPr="001A3582" w:rsidRDefault="007A50AB" w:rsidP="007A50AB">
      <w:pPr>
        <w:pStyle w:val="Caption"/>
        <w:rPr>
          <w:rStyle w:val="IntenseReference"/>
          <w:rFonts w:eastAsia="SimSun"/>
          <w:color w:val="auto"/>
        </w:rPr>
      </w:pPr>
      <w:r w:rsidRPr="001A3582">
        <w:rPr>
          <w:rStyle w:val="IntenseReference"/>
          <w:rFonts w:eastAsia="SimSun"/>
          <w:color w:val="auto"/>
        </w:rPr>
        <w:t>.</w:t>
      </w:r>
    </w:p>
    <w:p w14:paraId="11EA907A" w14:textId="71558EA8" w:rsidR="00B36605" w:rsidRDefault="00260BBC" w:rsidP="007A50AB">
      <w:pPr>
        <w:pStyle w:val="Caption"/>
      </w:pPr>
      <w:r>
        <w:br w:type="page"/>
      </w:r>
    </w:p>
    <w:p w14:paraId="11EA907B" w14:textId="46E4E088" w:rsidR="002A5249" w:rsidRPr="003C0562" w:rsidRDefault="00F352CD" w:rsidP="00B9528B">
      <w:pPr>
        <w:pStyle w:val="Heading3"/>
      </w:pPr>
      <w:bookmarkStart w:id="216" w:name="_Toc437424409"/>
      <w:bookmarkStart w:id="217" w:name="_Toc437424533"/>
      <w:bookmarkStart w:id="218" w:name="_Toc437432464"/>
      <w:bookmarkStart w:id="219" w:name="_Toc437432537"/>
      <w:bookmarkStart w:id="220" w:name="_Toc493153331"/>
      <w:r w:rsidRPr="003C0562">
        <w:t>5</w:t>
      </w:r>
      <w:r w:rsidR="002A28EE" w:rsidRPr="003C0562">
        <w:t>.</w:t>
      </w:r>
      <w:r w:rsidR="00BD49B5">
        <w:t>2.4</w:t>
      </w:r>
      <w:r w:rsidR="00A803D4">
        <w:t xml:space="preserve"> </w:t>
      </w:r>
      <w:r w:rsidR="002A5249" w:rsidRPr="003C0562">
        <w:t>Burdekin Region</w:t>
      </w:r>
      <w:bookmarkEnd w:id="216"/>
      <w:bookmarkEnd w:id="217"/>
      <w:bookmarkEnd w:id="218"/>
      <w:bookmarkEnd w:id="219"/>
      <w:bookmarkEnd w:id="220"/>
    </w:p>
    <w:p w14:paraId="549D97C7" w14:textId="1222F985" w:rsidR="00D534C4" w:rsidRDefault="007C2A1D" w:rsidP="00406BD7">
      <w:r>
        <w:t>From 201</w:t>
      </w:r>
      <w:r w:rsidR="002E5E8F">
        <w:t>2</w:t>
      </w:r>
      <w:r>
        <w:t xml:space="preserve"> </w:t>
      </w:r>
      <w:r w:rsidR="00AC39DF">
        <w:t xml:space="preserve">to 2016 </w:t>
      </w:r>
      <w:r>
        <w:t>the coral index consistently improved</w:t>
      </w:r>
      <w:r w:rsidR="00112F6D">
        <w:t>, reversing declines observed between 2009 and 2012</w:t>
      </w:r>
      <w:r>
        <w:t xml:space="preserve"> </w:t>
      </w:r>
      <w:r w:rsidR="00F94921">
        <w:t>(</w:t>
      </w:r>
      <w:r w:rsidR="002E5E8F">
        <w:fldChar w:fldCharType="begin"/>
      </w:r>
      <w:r w:rsidR="002E5E8F">
        <w:instrText xml:space="preserve"> REF _Ref491336568 \h </w:instrText>
      </w:r>
      <w:r w:rsidR="002E5E8F">
        <w:fldChar w:fldCharType="separate"/>
      </w:r>
      <w:r w:rsidR="00D806F2">
        <w:t xml:space="preserve">Table </w:t>
      </w:r>
      <w:r w:rsidR="00D806F2">
        <w:rPr>
          <w:noProof/>
        </w:rPr>
        <w:t>13</w:t>
      </w:r>
      <w:r w:rsidR="002E5E8F">
        <w:fldChar w:fldCharType="end"/>
      </w:r>
      <w:r w:rsidR="002E5E8F">
        <w:t xml:space="preserve">, </w:t>
      </w:r>
      <w:r w:rsidR="002E5E8F">
        <w:fldChar w:fldCharType="begin"/>
      </w:r>
      <w:r w:rsidR="002E5E8F">
        <w:instrText xml:space="preserve"> REF _Ref491336593 \h </w:instrText>
      </w:r>
      <w:r w:rsidR="002E5E8F">
        <w:fldChar w:fldCharType="separate"/>
      </w:r>
      <w:r w:rsidR="00D806F2">
        <w:t xml:space="preserve">Figure </w:t>
      </w:r>
      <w:r w:rsidR="00D806F2">
        <w:rPr>
          <w:noProof/>
        </w:rPr>
        <w:t>19</w:t>
      </w:r>
      <w:r w:rsidR="002E5E8F">
        <w:fldChar w:fldCharType="end"/>
      </w:r>
      <w:r w:rsidR="002E5E8F">
        <w:t>a</w:t>
      </w:r>
      <w:r w:rsidR="00F94921">
        <w:t>)</w:t>
      </w:r>
      <w:r>
        <w:t>.</w:t>
      </w:r>
      <w:r w:rsidR="00772538">
        <w:t xml:space="preserve"> The improvement in the index reflects consistent incr</w:t>
      </w:r>
      <w:r w:rsidR="000A0CE6">
        <w:t>ease in Coral C</w:t>
      </w:r>
      <w:r w:rsidR="00772538">
        <w:t>over at both 2 m and 5</w:t>
      </w:r>
      <w:r w:rsidR="000A0CE6">
        <w:t xml:space="preserve"> </w:t>
      </w:r>
      <w:r w:rsidR="00772538">
        <w:t>m depths</w:t>
      </w:r>
      <w:r w:rsidR="000A0CE6">
        <w:t xml:space="preserve">, </w:t>
      </w:r>
      <w:r w:rsidR="00772538">
        <w:t>an</w:t>
      </w:r>
      <w:r w:rsidR="002E5E8F">
        <w:t>d</w:t>
      </w:r>
      <w:r w:rsidR="00772538">
        <w:t xml:space="preserve"> improvement in the Cover Change and Juvenile metric scores at 5 m </w:t>
      </w:r>
      <w:r w:rsidR="008456E8">
        <w:t>only</w:t>
      </w:r>
      <w:r w:rsidR="00772538">
        <w:t xml:space="preserve"> (</w:t>
      </w:r>
      <w:r w:rsidR="002E5E8F">
        <w:fldChar w:fldCharType="begin"/>
      </w:r>
      <w:r w:rsidR="002E5E8F">
        <w:instrText xml:space="preserve"> REF _Ref491336568 \h </w:instrText>
      </w:r>
      <w:r w:rsidR="002E5E8F">
        <w:fldChar w:fldCharType="separate"/>
      </w:r>
      <w:r w:rsidR="00D806F2">
        <w:t xml:space="preserve">Table </w:t>
      </w:r>
      <w:r w:rsidR="00D806F2">
        <w:rPr>
          <w:noProof/>
        </w:rPr>
        <w:t>13</w:t>
      </w:r>
      <w:r w:rsidR="002E5E8F">
        <w:fldChar w:fldCharType="end"/>
      </w:r>
      <w:r w:rsidR="002E5E8F">
        <w:t xml:space="preserve">, </w:t>
      </w:r>
      <w:r w:rsidR="002E5E8F">
        <w:fldChar w:fldCharType="begin"/>
      </w:r>
      <w:r w:rsidR="002E5E8F">
        <w:instrText xml:space="preserve"> REF _Ref491336593 \h </w:instrText>
      </w:r>
      <w:r w:rsidR="002E5E8F">
        <w:fldChar w:fldCharType="separate"/>
      </w:r>
      <w:r w:rsidR="00D806F2">
        <w:t xml:space="preserve">Figure </w:t>
      </w:r>
      <w:r w:rsidR="00D806F2">
        <w:rPr>
          <w:noProof/>
        </w:rPr>
        <w:t>19</w:t>
      </w:r>
      <w:r w:rsidR="002E5E8F">
        <w:fldChar w:fldCharType="end"/>
      </w:r>
      <w:r w:rsidR="002E5E8F">
        <w:t>d, e</w:t>
      </w:r>
      <w:r w:rsidR="00772538">
        <w:t xml:space="preserve">). A general improvement in the </w:t>
      </w:r>
      <w:r w:rsidR="006E3443">
        <w:t>Composition indicator (</w:t>
      </w:r>
      <w:r w:rsidR="002E5E8F">
        <w:fldChar w:fldCharType="begin"/>
      </w:r>
      <w:r w:rsidR="002E5E8F">
        <w:instrText xml:space="preserve"> REF _Ref491336568 \h </w:instrText>
      </w:r>
      <w:r w:rsidR="002E5E8F">
        <w:fldChar w:fldCharType="separate"/>
      </w:r>
      <w:r w:rsidR="00D806F2">
        <w:t xml:space="preserve">Table </w:t>
      </w:r>
      <w:r w:rsidR="00D806F2">
        <w:rPr>
          <w:noProof/>
        </w:rPr>
        <w:t>13</w:t>
      </w:r>
      <w:r w:rsidR="002E5E8F">
        <w:fldChar w:fldCharType="end"/>
      </w:r>
      <w:r w:rsidR="006E3443">
        <w:t xml:space="preserve">) indicates </w:t>
      </w:r>
      <w:r w:rsidR="006605C0">
        <w:t xml:space="preserve">that </w:t>
      </w:r>
      <w:r w:rsidR="006E3443">
        <w:t xml:space="preserve">cover increase includes recovery of taxa sensitive to poor water quality, in particular </w:t>
      </w:r>
      <w:r w:rsidR="006E3443" w:rsidRPr="00BE20D6">
        <w:t>Acroporidae (</w:t>
      </w:r>
      <w:r w:rsidR="00BE20D6">
        <w:fldChar w:fldCharType="begin"/>
      </w:r>
      <w:r w:rsidR="00BE20D6">
        <w:instrText xml:space="preserve"> REF _Ref492390160 \h </w:instrText>
      </w:r>
      <w:r w:rsidR="00BE20D6">
        <w:fldChar w:fldCharType="separate"/>
      </w:r>
      <w:r w:rsidR="00D806F2">
        <w:t xml:space="preserve">Figure A1. </w:t>
      </w:r>
      <w:r w:rsidR="00D806F2">
        <w:rPr>
          <w:noProof/>
        </w:rPr>
        <w:t>4</w:t>
      </w:r>
      <w:r w:rsidR="00BE20D6">
        <w:fldChar w:fldCharType="end"/>
      </w:r>
      <w:r w:rsidR="006E3443" w:rsidRPr="00BE20D6">
        <w:t>). The</w:t>
      </w:r>
      <w:r w:rsidR="006E3443">
        <w:t xml:space="preserve"> observed improvement in the coral index coincide</w:t>
      </w:r>
      <w:r w:rsidR="000A0CE6">
        <w:t>s</w:t>
      </w:r>
      <w:r w:rsidR="006E3443">
        <w:t xml:space="preserve"> with a period free from acute disturba</w:t>
      </w:r>
      <w:r w:rsidR="002E5E8F">
        <w:t>nces (</w:t>
      </w:r>
      <w:r w:rsidR="002E5E8F">
        <w:fldChar w:fldCharType="begin"/>
      </w:r>
      <w:r w:rsidR="002E5E8F">
        <w:instrText xml:space="preserve"> REF _Ref491336872 \h </w:instrText>
      </w:r>
      <w:r w:rsidR="002E5E8F">
        <w:fldChar w:fldCharType="separate"/>
      </w:r>
      <w:r w:rsidR="00D806F2">
        <w:t xml:space="preserve">Figure </w:t>
      </w:r>
      <w:r w:rsidR="00D806F2">
        <w:rPr>
          <w:noProof/>
        </w:rPr>
        <w:t>18</w:t>
      </w:r>
      <w:r w:rsidR="002E5E8F">
        <w:fldChar w:fldCharType="end"/>
      </w:r>
      <w:r w:rsidR="006E3443">
        <w:t xml:space="preserve">c, e) and below median discharge </w:t>
      </w:r>
      <w:r w:rsidR="002E5E8F">
        <w:t>from the regions rivers (</w:t>
      </w:r>
      <w:r w:rsidR="002E5E8F">
        <w:fldChar w:fldCharType="begin"/>
      </w:r>
      <w:r w:rsidR="002E5E8F">
        <w:instrText xml:space="preserve"> REF _Ref491336872 \h </w:instrText>
      </w:r>
      <w:r w:rsidR="002E5E8F">
        <w:fldChar w:fldCharType="separate"/>
      </w:r>
      <w:r w:rsidR="00D806F2">
        <w:t xml:space="preserve">Figure </w:t>
      </w:r>
      <w:r w:rsidR="00D806F2">
        <w:rPr>
          <w:noProof/>
        </w:rPr>
        <w:t>18</w:t>
      </w:r>
      <w:r w:rsidR="002E5E8F">
        <w:fldChar w:fldCharType="end"/>
      </w:r>
      <w:r w:rsidR="006E3443">
        <w:t xml:space="preserve">d). </w:t>
      </w:r>
      <w:r w:rsidR="00D534C4">
        <w:t xml:space="preserve">The only indicator not showing improved metric scores was Macroalgae </w:t>
      </w:r>
      <w:r w:rsidR="002E5E8F">
        <w:t>(</w:t>
      </w:r>
      <w:r w:rsidR="002E5E8F">
        <w:fldChar w:fldCharType="begin"/>
      </w:r>
      <w:r w:rsidR="002E5E8F">
        <w:instrText xml:space="preserve"> REF _Ref491336568 \h </w:instrText>
      </w:r>
      <w:r w:rsidR="002E5E8F">
        <w:fldChar w:fldCharType="separate"/>
      </w:r>
      <w:r w:rsidR="00D806F2">
        <w:t xml:space="preserve">Table </w:t>
      </w:r>
      <w:r w:rsidR="00D806F2">
        <w:rPr>
          <w:noProof/>
        </w:rPr>
        <w:t>13</w:t>
      </w:r>
      <w:r w:rsidR="002E5E8F">
        <w:fldChar w:fldCharType="end"/>
      </w:r>
      <w:r w:rsidR="002E5E8F">
        <w:t xml:space="preserve">, </w:t>
      </w:r>
      <w:r w:rsidR="002E5E8F">
        <w:fldChar w:fldCharType="begin"/>
      </w:r>
      <w:r w:rsidR="002E5E8F">
        <w:instrText xml:space="preserve"> REF _Ref491336593 \h </w:instrText>
      </w:r>
      <w:r w:rsidR="002E5E8F">
        <w:fldChar w:fldCharType="separate"/>
      </w:r>
      <w:r w:rsidR="00D806F2">
        <w:t xml:space="preserve">Figure </w:t>
      </w:r>
      <w:r w:rsidR="00D806F2">
        <w:rPr>
          <w:noProof/>
        </w:rPr>
        <w:t>19</w:t>
      </w:r>
      <w:r w:rsidR="002E5E8F">
        <w:fldChar w:fldCharType="end"/>
      </w:r>
      <w:r w:rsidR="00D534C4">
        <w:t xml:space="preserve">e). </w:t>
      </w:r>
      <w:r w:rsidR="002E5E8F">
        <w:t>T</w:t>
      </w:r>
      <w:r w:rsidR="00D534C4">
        <w:t xml:space="preserve">he proportional cover of macroalgae </w:t>
      </w:r>
      <w:r w:rsidR="002E5E8F">
        <w:t>has been variable</w:t>
      </w:r>
      <w:r w:rsidR="006605C0">
        <w:t xml:space="preserve">: </w:t>
      </w:r>
      <w:r w:rsidR="002E5E8F">
        <w:t xml:space="preserve">low points were recorded in </w:t>
      </w:r>
      <w:r w:rsidR="00D534C4">
        <w:t xml:space="preserve">2009, </w:t>
      </w:r>
      <w:r w:rsidR="002E5E8F">
        <w:t xml:space="preserve">the reason for this decline </w:t>
      </w:r>
      <w:r w:rsidR="00D534C4">
        <w:t>remain</w:t>
      </w:r>
      <w:r w:rsidR="002E5E8F">
        <w:t>s</w:t>
      </w:r>
      <w:r w:rsidR="00D534C4">
        <w:t xml:space="preserve"> unexplained, and </w:t>
      </w:r>
      <w:r w:rsidR="002E5E8F">
        <w:t xml:space="preserve">then again in 2011 following </w:t>
      </w:r>
      <w:r w:rsidR="00D534C4">
        <w:t>stripping of cover th</w:t>
      </w:r>
      <w:r w:rsidR="002E5E8F">
        <w:t>at occurred during Cyclone Yasi</w:t>
      </w:r>
      <w:r w:rsidR="000A0CE6">
        <w:t xml:space="preserve"> </w:t>
      </w:r>
      <w:r w:rsidR="00D534C4">
        <w:t>(</w:t>
      </w:r>
      <w:r w:rsidR="002E5E8F">
        <w:fldChar w:fldCharType="begin"/>
      </w:r>
      <w:r w:rsidR="002E5E8F">
        <w:instrText xml:space="preserve"> REF _Ref491336593 \h </w:instrText>
      </w:r>
      <w:r w:rsidR="002E5E8F">
        <w:fldChar w:fldCharType="separate"/>
      </w:r>
      <w:r w:rsidR="00D806F2">
        <w:t xml:space="preserve">Figure </w:t>
      </w:r>
      <w:r w:rsidR="00D806F2">
        <w:rPr>
          <w:noProof/>
        </w:rPr>
        <w:t>19</w:t>
      </w:r>
      <w:r w:rsidR="002E5E8F">
        <w:fldChar w:fldCharType="end"/>
      </w:r>
      <w:r w:rsidR="002E5E8F">
        <w:t>c</w:t>
      </w:r>
      <w:r w:rsidR="00D534C4">
        <w:t xml:space="preserve">). By 2012 macroalgae had re-established and, though variable among reefs, the proportional cover of macroalgae </w:t>
      </w:r>
      <w:r w:rsidR="002E5E8F">
        <w:t xml:space="preserve">regionally </w:t>
      </w:r>
      <w:r w:rsidR="00D534C4">
        <w:t>has remained consistent through to 2016 (</w:t>
      </w:r>
      <w:r w:rsidR="002E5E8F">
        <w:fldChar w:fldCharType="begin"/>
      </w:r>
      <w:r w:rsidR="002E5E8F">
        <w:instrText xml:space="preserve"> REF _Ref491336593 \h </w:instrText>
      </w:r>
      <w:r w:rsidR="002E5E8F">
        <w:fldChar w:fldCharType="separate"/>
      </w:r>
      <w:r w:rsidR="00D806F2">
        <w:t xml:space="preserve">Figure </w:t>
      </w:r>
      <w:r w:rsidR="00D806F2">
        <w:rPr>
          <w:noProof/>
        </w:rPr>
        <w:t>19</w:t>
      </w:r>
      <w:r w:rsidR="002E5E8F">
        <w:fldChar w:fldCharType="end"/>
      </w:r>
      <w:r w:rsidR="002E5E8F">
        <w:t>e</w:t>
      </w:r>
      <w:r w:rsidR="00D534C4">
        <w:t xml:space="preserve">). </w:t>
      </w:r>
    </w:p>
    <w:p w14:paraId="6A8CCCB2" w14:textId="591A8E34" w:rsidR="0000691A" w:rsidRDefault="007A50AB" w:rsidP="007A50AB">
      <w:pPr>
        <w:pStyle w:val="Caption"/>
      </w:pPr>
      <w:bookmarkStart w:id="221" w:name="_Ref491336568"/>
      <w:bookmarkStart w:id="222" w:name="_Toc491847032"/>
      <w:r>
        <w:t xml:space="preserve">Table </w:t>
      </w:r>
      <w:r>
        <w:fldChar w:fldCharType="begin"/>
      </w:r>
      <w:r>
        <w:instrText xml:space="preserve"> SEQ Table \* ARABIC </w:instrText>
      </w:r>
      <w:r>
        <w:fldChar w:fldCharType="separate"/>
      </w:r>
      <w:r w:rsidR="00D806F2">
        <w:rPr>
          <w:noProof/>
        </w:rPr>
        <w:t>13</w:t>
      </w:r>
      <w:r>
        <w:fldChar w:fldCharType="end"/>
      </w:r>
      <w:bookmarkEnd w:id="221"/>
      <w:r>
        <w:t xml:space="preserve"> </w:t>
      </w:r>
      <w:r w:rsidRPr="00AF1A8B">
        <w:t>Pair-wise comparison between index and metric scores in the Burdekin Region.</w:t>
      </w:r>
      <w:r w:rsidR="0000691A">
        <w:t xml:space="preserve"> Data compare the changes in scores between local maxima and minima in the index time-series. For the index, and each metric,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222"/>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4"/>
        <w:gridCol w:w="350"/>
        <w:gridCol w:w="625"/>
        <w:gridCol w:w="625"/>
        <w:gridCol w:w="625"/>
        <w:gridCol w:w="625"/>
        <w:gridCol w:w="625"/>
        <w:gridCol w:w="626"/>
        <w:gridCol w:w="625"/>
        <w:gridCol w:w="625"/>
        <w:gridCol w:w="625"/>
        <w:gridCol w:w="625"/>
        <w:gridCol w:w="625"/>
        <w:gridCol w:w="626"/>
      </w:tblGrid>
      <w:tr w:rsidR="00AC6C90" w:rsidRPr="000E340E" w14:paraId="60FE4A16" w14:textId="77777777" w:rsidTr="00437B1B">
        <w:trPr>
          <w:trHeight w:val="300"/>
        </w:trPr>
        <w:tc>
          <w:tcPr>
            <w:tcW w:w="1074" w:type="dxa"/>
            <w:vMerge w:val="restart"/>
            <w:shd w:val="clear" w:color="auto" w:fill="auto"/>
            <w:noWrap/>
            <w:tcMar>
              <w:left w:w="57" w:type="dxa"/>
              <w:right w:w="57" w:type="dxa"/>
            </w:tcMar>
            <w:vAlign w:val="bottom"/>
            <w:hideMark/>
          </w:tcPr>
          <w:p w14:paraId="690CF287" w14:textId="77777777" w:rsidR="00AC6C90" w:rsidRPr="000E340E" w:rsidRDefault="00AC6C90" w:rsidP="00437B1B">
            <w:pPr>
              <w:spacing w:after="0"/>
              <w:jc w:val="left"/>
              <w:rPr>
                <w:rFonts w:ascii="Arial Narrow" w:hAnsi="Arial Narrow"/>
                <w:sz w:val="20"/>
                <w:lang w:eastAsia="en-AU"/>
              </w:rPr>
            </w:pPr>
            <w:r w:rsidRPr="000E340E">
              <w:rPr>
                <w:rFonts w:ascii="Arial Narrow" w:hAnsi="Arial Narrow"/>
                <w:color w:val="000000"/>
                <w:sz w:val="20"/>
                <w:lang w:eastAsia="en-AU"/>
              </w:rPr>
              <w:t>Period</w:t>
            </w:r>
          </w:p>
        </w:tc>
        <w:tc>
          <w:tcPr>
            <w:tcW w:w="350" w:type="dxa"/>
            <w:vMerge w:val="restart"/>
            <w:shd w:val="clear" w:color="auto" w:fill="auto"/>
            <w:noWrap/>
            <w:tcMar>
              <w:left w:w="57" w:type="dxa"/>
              <w:right w:w="57" w:type="dxa"/>
            </w:tcMar>
            <w:textDirection w:val="btLr"/>
            <w:vAlign w:val="bottom"/>
            <w:hideMark/>
          </w:tcPr>
          <w:p w14:paraId="30C109D3" w14:textId="77777777" w:rsidR="00AC6C90" w:rsidRPr="000E340E" w:rsidRDefault="00AC6C90" w:rsidP="00437B1B">
            <w:pPr>
              <w:spacing w:after="0"/>
              <w:ind w:left="113" w:right="113"/>
              <w:jc w:val="center"/>
              <w:rPr>
                <w:rFonts w:ascii="Arial Narrow" w:hAnsi="Arial Narrow"/>
                <w:sz w:val="20"/>
                <w:lang w:eastAsia="en-AU"/>
              </w:rPr>
            </w:pPr>
            <w:r w:rsidRPr="000E340E">
              <w:rPr>
                <w:rFonts w:ascii="Arial Narrow" w:hAnsi="Arial Narrow"/>
                <w:color w:val="000000"/>
                <w:sz w:val="20"/>
                <w:lang w:eastAsia="en-AU"/>
              </w:rPr>
              <w:t>Depth</w:t>
            </w:r>
          </w:p>
        </w:tc>
        <w:tc>
          <w:tcPr>
            <w:tcW w:w="1250" w:type="dxa"/>
            <w:gridSpan w:val="2"/>
            <w:shd w:val="clear" w:color="auto" w:fill="auto"/>
            <w:noWrap/>
            <w:tcMar>
              <w:left w:w="57" w:type="dxa"/>
              <w:right w:w="57" w:type="dxa"/>
            </w:tcMar>
            <w:vAlign w:val="bottom"/>
            <w:hideMark/>
          </w:tcPr>
          <w:p w14:paraId="78A2A2E4" w14:textId="77777777" w:rsidR="00AC6C90" w:rsidRPr="000E340E" w:rsidRDefault="00AC6C90"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Index</w:t>
            </w:r>
          </w:p>
        </w:tc>
        <w:tc>
          <w:tcPr>
            <w:tcW w:w="1250" w:type="dxa"/>
            <w:gridSpan w:val="2"/>
            <w:shd w:val="clear" w:color="auto" w:fill="auto"/>
            <w:noWrap/>
            <w:tcMar>
              <w:left w:w="57" w:type="dxa"/>
              <w:right w:w="57" w:type="dxa"/>
            </w:tcMar>
            <w:vAlign w:val="bottom"/>
            <w:hideMark/>
          </w:tcPr>
          <w:p w14:paraId="124FEA5C" w14:textId="77777777" w:rsidR="00AC6C90" w:rsidRPr="000E340E" w:rsidRDefault="00AC6C90"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Cover Change</w:t>
            </w:r>
          </w:p>
        </w:tc>
        <w:tc>
          <w:tcPr>
            <w:tcW w:w="1251" w:type="dxa"/>
            <w:gridSpan w:val="2"/>
            <w:shd w:val="clear" w:color="auto" w:fill="auto"/>
            <w:noWrap/>
            <w:tcMar>
              <w:left w:w="57" w:type="dxa"/>
              <w:right w:w="57" w:type="dxa"/>
            </w:tcMar>
            <w:vAlign w:val="bottom"/>
            <w:hideMark/>
          </w:tcPr>
          <w:p w14:paraId="1EDE83B2" w14:textId="77777777" w:rsidR="00AC6C90" w:rsidRPr="000E340E" w:rsidRDefault="00AC6C90"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Composition</w:t>
            </w:r>
          </w:p>
        </w:tc>
        <w:tc>
          <w:tcPr>
            <w:tcW w:w="1250" w:type="dxa"/>
            <w:gridSpan w:val="2"/>
            <w:shd w:val="clear" w:color="auto" w:fill="auto"/>
            <w:noWrap/>
            <w:tcMar>
              <w:left w:w="57" w:type="dxa"/>
              <w:right w:w="57" w:type="dxa"/>
            </w:tcMar>
            <w:vAlign w:val="bottom"/>
            <w:hideMark/>
          </w:tcPr>
          <w:p w14:paraId="596F06F3" w14:textId="77777777" w:rsidR="00AC6C90" w:rsidRPr="000E340E" w:rsidRDefault="00AC6C90"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Coral Cover</w:t>
            </w:r>
          </w:p>
        </w:tc>
        <w:tc>
          <w:tcPr>
            <w:tcW w:w="1250" w:type="dxa"/>
            <w:gridSpan w:val="2"/>
            <w:shd w:val="clear" w:color="auto" w:fill="auto"/>
            <w:noWrap/>
            <w:tcMar>
              <w:left w:w="57" w:type="dxa"/>
              <w:right w:w="57" w:type="dxa"/>
            </w:tcMar>
            <w:vAlign w:val="bottom"/>
            <w:hideMark/>
          </w:tcPr>
          <w:p w14:paraId="136A7677" w14:textId="140AFB48" w:rsidR="00AC6C90" w:rsidRPr="000E340E" w:rsidRDefault="00C31328" w:rsidP="00C31328">
            <w:pPr>
              <w:spacing w:after="0"/>
              <w:jc w:val="center"/>
              <w:rPr>
                <w:rFonts w:ascii="Arial Narrow" w:hAnsi="Arial Narrow"/>
                <w:color w:val="000000"/>
                <w:sz w:val="20"/>
                <w:lang w:eastAsia="en-AU"/>
              </w:rPr>
            </w:pPr>
            <w:r>
              <w:rPr>
                <w:rFonts w:ascii="Arial Narrow" w:hAnsi="Arial Narrow"/>
                <w:color w:val="000000"/>
                <w:sz w:val="20"/>
                <w:lang w:eastAsia="en-AU"/>
              </w:rPr>
              <w:t>Juvenile</w:t>
            </w:r>
          </w:p>
        </w:tc>
        <w:tc>
          <w:tcPr>
            <w:tcW w:w="1251" w:type="dxa"/>
            <w:gridSpan w:val="2"/>
            <w:shd w:val="clear" w:color="auto" w:fill="auto"/>
            <w:noWrap/>
            <w:tcMar>
              <w:left w:w="57" w:type="dxa"/>
              <w:right w:w="57" w:type="dxa"/>
            </w:tcMar>
            <w:vAlign w:val="bottom"/>
            <w:hideMark/>
          </w:tcPr>
          <w:p w14:paraId="764F7311" w14:textId="77777777" w:rsidR="00AC6C90" w:rsidRPr="000E340E" w:rsidRDefault="00AC6C90"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Macroalgae</w:t>
            </w:r>
          </w:p>
        </w:tc>
      </w:tr>
      <w:tr w:rsidR="00AC6C90" w:rsidRPr="000E340E" w14:paraId="31FEDD15" w14:textId="77777777" w:rsidTr="00437B1B">
        <w:trPr>
          <w:trHeight w:val="520"/>
        </w:trPr>
        <w:tc>
          <w:tcPr>
            <w:tcW w:w="1074" w:type="dxa"/>
            <w:vMerge/>
            <w:shd w:val="clear" w:color="auto" w:fill="auto"/>
            <w:noWrap/>
            <w:tcMar>
              <w:left w:w="57" w:type="dxa"/>
              <w:right w:w="57" w:type="dxa"/>
            </w:tcMar>
            <w:vAlign w:val="bottom"/>
            <w:hideMark/>
          </w:tcPr>
          <w:p w14:paraId="166D1206" w14:textId="77777777" w:rsidR="00AC6C90" w:rsidRPr="000E340E" w:rsidRDefault="00AC6C90" w:rsidP="00437B1B">
            <w:pPr>
              <w:spacing w:after="0"/>
              <w:rPr>
                <w:rFonts w:ascii="Arial Narrow" w:hAnsi="Arial Narrow"/>
                <w:color w:val="000000"/>
                <w:sz w:val="20"/>
                <w:lang w:eastAsia="en-AU"/>
              </w:rPr>
            </w:pPr>
          </w:p>
        </w:tc>
        <w:tc>
          <w:tcPr>
            <w:tcW w:w="350" w:type="dxa"/>
            <w:vMerge/>
            <w:shd w:val="clear" w:color="auto" w:fill="auto"/>
            <w:noWrap/>
            <w:tcMar>
              <w:left w:w="57" w:type="dxa"/>
              <w:right w:w="57" w:type="dxa"/>
            </w:tcMar>
            <w:vAlign w:val="bottom"/>
            <w:hideMark/>
          </w:tcPr>
          <w:p w14:paraId="71593676" w14:textId="77777777" w:rsidR="00AC6C90" w:rsidRPr="000E340E" w:rsidRDefault="00AC6C90" w:rsidP="00437B1B">
            <w:pPr>
              <w:spacing w:after="0"/>
              <w:jc w:val="center"/>
              <w:rPr>
                <w:rFonts w:ascii="Arial Narrow" w:hAnsi="Arial Narrow"/>
                <w:color w:val="000000"/>
                <w:sz w:val="20"/>
                <w:lang w:eastAsia="en-AU"/>
              </w:rPr>
            </w:pPr>
          </w:p>
        </w:tc>
        <w:tc>
          <w:tcPr>
            <w:tcW w:w="625" w:type="dxa"/>
            <w:shd w:val="clear" w:color="auto" w:fill="auto"/>
            <w:noWrap/>
            <w:tcMar>
              <w:left w:w="57" w:type="dxa"/>
              <w:right w:w="57" w:type="dxa"/>
            </w:tcMar>
            <w:vAlign w:val="bottom"/>
            <w:hideMark/>
          </w:tcPr>
          <w:p w14:paraId="068B353F" w14:textId="77777777" w:rsidR="00AC6C90" w:rsidRPr="000E340E" w:rsidRDefault="00AC6C90"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2586666A" w14:textId="77777777" w:rsidR="00AC6C90" w:rsidRPr="000E340E" w:rsidRDefault="00AC6C90"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3013B0A6" w14:textId="77777777" w:rsidR="00AC6C90" w:rsidRPr="000E340E" w:rsidRDefault="00AC6C90"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7E6C965C" w14:textId="77777777" w:rsidR="00AC6C90" w:rsidRPr="000E340E" w:rsidRDefault="00AC6C90"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26D14142" w14:textId="77777777" w:rsidR="00AC6C90" w:rsidRPr="000E340E" w:rsidRDefault="00AC6C90"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6" w:type="dxa"/>
            <w:shd w:val="clear" w:color="auto" w:fill="auto"/>
            <w:noWrap/>
            <w:tcMar>
              <w:left w:w="57" w:type="dxa"/>
              <w:right w:w="57" w:type="dxa"/>
            </w:tcMar>
            <w:vAlign w:val="bottom"/>
            <w:hideMark/>
          </w:tcPr>
          <w:p w14:paraId="44C141F0" w14:textId="77777777" w:rsidR="00AC6C90" w:rsidRPr="000E340E" w:rsidRDefault="00AC6C90"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450B8089" w14:textId="77777777" w:rsidR="00AC6C90" w:rsidRPr="000E340E" w:rsidRDefault="00AC6C90"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654ED445" w14:textId="77777777" w:rsidR="00AC6C90" w:rsidRPr="000E340E" w:rsidRDefault="00AC6C90"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1C32465E" w14:textId="77777777" w:rsidR="00AC6C90" w:rsidRPr="000E340E" w:rsidRDefault="00AC6C90"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4FC23BD2" w14:textId="77777777" w:rsidR="00AC6C90" w:rsidRPr="000E340E" w:rsidRDefault="00AC6C90"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697DBF8D" w14:textId="77777777" w:rsidR="00AC6C90" w:rsidRPr="000E340E" w:rsidRDefault="00AC6C90"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6" w:type="dxa"/>
            <w:shd w:val="clear" w:color="auto" w:fill="auto"/>
            <w:noWrap/>
            <w:tcMar>
              <w:left w:w="57" w:type="dxa"/>
              <w:right w:w="57" w:type="dxa"/>
            </w:tcMar>
            <w:vAlign w:val="bottom"/>
            <w:hideMark/>
          </w:tcPr>
          <w:p w14:paraId="182A8361" w14:textId="77777777" w:rsidR="00AC6C90" w:rsidRPr="000E340E" w:rsidRDefault="00AC6C90"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r>
      <w:tr w:rsidR="00AC6C90" w:rsidRPr="007E151E" w14:paraId="1E73F034" w14:textId="77777777" w:rsidTr="00AC6C90">
        <w:trPr>
          <w:trHeight w:val="300"/>
        </w:trPr>
        <w:tc>
          <w:tcPr>
            <w:tcW w:w="1074" w:type="dxa"/>
            <w:vMerge w:val="restart"/>
            <w:shd w:val="clear" w:color="auto" w:fill="auto"/>
            <w:noWrap/>
            <w:tcMar>
              <w:left w:w="57" w:type="dxa"/>
              <w:right w:w="57" w:type="dxa"/>
            </w:tcMar>
            <w:vAlign w:val="center"/>
            <w:hideMark/>
          </w:tcPr>
          <w:p w14:paraId="197434FD" w14:textId="77777777" w:rsidR="00AC6C90" w:rsidRPr="007E151E" w:rsidRDefault="00AC6C90" w:rsidP="00AC6C90">
            <w:pPr>
              <w:spacing w:after="0"/>
              <w:rPr>
                <w:rStyle w:val="IntenseReference"/>
              </w:rPr>
            </w:pPr>
            <w:r w:rsidRPr="007E151E">
              <w:rPr>
                <w:rStyle w:val="IntenseReference"/>
              </w:rPr>
              <w:t>2009 to 2012</w:t>
            </w:r>
          </w:p>
        </w:tc>
        <w:tc>
          <w:tcPr>
            <w:tcW w:w="350" w:type="dxa"/>
            <w:shd w:val="clear" w:color="auto" w:fill="auto"/>
            <w:noWrap/>
            <w:tcMar>
              <w:left w:w="57" w:type="dxa"/>
              <w:right w:w="57" w:type="dxa"/>
            </w:tcMar>
            <w:vAlign w:val="center"/>
            <w:hideMark/>
          </w:tcPr>
          <w:p w14:paraId="1A2196E5" w14:textId="77777777" w:rsidR="00AC6C90" w:rsidRPr="007E151E" w:rsidRDefault="00AC6C90" w:rsidP="00AC6C90">
            <w:pPr>
              <w:spacing w:after="0"/>
              <w:jc w:val="center"/>
              <w:rPr>
                <w:rStyle w:val="IntenseReference"/>
              </w:rPr>
            </w:pPr>
            <w:r w:rsidRPr="007E151E">
              <w:rPr>
                <w:rStyle w:val="IntenseReference"/>
              </w:rPr>
              <w:t>2</w:t>
            </w:r>
          </w:p>
        </w:tc>
        <w:tc>
          <w:tcPr>
            <w:tcW w:w="625" w:type="dxa"/>
            <w:shd w:val="clear" w:color="auto" w:fill="auto"/>
            <w:noWrap/>
            <w:tcMar>
              <w:left w:w="57" w:type="dxa"/>
              <w:right w:w="57" w:type="dxa"/>
            </w:tcMar>
            <w:vAlign w:val="bottom"/>
            <w:hideMark/>
          </w:tcPr>
          <w:p w14:paraId="15A67F86" w14:textId="50BF40E5" w:rsidR="00AC6C90" w:rsidRPr="00AC6C90" w:rsidRDefault="00AC6C90" w:rsidP="00AC6C90">
            <w:pPr>
              <w:spacing w:after="0"/>
              <w:jc w:val="right"/>
              <w:rPr>
                <w:rStyle w:val="IntenseReference"/>
              </w:rPr>
            </w:pPr>
            <w:r w:rsidRPr="00AC6C90">
              <w:rPr>
                <w:rStyle w:val="IntenseReference"/>
              </w:rPr>
              <w:t>-0.09</w:t>
            </w:r>
          </w:p>
        </w:tc>
        <w:tc>
          <w:tcPr>
            <w:tcW w:w="625" w:type="dxa"/>
            <w:shd w:val="clear" w:color="auto" w:fill="auto"/>
            <w:noWrap/>
            <w:tcMar>
              <w:left w:w="57" w:type="dxa"/>
              <w:right w:w="57" w:type="dxa"/>
            </w:tcMar>
            <w:vAlign w:val="bottom"/>
            <w:hideMark/>
          </w:tcPr>
          <w:p w14:paraId="2F76F13A" w14:textId="57855AD7" w:rsidR="00AC6C90" w:rsidRPr="00AC6C90" w:rsidRDefault="00AC6C90" w:rsidP="00AC6C90">
            <w:pPr>
              <w:spacing w:after="0"/>
              <w:jc w:val="right"/>
              <w:rPr>
                <w:rStyle w:val="IntenseReference"/>
              </w:rPr>
            </w:pPr>
            <w:r w:rsidRPr="00AC6C90">
              <w:rPr>
                <w:rStyle w:val="IntenseReference"/>
              </w:rPr>
              <w:t>0.65</w:t>
            </w:r>
          </w:p>
        </w:tc>
        <w:tc>
          <w:tcPr>
            <w:tcW w:w="625" w:type="dxa"/>
            <w:shd w:val="clear" w:color="auto" w:fill="F2DBDB" w:themeFill="accent2" w:themeFillTint="33"/>
            <w:noWrap/>
            <w:tcMar>
              <w:left w:w="57" w:type="dxa"/>
              <w:right w:w="57" w:type="dxa"/>
            </w:tcMar>
            <w:vAlign w:val="bottom"/>
            <w:hideMark/>
          </w:tcPr>
          <w:p w14:paraId="011104BB" w14:textId="7D1942A0" w:rsidR="00AC6C90" w:rsidRPr="00AC6C90" w:rsidRDefault="00AC6C90" w:rsidP="00AC6C90">
            <w:pPr>
              <w:spacing w:after="0"/>
              <w:jc w:val="right"/>
              <w:rPr>
                <w:rStyle w:val="IntenseReference"/>
              </w:rPr>
            </w:pPr>
            <w:r w:rsidRPr="00AC6C90">
              <w:rPr>
                <w:rStyle w:val="IntenseReference"/>
              </w:rPr>
              <w:t>-0.37</w:t>
            </w:r>
          </w:p>
        </w:tc>
        <w:tc>
          <w:tcPr>
            <w:tcW w:w="625" w:type="dxa"/>
            <w:shd w:val="clear" w:color="auto" w:fill="F2DBDB" w:themeFill="accent2" w:themeFillTint="33"/>
            <w:noWrap/>
            <w:tcMar>
              <w:left w:w="57" w:type="dxa"/>
              <w:right w:w="57" w:type="dxa"/>
            </w:tcMar>
            <w:vAlign w:val="bottom"/>
            <w:hideMark/>
          </w:tcPr>
          <w:p w14:paraId="04EF386D" w14:textId="0F923F18" w:rsidR="00AC6C90" w:rsidRPr="00AC6C90" w:rsidRDefault="00AC6C90" w:rsidP="00AC6C90">
            <w:pPr>
              <w:spacing w:after="0"/>
              <w:jc w:val="right"/>
              <w:rPr>
                <w:rStyle w:val="IntenseReference"/>
              </w:rPr>
            </w:pPr>
            <w:r w:rsidRPr="00AC6C90">
              <w:rPr>
                <w:rStyle w:val="IntenseReference"/>
              </w:rPr>
              <w:t>0.73</w:t>
            </w:r>
          </w:p>
        </w:tc>
        <w:tc>
          <w:tcPr>
            <w:tcW w:w="625" w:type="dxa"/>
            <w:shd w:val="clear" w:color="auto" w:fill="auto"/>
            <w:noWrap/>
            <w:tcMar>
              <w:left w:w="57" w:type="dxa"/>
              <w:right w:w="57" w:type="dxa"/>
            </w:tcMar>
            <w:vAlign w:val="bottom"/>
            <w:hideMark/>
          </w:tcPr>
          <w:p w14:paraId="685473CE" w14:textId="0E3407A0" w:rsidR="00AC6C90" w:rsidRPr="00AC6C90" w:rsidRDefault="00AC6C90" w:rsidP="00AC6C90">
            <w:pPr>
              <w:spacing w:after="0"/>
              <w:jc w:val="right"/>
              <w:rPr>
                <w:rStyle w:val="IntenseReference"/>
              </w:rPr>
            </w:pPr>
            <w:r w:rsidRPr="00AC6C90">
              <w:rPr>
                <w:rStyle w:val="IntenseReference"/>
              </w:rPr>
              <w:t>-0.14</w:t>
            </w:r>
          </w:p>
        </w:tc>
        <w:tc>
          <w:tcPr>
            <w:tcW w:w="626" w:type="dxa"/>
            <w:shd w:val="clear" w:color="auto" w:fill="auto"/>
            <w:noWrap/>
            <w:tcMar>
              <w:left w:w="57" w:type="dxa"/>
              <w:right w:w="57" w:type="dxa"/>
            </w:tcMar>
            <w:vAlign w:val="bottom"/>
            <w:hideMark/>
          </w:tcPr>
          <w:p w14:paraId="0AEB92BE" w14:textId="31F57FF2" w:rsidR="00AC6C90" w:rsidRPr="00AC6C90" w:rsidRDefault="00AC6C90" w:rsidP="00AC6C90">
            <w:pPr>
              <w:spacing w:after="0"/>
              <w:jc w:val="right"/>
              <w:rPr>
                <w:rStyle w:val="IntenseReference"/>
              </w:rPr>
            </w:pPr>
            <w:r w:rsidRPr="00AC6C90">
              <w:rPr>
                <w:rStyle w:val="IntenseReference"/>
              </w:rPr>
              <w:t>0.65</w:t>
            </w:r>
          </w:p>
        </w:tc>
        <w:tc>
          <w:tcPr>
            <w:tcW w:w="625" w:type="dxa"/>
            <w:shd w:val="clear" w:color="auto" w:fill="F2DBDB" w:themeFill="accent2" w:themeFillTint="33"/>
            <w:noWrap/>
            <w:tcMar>
              <w:left w:w="57" w:type="dxa"/>
              <w:right w:w="57" w:type="dxa"/>
            </w:tcMar>
            <w:vAlign w:val="bottom"/>
            <w:hideMark/>
          </w:tcPr>
          <w:p w14:paraId="0A6942A4" w14:textId="7F6002F4" w:rsidR="00AC6C90" w:rsidRPr="00AC6C90" w:rsidRDefault="00AC6C90" w:rsidP="00AC6C90">
            <w:pPr>
              <w:spacing w:after="0"/>
              <w:jc w:val="right"/>
              <w:rPr>
                <w:rStyle w:val="IntenseReference"/>
              </w:rPr>
            </w:pPr>
            <w:r w:rsidRPr="00AC6C90">
              <w:rPr>
                <w:rStyle w:val="IntenseReference"/>
              </w:rPr>
              <w:t>-0.16</w:t>
            </w:r>
          </w:p>
        </w:tc>
        <w:tc>
          <w:tcPr>
            <w:tcW w:w="625" w:type="dxa"/>
            <w:shd w:val="clear" w:color="auto" w:fill="F2DBDB" w:themeFill="accent2" w:themeFillTint="33"/>
            <w:noWrap/>
            <w:tcMar>
              <w:left w:w="57" w:type="dxa"/>
              <w:right w:w="57" w:type="dxa"/>
            </w:tcMar>
            <w:vAlign w:val="bottom"/>
            <w:hideMark/>
          </w:tcPr>
          <w:p w14:paraId="032E493A" w14:textId="3B0DBF56" w:rsidR="00AC6C90" w:rsidRPr="00AC6C90" w:rsidRDefault="00AC6C90" w:rsidP="00AC6C90">
            <w:pPr>
              <w:spacing w:after="0"/>
              <w:jc w:val="right"/>
              <w:rPr>
                <w:rStyle w:val="IntenseReference"/>
              </w:rPr>
            </w:pPr>
            <w:r w:rsidRPr="00AC6C90">
              <w:rPr>
                <w:rStyle w:val="IntenseReference"/>
              </w:rPr>
              <w:t>0.74</w:t>
            </w:r>
          </w:p>
        </w:tc>
        <w:tc>
          <w:tcPr>
            <w:tcW w:w="625" w:type="dxa"/>
            <w:shd w:val="clear" w:color="auto" w:fill="auto"/>
            <w:noWrap/>
            <w:tcMar>
              <w:left w:w="57" w:type="dxa"/>
              <w:right w:w="57" w:type="dxa"/>
            </w:tcMar>
            <w:vAlign w:val="bottom"/>
            <w:hideMark/>
          </w:tcPr>
          <w:p w14:paraId="21BBD9AA" w14:textId="47519950" w:rsidR="00AC6C90" w:rsidRPr="00AC6C90" w:rsidRDefault="00AC6C90" w:rsidP="00AC6C90">
            <w:pPr>
              <w:spacing w:after="0"/>
              <w:jc w:val="right"/>
              <w:rPr>
                <w:rStyle w:val="IntenseReference"/>
              </w:rPr>
            </w:pPr>
            <w:r w:rsidRPr="00AC6C90">
              <w:rPr>
                <w:rStyle w:val="IntenseReference"/>
              </w:rPr>
              <w:t>0.07</w:t>
            </w:r>
          </w:p>
        </w:tc>
        <w:tc>
          <w:tcPr>
            <w:tcW w:w="625" w:type="dxa"/>
            <w:shd w:val="clear" w:color="auto" w:fill="auto"/>
            <w:noWrap/>
            <w:tcMar>
              <w:left w:w="57" w:type="dxa"/>
              <w:right w:w="57" w:type="dxa"/>
            </w:tcMar>
            <w:vAlign w:val="bottom"/>
            <w:hideMark/>
          </w:tcPr>
          <w:p w14:paraId="3E9A0CF3" w14:textId="0860DEB0" w:rsidR="00AC6C90" w:rsidRPr="00AC6C90" w:rsidRDefault="00AC6C90" w:rsidP="00AC6C90">
            <w:pPr>
              <w:spacing w:after="0"/>
              <w:jc w:val="right"/>
              <w:rPr>
                <w:rStyle w:val="IntenseReference"/>
              </w:rPr>
            </w:pPr>
            <w:r w:rsidRPr="00AC6C90">
              <w:rPr>
                <w:rStyle w:val="IntenseReference"/>
              </w:rPr>
              <w:t>0.59</w:t>
            </w:r>
          </w:p>
        </w:tc>
        <w:tc>
          <w:tcPr>
            <w:tcW w:w="625" w:type="dxa"/>
            <w:shd w:val="clear" w:color="auto" w:fill="auto"/>
            <w:noWrap/>
            <w:tcMar>
              <w:left w:w="57" w:type="dxa"/>
              <w:right w:w="57" w:type="dxa"/>
            </w:tcMar>
            <w:vAlign w:val="bottom"/>
            <w:hideMark/>
          </w:tcPr>
          <w:p w14:paraId="36EFADFB" w14:textId="7DCA580C" w:rsidR="00AC6C90" w:rsidRPr="00AC6C90" w:rsidRDefault="00AC6C90" w:rsidP="00AC6C90">
            <w:pPr>
              <w:spacing w:after="0"/>
              <w:jc w:val="right"/>
              <w:rPr>
                <w:rStyle w:val="IntenseReference"/>
              </w:rPr>
            </w:pPr>
            <w:r w:rsidRPr="00AC6C90">
              <w:rPr>
                <w:rStyle w:val="IntenseReference"/>
              </w:rPr>
              <w:t>0.03</w:t>
            </w:r>
          </w:p>
        </w:tc>
        <w:tc>
          <w:tcPr>
            <w:tcW w:w="626" w:type="dxa"/>
            <w:shd w:val="clear" w:color="auto" w:fill="auto"/>
            <w:noWrap/>
            <w:tcMar>
              <w:left w:w="57" w:type="dxa"/>
              <w:right w:w="57" w:type="dxa"/>
            </w:tcMar>
            <w:vAlign w:val="bottom"/>
            <w:hideMark/>
          </w:tcPr>
          <w:p w14:paraId="23F238A6" w14:textId="7298A380" w:rsidR="00AC6C90" w:rsidRPr="00AC6C90" w:rsidRDefault="00AC6C90" w:rsidP="00AC6C90">
            <w:pPr>
              <w:spacing w:after="0"/>
              <w:jc w:val="right"/>
              <w:rPr>
                <w:rStyle w:val="IntenseReference"/>
              </w:rPr>
            </w:pPr>
            <w:r w:rsidRPr="00AC6C90">
              <w:rPr>
                <w:rStyle w:val="IntenseReference"/>
              </w:rPr>
              <w:t>0.55</w:t>
            </w:r>
          </w:p>
        </w:tc>
      </w:tr>
      <w:tr w:rsidR="00AC6C90" w:rsidRPr="007E151E" w14:paraId="546A6FD3" w14:textId="77777777" w:rsidTr="00AC6C90">
        <w:trPr>
          <w:trHeight w:val="300"/>
        </w:trPr>
        <w:tc>
          <w:tcPr>
            <w:tcW w:w="1074" w:type="dxa"/>
            <w:vMerge/>
            <w:shd w:val="clear" w:color="auto" w:fill="auto"/>
            <w:noWrap/>
            <w:tcMar>
              <w:left w:w="57" w:type="dxa"/>
              <w:right w:w="57" w:type="dxa"/>
            </w:tcMar>
            <w:vAlign w:val="center"/>
            <w:hideMark/>
          </w:tcPr>
          <w:p w14:paraId="60D2C1B2" w14:textId="77777777" w:rsidR="00AC6C90" w:rsidRPr="007E151E" w:rsidRDefault="00AC6C90" w:rsidP="00AC6C90">
            <w:pPr>
              <w:spacing w:after="0"/>
              <w:jc w:val="right"/>
              <w:rPr>
                <w:rStyle w:val="IntenseReference"/>
              </w:rPr>
            </w:pPr>
          </w:p>
        </w:tc>
        <w:tc>
          <w:tcPr>
            <w:tcW w:w="350" w:type="dxa"/>
            <w:shd w:val="clear" w:color="auto" w:fill="auto"/>
            <w:noWrap/>
            <w:tcMar>
              <w:left w:w="57" w:type="dxa"/>
              <w:right w:w="57" w:type="dxa"/>
            </w:tcMar>
            <w:vAlign w:val="center"/>
            <w:hideMark/>
          </w:tcPr>
          <w:p w14:paraId="105DBC75" w14:textId="77777777" w:rsidR="00AC6C90" w:rsidRPr="007E151E" w:rsidRDefault="00AC6C90" w:rsidP="00AC6C90">
            <w:pPr>
              <w:spacing w:after="0"/>
              <w:jc w:val="center"/>
              <w:rPr>
                <w:rStyle w:val="IntenseReference"/>
              </w:rPr>
            </w:pPr>
            <w:r w:rsidRPr="007E151E">
              <w:rPr>
                <w:rStyle w:val="IntenseReference"/>
              </w:rPr>
              <w:t>5</w:t>
            </w:r>
          </w:p>
        </w:tc>
        <w:tc>
          <w:tcPr>
            <w:tcW w:w="625" w:type="dxa"/>
            <w:shd w:val="clear" w:color="auto" w:fill="D99594" w:themeFill="accent2" w:themeFillTint="99"/>
            <w:noWrap/>
            <w:tcMar>
              <w:left w:w="57" w:type="dxa"/>
              <w:right w:w="57" w:type="dxa"/>
            </w:tcMar>
            <w:vAlign w:val="bottom"/>
            <w:hideMark/>
          </w:tcPr>
          <w:p w14:paraId="77139277" w14:textId="014939D5" w:rsidR="00AC6C90" w:rsidRPr="00AC6C90" w:rsidRDefault="00AC6C90" w:rsidP="00AC6C90">
            <w:pPr>
              <w:spacing w:after="0"/>
              <w:jc w:val="right"/>
              <w:rPr>
                <w:rStyle w:val="IntenseReference"/>
              </w:rPr>
            </w:pPr>
            <w:r w:rsidRPr="00AC6C90">
              <w:rPr>
                <w:rStyle w:val="IntenseReference"/>
              </w:rPr>
              <w:t>-0.18</w:t>
            </w:r>
          </w:p>
        </w:tc>
        <w:tc>
          <w:tcPr>
            <w:tcW w:w="625" w:type="dxa"/>
            <w:shd w:val="clear" w:color="auto" w:fill="D99594" w:themeFill="accent2" w:themeFillTint="99"/>
            <w:noWrap/>
            <w:tcMar>
              <w:left w:w="57" w:type="dxa"/>
              <w:right w:w="57" w:type="dxa"/>
            </w:tcMar>
            <w:vAlign w:val="bottom"/>
            <w:hideMark/>
          </w:tcPr>
          <w:p w14:paraId="44E6E7C0" w14:textId="3221ED77" w:rsidR="00AC6C90" w:rsidRPr="00AC6C90" w:rsidRDefault="00AC6C90" w:rsidP="00AC6C90">
            <w:pPr>
              <w:spacing w:after="0"/>
              <w:jc w:val="right"/>
              <w:rPr>
                <w:rStyle w:val="IntenseReference"/>
              </w:rPr>
            </w:pPr>
            <w:r w:rsidRPr="00AC6C90">
              <w:rPr>
                <w:rStyle w:val="IntenseReference"/>
              </w:rPr>
              <w:t>0.92</w:t>
            </w:r>
          </w:p>
        </w:tc>
        <w:tc>
          <w:tcPr>
            <w:tcW w:w="625" w:type="dxa"/>
            <w:shd w:val="clear" w:color="auto" w:fill="E5B8B7" w:themeFill="accent2" w:themeFillTint="66"/>
            <w:noWrap/>
            <w:tcMar>
              <w:left w:w="57" w:type="dxa"/>
              <w:right w:w="57" w:type="dxa"/>
            </w:tcMar>
            <w:vAlign w:val="bottom"/>
            <w:hideMark/>
          </w:tcPr>
          <w:p w14:paraId="695588CA" w14:textId="3EA8ADC3" w:rsidR="00AC6C90" w:rsidRPr="00AC6C90" w:rsidRDefault="00AC6C90" w:rsidP="00AC6C90">
            <w:pPr>
              <w:spacing w:after="0"/>
              <w:jc w:val="right"/>
              <w:rPr>
                <w:rStyle w:val="IntenseReference"/>
              </w:rPr>
            </w:pPr>
            <w:r w:rsidRPr="00AC6C90">
              <w:rPr>
                <w:rStyle w:val="IntenseReference"/>
              </w:rPr>
              <w:t>-0.37</w:t>
            </w:r>
          </w:p>
        </w:tc>
        <w:tc>
          <w:tcPr>
            <w:tcW w:w="625" w:type="dxa"/>
            <w:shd w:val="clear" w:color="auto" w:fill="E5B8B7" w:themeFill="accent2" w:themeFillTint="66"/>
            <w:noWrap/>
            <w:tcMar>
              <w:left w:w="57" w:type="dxa"/>
              <w:right w:w="57" w:type="dxa"/>
            </w:tcMar>
            <w:vAlign w:val="bottom"/>
            <w:hideMark/>
          </w:tcPr>
          <w:p w14:paraId="116D97A2" w14:textId="06DC7186" w:rsidR="00AC6C90" w:rsidRPr="00AC6C90" w:rsidRDefault="00AC6C90" w:rsidP="00AC6C90">
            <w:pPr>
              <w:spacing w:after="0"/>
              <w:jc w:val="right"/>
              <w:rPr>
                <w:rStyle w:val="IntenseReference"/>
              </w:rPr>
            </w:pPr>
            <w:r w:rsidRPr="00AC6C90">
              <w:rPr>
                <w:rStyle w:val="IntenseReference"/>
              </w:rPr>
              <w:t>0.87</w:t>
            </w:r>
          </w:p>
        </w:tc>
        <w:tc>
          <w:tcPr>
            <w:tcW w:w="625" w:type="dxa"/>
            <w:shd w:val="clear" w:color="auto" w:fill="E5B8B7" w:themeFill="accent2" w:themeFillTint="66"/>
            <w:noWrap/>
            <w:tcMar>
              <w:left w:w="57" w:type="dxa"/>
              <w:right w:w="57" w:type="dxa"/>
            </w:tcMar>
            <w:vAlign w:val="bottom"/>
            <w:hideMark/>
          </w:tcPr>
          <w:p w14:paraId="345EEB0F" w14:textId="43A642CB" w:rsidR="00AC6C90" w:rsidRPr="00AC6C90" w:rsidRDefault="00AC6C90" w:rsidP="00AC6C90">
            <w:pPr>
              <w:spacing w:after="0"/>
              <w:jc w:val="right"/>
              <w:rPr>
                <w:rStyle w:val="IntenseReference"/>
              </w:rPr>
            </w:pPr>
            <w:r w:rsidRPr="00AC6C90">
              <w:rPr>
                <w:rStyle w:val="IntenseReference"/>
              </w:rPr>
              <w:t>-0.25</w:t>
            </w:r>
          </w:p>
        </w:tc>
        <w:tc>
          <w:tcPr>
            <w:tcW w:w="626" w:type="dxa"/>
            <w:shd w:val="clear" w:color="auto" w:fill="E5B8B7" w:themeFill="accent2" w:themeFillTint="66"/>
            <w:noWrap/>
            <w:tcMar>
              <w:left w:w="57" w:type="dxa"/>
              <w:right w:w="57" w:type="dxa"/>
            </w:tcMar>
            <w:vAlign w:val="bottom"/>
            <w:hideMark/>
          </w:tcPr>
          <w:p w14:paraId="386C63AF" w14:textId="7E0D09CD" w:rsidR="00AC6C90" w:rsidRPr="00AC6C90" w:rsidRDefault="00AC6C90" w:rsidP="00AC6C90">
            <w:pPr>
              <w:spacing w:after="0"/>
              <w:jc w:val="right"/>
              <w:rPr>
                <w:rStyle w:val="IntenseReference"/>
              </w:rPr>
            </w:pPr>
            <w:r w:rsidRPr="00AC6C90">
              <w:rPr>
                <w:rStyle w:val="IntenseReference"/>
              </w:rPr>
              <w:t>0.82</w:t>
            </w:r>
          </w:p>
        </w:tc>
        <w:tc>
          <w:tcPr>
            <w:tcW w:w="625" w:type="dxa"/>
            <w:shd w:val="clear" w:color="auto" w:fill="E5B8B7" w:themeFill="accent2" w:themeFillTint="66"/>
            <w:noWrap/>
            <w:tcMar>
              <w:left w:w="57" w:type="dxa"/>
              <w:right w:w="57" w:type="dxa"/>
            </w:tcMar>
            <w:vAlign w:val="bottom"/>
            <w:hideMark/>
          </w:tcPr>
          <w:p w14:paraId="3139041F" w14:textId="46E61FD6" w:rsidR="00AC6C90" w:rsidRPr="00AC6C90" w:rsidRDefault="00AC6C90" w:rsidP="00AC6C90">
            <w:pPr>
              <w:spacing w:after="0"/>
              <w:jc w:val="right"/>
              <w:rPr>
                <w:rStyle w:val="IntenseReference"/>
              </w:rPr>
            </w:pPr>
            <w:r w:rsidRPr="00AC6C90">
              <w:rPr>
                <w:rStyle w:val="IntenseReference"/>
              </w:rPr>
              <w:t>-0.17</w:t>
            </w:r>
          </w:p>
        </w:tc>
        <w:tc>
          <w:tcPr>
            <w:tcW w:w="625" w:type="dxa"/>
            <w:shd w:val="clear" w:color="auto" w:fill="E5B8B7" w:themeFill="accent2" w:themeFillTint="66"/>
            <w:noWrap/>
            <w:tcMar>
              <w:left w:w="57" w:type="dxa"/>
              <w:right w:w="57" w:type="dxa"/>
            </w:tcMar>
            <w:vAlign w:val="bottom"/>
            <w:hideMark/>
          </w:tcPr>
          <w:p w14:paraId="735FE10A" w14:textId="54528E09" w:rsidR="00AC6C90" w:rsidRPr="00AC6C90" w:rsidRDefault="00AC6C90" w:rsidP="00AC6C90">
            <w:pPr>
              <w:spacing w:after="0"/>
              <w:jc w:val="right"/>
              <w:rPr>
                <w:rStyle w:val="IntenseReference"/>
              </w:rPr>
            </w:pPr>
            <w:r w:rsidRPr="00AC6C90">
              <w:rPr>
                <w:rStyle w:val="IntenseReference"/>
              </w:rPr>
              <w:t>0.89</w:t>
            </w:r>
          </w:p>
        </w:tc>
        <w:tc>
          <w:tcPr>
            <w:tcW w:w="625" w:type="dxa"/>
            <w:shd w:val="clear" w:color="auto" w:fill="auto"/>
            <w:noWrap/>
            <w:tcMar>
              <w:left w:w="57" w:type="dxa"/>
              <w:right w:w="57" w:type="dxa"/>
            </w:tcMar>
            <w:vAlign w:val="bottom"/>
            <w:hideMark/>
          </w:tcPr>
          <w:p w14:paraId="40493D49" w14:textId="25395FEC" w:rsidR="00AC6C90" w:rsidRPr="00AC6C90" w:rsidRDefault="00AC6C90" w:rsidP="00AC6C90">
            <w:pPr>
              <w:spacing w:after="0"/>
              <w:jc w:val="right"/>
              <w:rPr>
                <w:rStyle w:val="IntenseReference"/>
              </w:rPr>
            </w:pPr>
            <w:r w:rsidRPr="00AC6C90">
              <w:rPr>
                <w:rStyle w:val="IntenseReference"/>
              </w:rPr>
              <w:t>0.08</w:t>
            </w:r>
          </w:p>
        </w:tc>
        <w:tc>
          <w:tcPr>
            <w:tcW w:w="625" w:type="dxa"/>
            <w:shd w:val="clear" w:color="auto" w:fill="auto"/>
            <w:noWrap/>
            <w:tcMar>
              <w:left w:w="57" w:type="dxa"/>
              <w:right w:w="57" w:type="dxa"/>
            </w:tcMar>
            <w:vAlign w:val="bottom"/>
            <w:hideMark/>
          </w:tcPr>
          <w:p w14:paraId="54C0EEB6" w14:textId="17928703" w:rsidR="00AC6C90" w:rsidRPr="00AC6C90" w:rsidRDefault="00AC6C90" w:rsidP="00AC6C90">
            <w:pPr>
              <w:spacing w:after="0"/>
              <w:jc w:val="right"/>
              <w:rPr>
                <w:rStyle w:val="IntenseReference"/>
              </w:rPr>
            </w:pPr>
            <w:r w:rsidRPr="00AC6C90">
              <w:rPr>
                <w:rStyle w:val="IntenseReference"/>
              </w:rPr>
              <w:t>0.68</w:t>
            </w:r>
          </w:p>
        </w:tc>
        <w:tc>
          <w:tcPr>
            <w:tcW w:w="625" w:type="dxa"/>
            <w:shd w:val="clear" w:color="auto" w:fill="F2DBDB" w:themeFill="accent2" w:themeFillTint="33"/>
            <w:noWrap/>
            <w:tcMar>
              <w:left w:w="57" w:type="dxa"/>
              <w:right w:w="57" w:type="dxa"/>
            </w:tcMar>
            <w:vAlign w:val="bottom"/>
            <w:hideMark/>
          </w:tcPr>
          <w:p w14:paraId="0892AA1E" w14:textId="4C5E0CAC" w:rsidR="00AC6C90" w:rsidRPr="00AC6C90" w:rsidRDefault="00AC6C90" w:rsidP="00AC6C90">
            <w:pPr>
              <w:spacing w:after="0"/>
              <w:jc w:val="right"/>
              <w:rPr>
                <w:rStyle w:val="IntenseReference"/>
              </w:rPr>
            </w:pPr>
            <w:r w:rsidRPr="00AC6C90">
              <w:rPr>
                <w:rStyle w:val="IntenseReference"/>
              </w:rPr>
              <w:t>-0.18</w:t>
            </w:r>
          </w:p>
        </w:tc>
        <w:tc>
          <w:tcPr>
            <w:tcW w:w="626" w:type="dxa"/>
            <w:shd w:val="clear" w:color="auto" w:fill="F2DBDB" w:themeFill="accent2" w:themeFillTint="33"/>
            <w:noWrap/>
            <w:tcMar>
              <w:left w:w="57" w:type="dxa"/>
              <w:right w:w="57" w:type="dxa"/>
            </w:tcMar>
            <w:vAlign w:val="bottom"/>
            <w:hideMark/>
          </w:tcPr>
          <w:p w14:paraId="7D94E6E2" w14:textId="0F3B2F4E" w:rsidR="00AC6C90" w:rsidRPr="00AC6C90" w:rsidRDefault="00AC6C90" w:rsidP="00AC6C90">
            <w:pPr>
              <w:spacing w:after="0"/>
              <w:jc w:val="right"/>
              <w:rPr>
                <w:rStyle w:val="IntenseReference"/>
              </w:rPr>
            </w:pPr>
            <w:r w:rsidRPr="00AC6C90">
              <w:rPr>
                <w:rStyle w:val="IntenseReference"/>
              </w:rPr>
              <w:t>0.70</w:t>
            </w:r>
          </w:p>
        </w:tc>
      </w:tr>
      <w:tr w:rsidR="00AC6C90" w:rsidRPr="007E151E" w14:paraId="64B6C60F" w14:textId="77777777" w:rsidTr="00AC6C90">
        <w:trPr>
          <w:trHeight w:val="300"/>
        </w:trPr>
        <w:tc>
          <w:tcPr>
            <w:tcW w:w="1074" w:type="dxa"/>
            <w:vMerge w:val="restart"/>
            <w:shd w:val="clear" w:color="auto" w:fill="auto"/>
            <w:noWrap/>
            <w:tcMar>
              <w:left w:w="57" w:type="dxa"/>
              <w:right w:w="57" w:type="dxa"/>
            </w:tcMar>
            <w:vAlign w:val="center"/>
            <w:hideMark/>
          </w:tcPr>
          <w:p w14:paraId="1250D815" w14:textId="77777777" w:rsidR="00AC6C90" w:rsidRPr="007E151E" w:rsidRDefault="00AC6C90" w:rsidP="00AC6C90">
            <w:pPr>
              <w:spacing w:after="0"/>
              <w:rPr>
                <w:rStyle w:val="IntenseReference"/>
              </w:rPr>
            </w:pPr>
            <w:r w:rsidRPr="007E151E">
              <w:rPr>
                <w:rStyle w:val="IntenseReference"/>
              </w:rPr>
              <w:t>2012 to 2016</w:t>
            </w:r>
          </w:p>
        </w:tc>
        <w:tc>
          <w:tcPr>
            <w:tcW w:w="350" w:type="dxa"/>
            <w:shd w:val="clear" w:color="auto" w:fill="auto"/>
            <w:noWrap/>
            <w:tcMar>
              <w:left w:w="57" w:type="dxa"/>
              <w:right w:w="57" w:type="dxa"/>
            </w:tcMar>
            <w:vAlign w:val="center"/>
            <w:hideMark/>
          </w:tcPr>
          <w:p w14:paraId="427E5CB8" w14:textId="77777777" w:rsidR="00AC6C90" w:rsidRPr="007E151E" w:rsidRDefault="00AC6C90" w:rsidP="00AC6C90">
            <w:pPr>
              <w:spacing w:after="0"/>
              <w:jc w:val="center"/>
              <w:rPr>
                <w:rStyle w:val="IntenseReference"/>
              </w:rPr>
            </w:pPr>
            <w:r w:rsidRPr="007E151E">
              <w:rPr>
                <w:rStyle w:val="IntenseReference"/>
              </w:rPr>
              <w:t>2</w:t>
            </w:r>
          </w:p>
        </w:tc>
        <w:tc>
          <w:tcPr>
            <w:tcW w:w="625" w:type="dxa"/>
            <w:shd w:val="clear" w:color="auto" w:fill="8DB3E2" w:themeFill="text2" w:themeFillTint="66"/>
            <w:noWrap/>
            <w:tcMar>
              <w:left w:w="57" w:type="dxa"/>
              <w:right w:w="57" w:type="dxa"/>
            </w:tcMar>
            <w:vAlign w:val="bottom"/>
            <w:hideMark/>
          </w:tcPr>
          <w:p w14:paraId="04B7D670" w14:textId="4D8DF113" w:rsidR="00AC6C90" w:rsidRPr="00AC6C90" w:rsidRDefault="00AC6C90" w:rsidP="00AC6C90">
            <w:pPr>
              <w:spacing w:after="0"/>
              <w:jc w:val="right"/>
              <w:rPr>
                <w:rStyle w:val="IntenseReference"/>
              </w:rPr>
            </w:pPr>
            <w:r w:rsidRPr="00AC6C90">
              <w:rPr>
                <w:rStyle w:val="IntenseReference"/>
              </w:rPr>
              <w:t>0.13</w:t>
            </w:r>
          </w:p>
        </w:tc>
        <w:tc>
          <w:tcPr>
            <w:tcW w:w="625" w:type="dxa"/>
            <w:shd w:val="clear" w:color="auto" w:fill="8DB3E2" w:themeFill="text2" w:themeFillTint="66"/>
            <w:noWrap/>
            <w:tcMar>
              <w:left w:w="57" w:type="dxa"/>
              <w:right w:w="57" w:type="dxa"/>
            </w:tcMar>
            <w:vAlign w:val="bottom"/>
            <w:hideMark/>
          </w:tcPr>
          <w:p w14:paraId="1BAA4721" w14:textId="427A2FC4" w:rsidR="00AC6C90" w:rsidRPr="00AC6C90" w:rsidRDefault="00AC6C90" w:rsidP="00AC6C90">
            <w:pPr>
              <w:spacing w:after="0"/>
              <w:jc w:val="right"/>
              <w:rPr>
                <w:rStyle w:val="IntenseReference"/>
              </w:rPr>
            </w:pPr>
            <w:r w:rsidRPr="00AC6C90">
              <w:rPr>
                <w:rStyle w:val="IntenseReference"/>
              </w:rPr>
              <w:t>0.89</w:t>
            </w:r>
          </w:p>
        </w:tc>
        <w:tc>
          <w:tcPr>
            <w:tcW w:w="625" w:type="dxa"/>
            <w:shd w:val="clear" w:color="auto" w:fill="auto"/>
            <w:noWrap/>
            <w:tcMar>
              <w:left w:w="57" w:type="dxa"/>
              <w:right w:w="57" w:type="dxa"/>
            </w:tcMar>
            <w:vAlign w:val="bottom"/>
            <w:hideMark/>
          </w:tcPr>
          <w:p w14:paraId="6E77788E" w14:textId="33CDE711" w:rsidR="00AC6C90" w:rsidRPr="00AC6C90" w:rsidRDefault="00AC6C90" w:rsidP="00AC6C90">
            <w:pPr>
              <w:spacing w:after="0"/>
              <w:jc w:val="right"/>
              <w:rPr>
                <w:rStyle w:val="IntenseReference"/>
              </w:rPr>
            </w:pPr>
            <w:r w:rsidRPr="00AC6C90">
              <w:rPr>
                <w:rStyle w:val="IntenseReference"/>
              </w:rPr>
              <w:t>0.11</w:t>
            </w:r>
          </w:p>
        </w:tc>
        <w:tc>
          <w:tcPr>
            <w:tcW w:w="625" w:type="dxa"/>
            <w:shd w:val="clear" w:color="auto" w:fill="auto"/>
            <w:noWrap/>
            <w:tcMar>
              <w:left w:w="57" w:type="dxa"/>
              <w:right w:w="57" w:type="dxa"/>
            </w:tcMar>
            <w:vAlign w:val="bottom"/>
            <w:hideMark/>
          </w:tcPr>
          <w:p w14:paraId="7858C8EF" w14:textId="42945166" w:rsidR="00AC6C90" w:rsidRPr="00AC6C90" w:rsidRDefault="00AC6C90" w:rsidP="00AC6C90">
            <w:pPr>
              <w:spacing w:after="0"/>
              <w:jc w:val="right"/>
              <w:rPr>
                <w:rStyle w:val="IntenseReference"/>
              </w:rPr>
            </w:pPr>
            <w:r w:rsidRPr="00AC6C90">
              <w:rPr>
                <w:rStyle w:val="IntenseReference"/>
              </w:rPr>
              <w:t>0.61</w:t>
            </w:r>
          </w:p>
        </w:tc>
        <w:tc>
          <w:tcPr>
            <w:tcW w:w="625" w:type="dxa"/>
            <w:shd w:val="clear" w:color="auto" w:fill="C6D9F1" w:themeFill="text2" w:themeFillTint="33"/>
            <w:noWrap/>
            <w:tcMar>
              <w:left w:w="57" w:type="dxa"/>
              <w:right w:w="57" w:type="dxa"/>
            </w:tcMar>
            <w:vAlign w:val="bottom"/>
            <w:hideMark/>
          </w:tcPr>
          <w:p w14:paraId="012161A7" w14:textId="5909FAF6" w:rsidR="00AC6C90" w:rsidRPr="00AC6C90" w:rsidRDefault="00AC6C90" w:rsidP="00AC6C90">
            <w:pPr>
              <w:spacing w:after="0"/>
              <w:jc w:val="right"/>
              <w:rPr>
                <w:rStyle w:val="IntenseReference"/>
              </w:rPr>
            </w:pPr>
            <w:r w:rsidRPr="00AC6C90">
              <w:rPr>
                <w:rStyle w:val="IntenseReference"/>
              </w:rPr>
              <w:t>0.33</w:t>
            </w:r>
          </w:p>
        </w:tc>
        <w:tc>
          <w:tcPr>
            <w:tcW w:w="626" w:type="dxa"/>
            <w:shd w:val="clear" w:color="auto" w:fill="C6D9F1" w:themeFill="text2" w:themeFillTint="33"/>
            <w:noWrap/>
            <w:tcMar>
              <w:left w:w="57" w:type="dxa"/>
              <w:right w:w="57" w:type="dxa"/>
            </w:tcMar>
            <w:vAlign w:val="bottom"/>
            <w:hideMark/>
          </w:tcPr>
          <w:p w14:paraId="78ABFBA3" w14:textId="2D6A1D40" w:rsidR="00AC6C90" w:rsidRPr="00AC6C90" w:rsidRDefault="00AC6C90" w:rsidP="00AC6C90">
            <w:pPr>
              <w:spacing w:after="0"/>
              <w:jc w:val="right"/>
              <w:rPr>
                <w:rStyle w:val="IntenseReference"/>
              </w:rPr>
            </w:pPr>
            <w:r w:rsidRPr="00AC6C90">
              <w:rPr>
                <w:rStyle w:val="IntenseReference"/>
              </w:rPr>
              <w:t>0.75</w:t>
            </w:r>
          </w:p>
        </w:tc>
        <w:tc>
          <w:tcPr>
            <w:tcW w:w="625" w:type="dxa"/>
            <w:shd w:val="clear" w:color="auto" w:fill="548DD4" w:themeFill="text2" w:themeFillTint="99"/>
            <w:noWrap/>
            <w:tcMar>
              <w:left w:w="57" w:type="dxa"/>
              <w:right w:w="57" w:type="dxa"/>
            </w:tcMar>
            <w:vAlign w:val="bottom"/>
            <w:hideMark/>
          </w:tcPr>
          <w:p w14:paraId="78E1905A" w14:textId="6710B48C" w:rsidR="00AC6C90" w:rsidRPr="00AC6C90" w:rsidRDefault="00AC6C90" w:rsidP="00AC6C90">
            <w:pPr>
              <w:spacing w:after="0"/>
              <w:jc w:val="right"/>
              <w:rPr>
                <w:rStyle w:val="IntenseReference"/>
              </w:rPr>
            </w:pPr>
            <w:r w:rsidRPr="00AC6C90">
              <w:rPr>
                <w:rStyle w:val="IntenseReference"/>
              </w:rPr>
              <w:t>0.18</w:t>
            </w:r>
          </w:p>
        </w:tc>
        <w:tc>
          <w:tcPr>
            <w:tcW w:w="625" w:type="dxa"/>
            <w:shd w:val="clear" w:color="auto" w:fill="548DD4" w:themeFill="text2" w:themeFillTint="99"/>
            <w:noWrap/>
            <w:tcMar>
              <w:left w:w="57" w:type="dxa"/>
              <w:right w:w="57" w:type="dxa"/>
            </w:tcMar>
            <w:vAlign w:val="bottom"/>
            <w:hideMark/>
          </w:tcPr>
          <w:p w14:paraId="006BC6E8" w14:textId="0ADF2633" w:rsidR="00AC6C90" w:rsidRPr="00AC6C90" w:rsidRDefault="00AC6C90" w:rsidP="00AC6C90">
            <w:pPr>
              <w:spacing w:after="0"/>
              <w:jc w:val="right"/>
              <w:rPr>
                <w:rStyle w:val="IntenseReference"/>
              </w:rPr>
            </w:pPr>
            <w:r w:rsidRPr="00AC6C90">
              <w:rPr>
                <w:rStyle w:val="IntenseReference"/>
              </w:rPr>
              <w:t>0.95</w:t>
            </w:r>
          </w:p>
        </w:tc>
        <w:tc>
          <w:tcPr>
            <w:tcW w:w="625" w:type="dxa"/>
            <w:shd w:val="clear" w:color="auto" w:fill="auto"/>
            <w:noWrap/>
            <w:tcMar>
              <w:left w:w="57" w:type="dxa"/>
              <w:right w:w="57" w:type="dxa"/>
            </w:tcMar>
            <w:vAlign w:val="bottom"/>
            <w:hideMark/>
          </w:tcPr>
          <w:p w14:paraId="41BA6FA6" w14:textId="1A78B261" w:rsidR="00AC6C90" w:rsidRPr="00AC6C90" w:rsidRDefault="00AC6C90" w:rsidP="00AC6C90">
            <w:pPr>
              <w:spacing w:after="0"/>
              <w:jc w:val="right"/>
              <w:rPr>
                <w:rStyle w:val="IntenseReference"/>
              </w:rPr>
            </w:pPr>
            <w:r w:rsidRPr="00AC6C90">
              <w:rPr>
                <w:rStyle w:val="IntenseReference"/>
              </w:rPr>
              <w:t>0.08</w:t>
            </w:r>
          </w:p>
        </w:tc>
        <w:tc>
          <w:tcPr>
            <w:tcW w:w="625" w:type="dxa"/>
            <w:shd w:val="clear" w:color="auto" w:fill="auto"/>
            <w:noWrap/>
            <w:tcMar>
              <w:left w:w="57" w:type="dxa"/>
              <w:right w:w="57" w:type="dxa"/>
            </w:tcMar>
            <w:vAlign w:val="bottom"/>
            <w:hideMark/>
          </w:tcPr>
          <w:p w14:paraId="285A0415" w14:textId="34EE6071" w:rsidR="00AC6C90" w:rsidRPr="00AC6C90" w:rsidRDefault="00AC6C90" w:rsidP="00AC6C90">
            <w:pPr>
              <w:spacing w:after="0"/>
              <w:jc w:val="right"/>
              <w:rPr>
                <w:rStyle w:val="IntenseReference"/>
              </w:rPr>
            </w:pPr>
            <w:r w:rsidRPr="00AC6C90">
              <w:rPr>
                <w:rStyle w:val="IntenseReference"/>
              </w:rPr>
              <w:t>0.69</w:t>
            </w:r>
          </w:p>
        </w:tc>
        <w:tc>
          <w:tcPr>
            <w:tcW w:w="625" w:type="dxa"/>
            <w:shd w:val="clear" w:color="auto" w:fill="auto"/>
            <w:noWrap/>
            <w:tcMar>
              <w:left w:w="57" w:type="dxa"/>
              <w:right w:w="57" w:type="dxa"/>
            </w:tcMar>
            <w:vAlign w:val="bottom"/>
            <w:hideMark/>
          </w:tcPr>
          <w:p w14:paraId="205B513A" w14:textId="0AE299B7" w:rsidR="00AC6C90" w:rsidRPr="00AC6C90" w:rsidRDefault="00AC6C90" w:rsidP="00AC6C90">
            <w:pPr>
              <w:spacing w:after="0"/>
              <w:jc w:val="right"/>
              <w:rPr>
                <w:rStyle w:val="IntenseReference"/>
              </w:rPr>
            </w:pPr>
            <w:r w:rsidRPr="00AC6C90">
              <w:rPr>
                <w:rStyle w:val="IntenseReference"/>
              </w:rPr>
              <w:t>-0.07</w:t>
            </w:r>
          </w:p>
        </w:tc>
        <w:tc>
          <w:tcPr>
            <w:tcW w:w="626" w:type="dxa"/>
            <w:shd w:val="clear" w:color="auto" w:fill="auto"/>
            <w:noWrap/>
            <w:tcMar>
              <w:left w:w="57" w:type="dxa"/>
              <w:right w:w="57" w:type="dxa"/>
            </w:tcMar>
            <w:vAlign w:val="bottom"/>
            <w:hideMark/>
          </w:tcPr>
          <w:p w14:paraId="6A47EF5E" w14:textId="68F946CC" w:rsidR="00AC6C90" w:rsidRPr="00AC6C90" w:rsidRDefault="00AC6C90" w:rsidP="00AC6C90">
            <w:pPr>
              <w:spacing w:after="0"/>
              <w:jc w:val="right"/>
              <w:rPr>
                <w:rStyle w:val="IntenseReference"/>
              </w:rPr>
            </w:pPr>
            <w:r w:rsidRPr="00AC6C90">
              <w:rPr>
                <w:rStyle w:val="IntenseReference"/>
              </w:rPr>
              <w:t>0.58</w:t>
            </w:r>
          </w:p>
        </w:tc>
      </w:tr>
      <w:tr w:rsidR="00AC6C90" w:rsidRPr="007E151E" w14:paraId="46083E27" w14:textId="77777777" w:rsidTr="00AC6C90">
        <w:trPr>
          <w:trHeight w:val="300"/>
        </w:trPr>
        <w:tc>
          <w:tcPr>
            <w:tcW w:w="1074" w:type="dxa"/>
            <w:vMerge/>
            <w:shd w:val="clear" w:color="auto" w:fill="auto"/>
            <w:noWrap/>
            <w:tcMar>
              <w:left w:w="57" w:type="dxa"/>
              <w:right w:w="57" w:type="dxa"/>
            </w:tcMar>
            <w:vAlign w:val="center"/>
            <w:hideMark/>
          </w:tcPr>
          <w:p w14:paraId="52D91047" w14:textId="77777777" w:rsidR="00AC6C90" w:rsidRPr="007E151E" w:rsidRDefault="00AC6C90" w:rsidP="00AC6C90">
            <w:pPr>
              <w:spacing w:after="0"/>
              <w:jc w:val="right"/>
              <w:rPr>
                <w:rStyle w:val="IntenseReference"/>
              </w:rPr>
            </w:pPr>
          </w:p>
        </w:tc>
        <w:tc>
          <w:tcPr>
            <w:tcW w:w="350" w:type="dxa"/>
            <w:shd w:val="clear" w:color="auto" w:fill="auto"/>
            <w:noWrap/>
            <w:tcMar>
              <w:left w:w="57" w:type="dxa"/>
              <w:right w:w="57" w:type="dxa"/>
            </w:tcMar>
            <w:vAlign w:val="center"/>
            <w:hideMark/>
          </w:tcPr>
          <w:p w14:paraId="6C526408" w14:textId="77777777" w:rsidR="00AC6C90" w:rsidRPr="007E151E" w:rsidRDefault="00AC6C90" w:rsidP="00AC6C90">
            <w:pPr>
              <w:spacing w:after="0"/>
              <w:jc w:val="center"/>
              <w:rPr>
                <w:rStyle w:val="IntenseReference"/>
              </w:rPr>
            </w:pPr>
            <w:r w:rsidRPr="007E151E">
              <w:rPr>
                <w:rStyle w:val="IntenseReference"/>
              </w:rPr>
              <w:t>5</w:t>
            </w:r>
          </w:p>
        </w:tc>
        <w:tc>
          <w:tcPr>
            <w:tcW w:w="625" w:type="dxa"/>
            <w:shd w:val="clear" w:color="auto" w:fill="548DD4" w:themeFill="text2" w:themeFillTint="99"/>
            <w:noWrap/>
            <w:tcMar>
              <w:left w:w="57" w:type="dxa"/>
              <w:right w:w="57" w:type="dxa"/>
            </w:tcMar>
            <w:vAlign w:val="bottom"/>
            <w:hideMark/>
          </w:tcPr>
          <w:p w14:paraId="2FD48ADB" w14:textId="1E32E36E" w:rsidR="00AC6C90" w:rsidRPr="00AC6C90" w:rsidRDefault="00AC6C90" w:rsidP="00AC6C90">
            <w:pPr>
              <w:spacing w:after="0"/>
              <w:jc w:val="right"/>
              <w:rPr>
                <w:rStyle w:val="IntenseReference"/>
              </w:rPr>
            </w:pPr>
            <w:r w:rsidRPr="00AC6C90">
              <w:rPr>
                <w:rStyle w:val="IntenseReference"/>
              </w:rPr>
              <w:t>0.16</w:t>
            </w:r>
          </w:p>
        </w:tc>
        <w:tc>
          <w:tcPr>
            <w:tcW w:w="625" w:type="dxa"/>
            <w:shd w:val="clear" w:color="auto" w:fill="548DD4" w:themeFill="text2" w:themeFillTint="99"/>
            <w:noWrap/>
            <w:tcMar>
              <w:left w:w="57" w:type="dxa"/>
              <w:right w:w="57" w:type="dxa"/>
            </w:tcMar>
            <w:vAlign w:val="bottom"/>
            <w:hideMark/>
          </w:tcPr>
          <w:p w14:paraId="07DFC875" w14:textId="6F3F9CB8" w:rsidR="00AC6C90" w:rsidRPr="00AC6C90" w:rsidRDefault="00AC6C90" w:rsidP="00AC6C90">
            <w:pPr>
              <w:spacing w:after="0"/>
              <w:jc w:val="right"/>
              <w:rPr>
                <w:rStyle w:val="IntenseReference"/>
              </w:rPr>
            </w:pPr>
            <w:r w:rsidRPr="00AC6C90">
              <w:rPr>
                <w:rStyle w:val="IntenseReference"/>
              </w:rPr>
              <w:t>0.93</w:t>
            </w:r>
          </w:p>
        </w:tc>
        <w:tc>
          <w:tcPr>
            <w:tcW w:w="625" w:type="dxa"/>
            <w:shd w:val="clear" w:color="auto" w:fill="8DB3E2" w:themeFill="text2" w:themeFillTint="66"/>
            <w:noWrap/>
            <w:tcMar>
              <w:left w:w="57" w:type="dxa"/>
              <w:right w:w="57" w:type="dxa"/>
            </w:tcMar>
            <w:vAlign w:val="bottom"/>
            <w:hideMark/>
          </w:tcPr>
          <w:p w14:paraId="2F19DC43" w14:textId="2DD32E1D" w:rsidR="00AC6C90" w:rsidRPr="00AC6C90" w:rsidRDefault="00AC6C90" w:rsidP="00AC6C90">
            <w:pPr>
              <w:spacing w:after="0"/>
              <w:jc w:val="right"/>
              <w:rPr>
                <w:rStyle w:val="IntenseReference"/>
              </w:rPr>
            </w:pPr>
            <w:r w:rsidRPr="00AC6C90">
              <w:rPr>
                <w:rStyle w:val="IntenseReference"/>
              </w:rPr>
              <w:t>0.21</w:t>
            </w:r>
          </w:p>
        </w:tc>
        <w:tc>
          <w:tcPr>
            <w:tcW w:w="625" w:type="dxa"/>
            <w:shd w:val="clear" w:color="auto" w:fill="8DB3E2" w:themeFill="text2" w:themeFillTint="66"/>
            <w:noWrap/>
            <w:tcMar>
              <w:left w:w="57" w:type="dxa"/>
              <w:right w:w="57" w:type="dxa"/>
            </w:tcMar>
            <w:vAlign w:val="bottom"/>
            <w:hideMark/>
          </w:tcPr>
          <w:p w14:paraId="0E23D32E" w14:textId="30FC1A09" w:rsidR="00AC6C90" w:rsidRPr="00AC6C90" w:rsidRDefault="00AC6C90" w:rsidP="00AC6C90">
            <w:pPr>
              <w:spacing w:after="0"/>
              <w:jc w:val="right"/>
              <w:rPr>
                <w:rStyle w:val="IntenseReference"/>
              </w:rPr>
            </w:pPr>
            <w:r w:rsidRPr="00AC6C90">
              <w:rPr>
                <w:rStyle w:val="IntenseReference"/>
              </w:rPr>
              <w:t>0.85</w:t>
            </w:r>
          </w:p>
        </w:tc>
        <w:tc>
          <w:tcPr>
            <w:tcW w:w="625" w:type="dxa"/>
            <w:shd w:val="clear" w:color="auto" w:fill="C6D9F1" w:themeFill="text2" w:themeFillTint="33"/>
            <w:noWrap/>
            <w:tcMar>
              <w:left w:w="57" w:type="dxa"/>
              <w:right w:w="57" w:type="dxa"/>
            </w:tcMar>
            <w:vAlign w:val="bottom"/>
            <w:hideMark/>
          </w:tcPr>
          <w:p w14:paraId="0F694137" w14:textId="02F15740" w:rsidR="00AC6C90" w:rsidRPr="00AC6C90" w:rsidRDefault="00AC6C90" w:rsidP="00AC6C90">
            <w:pPr>
              <w:spacing w:after="0"/>
              <w:jc w:val="right"/>
              <w:rPr>
                <w:rStyle w:val="IntenseReference"/>
              </w:rPr>
            </w:pPr>
            <w:r w:rsidRPr="00AC6C90">
              <w:rPr>
                <w:rStyle w:val="IntenseReference"/>
              </w:rPr>
              <w:t>0.25</w:t>
            </w:r>
          </w:p>
        </w:tc>
        <w:tc>
          <w:tcPr>
            <w:tcW w:w="626" w:type="dxa"/>
            <w:shd w:val="clear" w:color="auto" w:fill="C6D9F1" w:themeFill="text2" w:themeFillTint="33"/>
            <w:noWrap/>
            <w:tcMar>
              <w:left w:w="57" w:type="dxa"/>
              <w:right w:w="57" w:type="dxa"/>
            </w:tcMar>
            <w:vAlign w:val="bottom"/>
            <w:hideMark/>
          </w:tcPr>
          <w:p w14:paraId="53F7829E" w14:textId="2471FF37" w:rsidR="00AC6C90" w:rsidRPr="00AC6C90" w:rsidRDefault="00AC6C90" w:rsidP="00AC6C90">
            <w:pPr>
              <w:spacing w:after="0"/>
              <w:jc w:val="right"/>
              <w:rPr>
                <w:rStyle w:val="IntenseReference"/>
              </w:rPr>
            </w:pPr>
            <w:r w:rsidRPr="00AC6C90">
              <w:rPr>
                <w:rStyle w:val="IntenseReference"/>
              </w:rPr>
              <w:t>0.73</w:t>
            </w:r>
          </w:p>
        </w:tc>
        <w:tc>
          <w:tcPr>
            <w:tcW w:w="625" w:type="dxa"/>
            <w:shd w:val="clear" w:color="auto" w:fill="548DD4" w:themeFill="text2" w:themeFillTint="99"/>
            <w:noWrap/>
            <w:tcMar>
              <w:left w:w="57" w:type="dxa"/>
              <w:right w:w="57" w:type="dxa"/>
            </w:tcMar>
            <w:vAlign w:val="bottom"/>
            <w:hideMark/>
          </w:tcPr>
          <w:p w14:paraId="595AC49C" w14:textId="190432FC" w:rsidR="00AC6C90" w:rsidRPr="00AC6C90" w:rsidRDefault="00AC6C90" w:rsidP="00AC6C90">
            <w:pPr>
              <w:spacing w:after="0"/>
              <w:jc w:val="right"/>
              <w:rPr>
                <w:rStyle w:val="IntenseReference"/>
              </w:rPr>
            </w:pPr>
            <w:r w:rsidRPr="00AC6C90">
              <w:rPr>
                <w:rStyle w:val="IntenseReference"/>
              </w:rPr>
              <w:t>0.10</w:t>
            </w:r>
          </w:p>
        </w:tc>
        <w:tc>
          <w:tcPr>
            <w:tcW w:w="625" w:type="dxa"/>
            <w:shd w:val="clear" w:color="auto" w:fill="548DD4" w:themeFill="text2" w:themeFillTint="99"/>
            <w:noWrap/>
            <w:tcMar>
              <w:left w:w="57" w:type="dxa"/>
              <w:right w:w="57" w:type="dxa"/>
            </w:tcMar>
            <w:vAlign w:val="bottom"/>
            <w:hideMark/>
          </w:tcPr>
          <w:p w14:paraId="0A356D04" w14:textId="05E32D9D" w:rsidR="00AC6C90" w:rsidRPr="00AC6C90" w:rsidRDefault="00AC6C90" w:rsidP="00AC6C90">
            <w:pPr>
              <w:spacing w:after="0"/>
              <w:jc w:val="right"/>
              <w:rPr>
                <w:rStyle w:val="IntenseReference"/>
              </w:rPr>
            </w:pPr>
            <w:r w:rsidRPr="00AC6C90">
              <w:rPr>
                <w:rStyle w:val="IntenseReference"/>
              </w:rPr>
              <w:t>0.95</w:t>
            </w:r>
          </w:p>
        </w:tc>
        <w:tc>
          <w:tcPr>
            <w:tcW w:w="625" w:type="dxa"/>
            <w:shd w:val="clear" w:color="auto" w:fill="C6D9F1" w:themeFill="text2" w:themeFillTint="33"/>
            <w:noWrap/>
            <w:tcMar>
              <w:left w:w="57" w:type="dxa"/>
              <w:right w:w="57" w:type="dxa"/>
            </w:tcMar>
            <w:vAlign w:val="bottom"/>
            <w:hideMark/>
          </w:tcPr>
          <w:p w14:paraId="3EA3EBD9" w14:textId="42549C13" w:rsidR="00AC6C90" w:rsidRPr="00AC6C90" w:rsidRDefault="00AC6C90" w:rsidP="00AC6C90">
            <w:pPr>
              <w:spacing w:after="0"/>
              <w:jc w:val="right"/>
              <w:rPr>
                <w:rStyle w:val="IntenseReference"/>
              </w:rPr>
            </w:pPr>
            <w:r w:rsidRPr="00AC6C90">
              <w:rPr>
                <w:rStyle w:val="IntenseReference"/>
              </w:rPr>
              <w:t>0.23</w:t>
            </w:r>
          </w:p>
        </w:tc>
        <w:tc>
          <w:tcPr>
            <w:tcW w:w="625" w:type="dxa"/>
            <w:shd w:val="clear" w:color="auto" w:fill="C6D9F1" w:themeFill="text2" w:themeFillTint="33"/>
            <w:noWrap/>
            <w:tcMar>
              <w:left w:w="57" w:type="dxa"/>
              <w:right w:w="57" w:type="dxa"/>
            </w:tcMar>
            <w:vAlign w:val="bottom"/>
            <w:hideMark/>
          </w:tcPr>
          <w:p w14:paraId="319BC2EB" w14:textId="30F81252" w:rsidR="00AC6C90" w:rsidRPr="00AC6C90" w:rsidRDefault="00AC6C90" w:rsidP="00AC6C90">
            <w:pPr>
              <w:spacing w:after="0"/>
              <w:jc w:val="right"/>
              <w:rPr>
                <w:rStyle w:val="IntenseReference"/>
              </w:rPr>
            </w:pPr>
            <w:r w:rsidRPr="00AC6C90">
              <w:rPr>
                <w:rStyle w:val="IntenseReference"/>
              </w:rPr>
              <w:t>0.76</w:t>
            </w:r>
          </w:p>
        </w:tc>
        <w:tc>
          <w:tcPr>
            <w:tcW w:w="625" w:type="dxa"/>
            <w:shd w:val="clear" w:color="auto" w:fill="auto"/>
            <w:noWrap/>
            <w:tcMar>
              <w:left w:w="57" w:type="dxa"/>
              <w:right w:w="57" w:type="dxa"/>
            </w:tcMar>
            <w:vAlign w:val="bottom"/>
            <w:hideMark/>
          </w:tcPr>
          <w:p w14:paraId="3F91781B" w14:textId="34101098" w:rsidR="00AC6C90" w:rsidRPr="00AC6C90" w:rsidRDefault="00AC6C90" w:rsidP="00AC6C90">
            <w:pPr>
              <w:spacing w:after="0"/>
              <w:jc w:val="right"/>
              <w:rPr>
                <w:rStyle w:val="IntenseReference"/>
              </w:rPr>
            </w:pPr>
            <w:r w:rsidRPr="00AC6C90">
              <w:rPr>
                <w:rStyle w:val="IntenseReference"/>
              </w:rPr>
              <w:t>0.00</w:t>
            </w:r>
          </w:p>
        </w:tc>
        <w:tc>
          <w:tcPr>
            <w:tcW w:w="626" w:type="dxa"/>
            <w:shd w:val="clear" w:color="auto" w:fill="auto"/>
            <w:noWrap/>
            <w:tcMar>
              <w:left w:w="57" w:type="dxa"/>
              <w:right w:w="57" w:type="dxa"/>
            </w:tcMar>
            <w:vAlign w:val="bottom"/>
            <w:hideMark/>
          </w:tcPr>
          <w:p w14:paraId="4AB96944" w14:textId="6A733F3A" w:rsidR="00AC6C90" w:rsidRPr="00AC6C90" w:rsidRDefault="00AC6C90" w:rsidP="00AC6C90">
            <w:pPr>
              <w:spacing w:after="0"/>
              <w:jc w:val="right"/>
              <w:rPr>
                <w:rStyle w:val="IntenseReference"/>
              </w:rPr>
            </w:pPr>
            <w:r w:rsidRPr="00AC6C90">
              <w:rPr>
                <w:rStyle w:val="IntenseReference"/>
              </w:rPr>
              <w:t>0.53</w:t>
            </w:r>
          </w:p>
        </w:tc>
      </w:tr>
    </w:tbl>
    <w:p w14:paraId="11EA907F" w14:textId="4BAF8E63" w:rsidR="00B36605" w:rsidRPr="00F301BD" w:rsidRDefault="00B36605" w:rsidP="00B36605">
      <w:pPr>
        <w:rPr>
          <w:rFonts w:cs="Arial"/>
          <w:szCs w:val="22"/>
        </w:rPr>
      </w:pPr>
    </w:p>
    <w:p w14:paraId="11EA9080" w14:textId="14533622" w:rsidR="00B36605" w:rsidRDefault="002C318B" w:rsidP="00671DC7">
      <w:r>
        <w:t>Declines in the index through to 201</w:t>
      </w:r>
      <w:r w:rsidR="002E5E8F">
        <w:t>2</w:t>
      </w:r>
      <w:r>
        <w:t xml:space="preserve"> coincided with the combined influence of Cyclone Yasi and a period of very high discharge from the region</w:t>
      </w:r>
      <w:r w:rsidR="002E5E8F">
        <w:t>’</w:t>
      </w:r>
      <w:r>
        <w:t>s rivers (</w:t>
      </w:r>
      <w:r w:rsidR="002E5E8F">
        <w:fldChar w:fldCharType="begin"/>
      </w:r>
      <w:r w:rsidR="002E5E8F">
        <w:instrText xml:space="preserve"> REF _Ref491336872 \h </w:instrText>
      </w:r>
      <w:r w:rsidR="002E5E8F">
        <w:fldChar w:fldCharType="separate"/>
      </w:r>
      <w:r w:rsidR="00D806F2">
        <w:t xml:space="preserve">Figure </w:t>
      </w:r>
      <w:r w:rsidR="00D806F2">
        <w:rPr>
          <w:noProof/>
        </w:rPr>
        <w:t>18</w:t>
      </w:r>
      <w:r w:rsidR="002E5E8F">
        <w:fldChar w:fldCharType="end"/>
      </w:r>
      <w:r w:rsidR="002E5E8F">
        <w:t>d, e</w:t>
      </w:r>
      <w:r>
        <w:t>).</w:t>
      </w:r>
      <w:r w:rsidR="002E5E8F">
        <w:t xml:space="preserve"> </w:t>
      </w:r>
      <w:r w:rsidR="00B36605" w:rsidRPr="00F301BD">
        <w:rPr>
          <w:rFonts w:cs="Arial"/>
          <w:szCs w:val="22"/>
        </w:rPr>
        <w:t xml:space="preserve">Since </w:t>
      </w:r>
      <w:r w:rsidR="00C10AB2">
        <w:rPr>
          <w:rFonts w:cs="Arial"/>
          <w:szCs w:val="22"/>
        </w:rPr>
        <w:t xml:space="preserve">2005, </w:t>
      </w:r>
      <w:r w:rsidR="00B36605" w:rsidRPr="00F301BD">
        <w:rPr>
          <w:rFonts w:cs="Arial"/>
          <w:szCs w:val="22"/>
        </w:rPr>
        <w:t xml:space="preserve">cyclones </w:t>
      </w:r>
      <w:r w:rsidR="00C10AB2">
        <w:rPr>
          <w:rFonts w:cs="Arial"/>
          <w:szCs w:val="22"/>
        </w:rPr>
        <w:t>and st</w:t>
      </w:r>
      <w:r w:rsidR="00F20E7A">
        <w:rPr>
          <w:rFonts w:cs="Arial"/>
          <w:szCs w:val="22"/>
        </w:rPr>
        <w:t>orms have accounted for 57% of h</w:t>
      </w:r>
      <w:r w:rsidR="00C10AB2">
        <w:rPr>
          <w:rFonts w:cs="Arial"/>
          <w:szCs w:val="22"/>
        </w:rPr>
        <w:t>ard coral losses (</w:t>
      </w:r>
      <w:r w:rsidR="002E5E8F">
        <w:rPr>
          <w:rFonts w:cs="Arial"/>
          <w:szCs w:val="22"/>
        </w:rPr>
        <w:fldChar w:fldCharType="begin"/>
      </w:r>
      <w:r w:rsidR="002E5E8F">
        <w:rPr>
          <w:rFonts w:cs="Arial"/>
          <w:szCs w:val="22"/>
        </w:rPr>
        <w:instrText xml:space="preserve"> REF _Ref491336872 \h </w:instrText>
      </w:r>
      <w:r w:rsidR="002E5E8F">
        <w:rPr>
          <w:rFonts w:cs="Arial"/>
          <w:szCs w:val="22"/>
        </w:rPr>
      </w:r>
      <w:r w:rsidR="002E5E8F">
        <w:rPr>
          <w:rFonts w:cs="Arial"/>
          <w:szCs w:val="22"/>
        </w:rPr>
        <w:fldChar w:fldCharType="separate"/>
      </w:r>
      <w:r w:rsidR="00D806F2">
        <w:t xml:space="preserve">Figure </w:t>
      </w:r>
      <w:r w:rsidR="00D806F2">
        <w:rPr>
          <w:noProof/>
        </w:rPr>
        <w:t>18</w:t>
      </w:r>
      <w:r w:rsidR="002E5E8F">
        <w:rPr>
          <w:rFonts w:cs="Arial"/>
          <w:szCs w:val="22"/>
        </w:rPr>
        <w:fldChar w:fldCharType="end"/>
      </w:r>
      <w:r w:rsidR="00C10AB2">
        <w:rPr>
          <w:rFonts w:cs="Arial"/>
          <w:szCs w:val="22"/>
        </w:rPr>
        <w:t>e).</w:t>
      </w:r>
      <w:r w:rsidR="00E75F5C">
        <w:rPr>
          <w:rFonts w:cs="Arial"/>
          <w:szCs w:val="22"/>
        </w:rPr>
        <w:t xml:space="preserve"> </w:t>
      </w:r>
      <w:r w:rsidR="00B36605" w:rsidRPr="00F301BD">
        <w:rPr>
          <w:rFonts w:cs="Arial"/>
          <w:szCs w:val="22"/>
        </w:rPr>
        <w:t>East-facing locations, such as Palms East and Lady Elliot</w:t>
      </w:r>
      <w:r w:rsidR="00C10AB2">
        <w:rPr>
          <w:rFonts w:cs="Arial"/>
          <w:szCs w:val="22"/>
        </w:rPr>
        <w:t xml:space="preserve"> (2 m)</w:t>
      </w:r>
      <w:r w:rsidR="00B36605" w:rsidRPr="00F301BD">
        <w:rPr>
          <w:rFonts w:cs="Arial"/>
          <w:szCs w:val="22"/>
        </w:rPr>
        <w:t xml:space="preserve">, </w:t>
      </w:r>
      <w:r w:rsidR="00C10AB2">
        <w:rPr>
          <w:rFonts w:cs="Arial"/>
          <w:szCs w:val="22"/>
        </w:rPr>
        <w:t>we</w:t>
      </w:r>
      <w:r w:rsidR="00B36605" w:rsidRPr="00F301BD">
        <w:rPr>
          <w:rFonts w:cs="Arial"/>
          <w:szCs w:val="22"/>
        </w:rPr>
        <w:t>re particularly exposed to storm driven seas, and show the impacts of Cyclone Larry (2006) and Cyclone Yasi (2011) (</w:t>
      </w:r>
      <w:r w:rsidR="00BE20D6">
        <w:rPr>
          <w:rFonts w:cs="Arial"/>
          <w:szCs w:val="22"/>
        </w:rPr>
        <w:fldChar w:fldCharType="begin"/>
      </w:r>
      <w:r w:rsidR="00BE20D6">
        <w:rPr>
          <w:rFonts w:cs="Arial"/>
          <w:szCs w:val="22"/>
        </w:rPr>
        <w:instrText xml:space="preserve"> REF _Ref492390160 \h </w:instrText>
      </w:r>
      <w:r w:rsidR="00BE20D6">
        <w:rPr>
          <w:rFonts w:cs="Arial"/>
          <w:szCs w:val="22"/>
        </w:rPr>
      </w:r>
      <w:r w:rsidR="00BE20D6">
        <w:rPr>
          <w:rFonts w:cs="Arial"/>
          <w:szCs w:val="22"/>
        </w:rPr>
        <w:fldChar w:fldCharType="separate"/>
      </w:r>
      <w:r w:rsidR="00D806F2">
        <w:t xml:space="preserve">Figure A1. </w:t>
      </w:r>
      <w:r w:rsidR="00D806F2">
        <w:rPr>
          <w:noProof/>
        </w:rPr>
        <w:t>4</w:t>
      </w:r>
      <w:r w:rsidR="00BE20D6">
        <w:rPr>
          <w:rFonts w:cs="Arial"/>
          <w:szCs w:val="22"/>
        </w:rPr>
        <w:fldChar w:fldCharType="end"/>
      </w:r>
      <w:r w:rsidR="00BE20D6">
        <w:rPr>
          <w:rFonts w:cs="Arial"/>
          <w:szCs w:val="22"/>
        </w:rPr>
        <w:t xml:space="preserve">, </w:t>
      </w:r>
      <w:r w:rsidR="003E2ED1">
        <w:rPr>
          <w:rFonts w:cs="Arial"/>
          <w:szCs w:val="22"/>
        </w:rPr>
        <w:fldChar w:fldCharType="begin"/>
      </w:r>
      <w:r w:rsidR="003E2ED1">
        <w:rPr>
          <w:rFonts w:cs="Arial"/>
          <w:szCs w:val="22"/>
        </w:rPr>
        <w:instrText xml:space="preserve"> REF _Ref491178994 \h </w:instrText>
      </w:r>
      <w:r w:rsidR="00671DC7">
        <w:rPr>
          <w:rFonts w:cs="Arial"/>
          <w:szCs w:val="22"/>
        </w:rPr>
        <w:instrText xml:space="preserve"> \* MERGEFORMAT </w:instrText>
      </w:r>
      <w:r w:rsidR="003E2ED1">
        <w:rPr>
          <w:rFonts w:cs="Arial"/>
          <w:szCs w:val="22"/>
        </w:rPr>
      </w:r>
      <w:r w:rsidR="003E2ED1">
        <w:rPr>
          <w:rFonts w:cs="Arial"/>
          <w:szCs w:val="22"/>
        </w:rPr>
        <w:fldChar w:fldCharType="separate"/>
      </w:r>
      <w:r w:rsidR="00D806F2">
        <w:t xml:space="preserve">Table A1. </w:t>
      </w:r>
      <w:r w:rsidR="00D806F2">
        <w:rPr>
          <w:noProof/>
        </w:rPr>
        <w:t>4</w:t>
      </w:r>
      <w:r w:rsidR="003E2ED1">
        <w:rPr>
          <w:rFonts w:cs="Arial"/>
          <w:szCs w:val="22"/>
        </w:rPr>
        <w:fldChar w:fldCharType="end"/>
      </w:r>
      <w:r w:rsidR="00B36605" w:rsidRPr="00F301BD">
        <w:rPr>
          <w:rFonts w:cs="Arial"/>
          <w:szCs w:val="22"/>
        </w:rPr>
        <w:t xml:space="preserve">). </w:t>
      </w:r>
      <w:r w:rsidR="00C10AB2">
        <w:rPr>
          <w:rFonts w:cs="Arial"/>
          <w:szCs w:val="22"/>
        </w:rPr>
        <w:t xml:space="preserve">The lag in influence from </w:t>
      </w:r>
      <w:r w:rsidR="003E2ED1">
        <w:rPr>
          <w:rFonts w:cs="Arial"/>
          <w:szCs w:val="22"/>
        </w:rPr>
        <w:t>Cyclone Yasi</w:t>
      </w:r>
      <w:r w:rsidR="008456E8">
        <w:rPr>
          <w:rFonts w:cs="Arial"/>
          <w:szCs w:val="22"/>
        </w:rPr>
        <w:t>,</w:t>
      </w:r>
      <w:r w:rsidR="003E2ED1">
        <w:rPr>
          <w:rFonts w:cs="Arial"/>
          <w:szCs w:val="22"/>
        </w:rPr>
        <w:t xml:space="preserve"> noted in 2012</w:t>
      </w:r>
      <w:r w:rsidR="000A0CE6">
        <w:rPr>
          <w:rFonts w:cs="Arial"/>
          <w:szCs w:val="22"/>
        </w:rPr>
        <w:t xml:space="preserve"> (</w:t>
      </w:r>
      <w:r w:rsidR="003E2ED1">
        <w:rPr>
          <w:rFonts w:cs="Arial"/>
          <w:szCs w:val="22"/>
        </w:rPr>
        <w:fldChar w:fldCharType="begin"/>
      </w:r>
      <w:r w:rsidR="003E2ED1">
        <w:rPr>
          <w:rFonts w:cs="Arial"/>
          <w:szCs w:val="22"/>
        </w:rPr>
        <w:instrText xml:space="preserve"> REF _Ref491336872 \h </w:instrText>
      </w:r>
      <w:r w:rsidR="003E2ED1">
        <w:rPr>
          <w:rFonts w:cs="Arial"/>
          <w:szCs w:val="22"/>
        </w:rPr>
      </w:r>
      <w:r w:rsidR="003E2ED1">
        <w:rPr>
          <w:rFonts w:cs="Arial"/>
          <w:szCs w:val="22"/>
        </w:rPr>
        <w:fldChar w:fldCharType="separate"/>
      </w:r>
      <w:r w:rsidR="00D806F2">
        <w:t xml:space="preserve">Figure </w:t>
      </w:r>
      <w:r w:rsidR="00D806F2">
        <w:rPr>
          <w:noProof/>
        </w:rPr>
        <w:t>18</w:t>
      </w:r>
      <w:r w:rsidR="003E2ED1">
        <w:rPr>
          <w:rFonts w:cs="Arial"/>
          <w:szCs w:val="22"/>
        </w:rPr>
        <w:fldChar w:fldCharType="end"/>
      </w:r>
      <w:r w:rsidR="003E2ED1">
        <w:rPr>
          <w:rFonts w:cs="Arial"/>
          <w:szCs w:val="22"/>
        </w:rPr>
        <w:t>e</w:t>
      </w:r>
      <w:r w:rsidR="00C10AB2">
        <w:rPr>
          <w:rFonts w:cs="Arial"/>
          <w:szCs w:val="22"/>
        </w:rPr>
        <w:t>)</w:t>
      </w:r>
      <w:r w:rsidR="008456E8">
        <w:rPr>
          <w:rFonts w:cs="Arial"/>
          <w:szCs w:val="22"/>
        </w:rPr>
        <w:t>,</w:t>
      </w:r>
      <w:r w:rsidR="00C10AB2">
        <w:rPr>
          <w:rFonts w:cs="Arial"/>
          <w:szCs w:val="22"/>
        </w:rPr>
        <w:t xml:space="preserve"> is due to LTMP surveys post Yasi not occurring until </w:t>
      </w:r>
      <w:r w:rsidR="008456E8">
        <w:rPr>
          <w:rFonts w:cs="Arial"/>
          <w:szCs w:val="22"/>
        </w:rPr>
        <w:t>that year</w:t>
      </w:r>
      <w:r w:rsidR="00C10AB2">
        <w:rPr>
          <w:rFonts w:cs="Arial"/>
          <w:szCs w:val="22"/>
        </w:rPr>
        <w:t xml:space="preserve">. </w:t>
      </w:r>
      <w:r w:rsidR="00B36605" w:rsidRPr="00F301BD">
        <w:rPr>
          <w:rFonts w:cs="Arial"/>
          <w:szCs w:val="22"/>
        </w:rPr>
        <w:t>The last ou</w:t>
      </w:r>
      <w:r w:rsidR="00B36605" w:rsidRPr="003C0562">
        <w:t xml:space="preserve">tbreak </w:t>
      </w:r>
      <w:r w:rsidR="008456E8">
        <w:t xml:space="preserve">of </w:t>
      </w:r>
      <w:r w:rsidR="003E2ED1">
        <w:t xml:space="preserve">COTS on the inshore reefs in this region </w:t>
      </w:r>
      <w:r w:rsidR="00B36605" w:rsidRPr="003C0562">
        <w:t xml:space="preserve">occurred at Havannah </w:t>
      </w:r>
      <w:r w:rsidR="00B36605">
        <w:t>i</w:t>
      </w:r>
      <w:r w:rsidR="00B36605" w:rsidRPr="003C0562">
        <w:t xml:space="preserve">n 2001. </w:t>
      </w:r>
      <w:r w:rsidR="00F20E7A">
        <w:t>In 2016</w:t>
      </w:r>
      <w:r w:rsidR="008456E8">
        <w:t>,</w:t>
      </w:r>
      <w:r w:rsidR="00F20E7A">
        <w:t xml:space="preserve"> </w:t>
      </w:r>
      <w:r w:rsidR="00B36605">
        <w:t xml:space="preserve">a single juvenile </w:t>
      </w:r>
      <w:r w:rsidR="00F20E7A">
        <w:t xml:space="preserve">COTS </w:t>
      </w:r>
      <w:r w:rsidR="00B36605">
        <w:t>was observed at Palms</w:t>
      </w:r>
      <w:r w:rsidR="003E2ED1">
        <w:t xml:space="preserve"> East</w:t>
      </w:r>
      <w:r w:rsidR="00B36605" w:rsidRPr="003C0562">
        <w:t>.</w:t>
      </w:r>
      <w:r w:rsidR="003E2ED1">
        <w:t xml:space="preserve"> On the mid shelf reefs in this region COTS numbers are in outbreak densities at some reefs (</w:t>
      </w:r>
      <w:hyperlink r:id="rId53" w:history="1">
        <w:r w:rsidR="003E2ED1" w:rsidRPr="003E2ED1">
          <w:rPr>
            <w:rStyle w:val="Hyperlink"/>
          </w:rPr>
          <w:t>AIMS LTMP</w:t>
        </w:r>
      </w:hyperlink>
      <w:r w:rsidR="003E2ED1">
        <w:t>).</w:t>
      </w:r>
      <w:r w:rsidR="00E75F5C">
        <w:t xml:space="preserve"> </w:t>
      </w:r>
    </w:p>
    <w:p w14:paraId="195EEDDE" w14:textId="262A64EB" w:rsidR="0039205B" w:rsidRDefault="00236880" w:rsidP="00B36605">
      <w:r>
        <w:t xml:space="preserve">In addition to losses in coral cover attributed to </w:t>
      </w:r>
      <w:r w:rsidR="00B36605">
        <w:t>Cyclone Yasi</w:t>
      </w:r>
      <w:r>
        <w:t>,</w:t>
      </w:r>
      <w:r w:rsidR="00B36605">
        <w:t xml:space="preserve"> </w:t>
      </w:r>
      <w:r>
        <w:t>the period 2009</w:t>
      </w:r>
      <w:r w:rsidR="008456E8">
        <w:t xml:space="preserve"> to </w:t>
      </w:r>
      <w:r>
        <w:t>2012 saw a reduction in the Coral Change metric (</w:t>
      </w:r>
      <w:r w:rsidR="003E2ED1">
        <w:fldChar w:fldCharType="begin"/>
      </w:r>
      <w:r w:rsidR="003E2ED1">
        <w:instrText xml:space="preserve"> REF _Ref491336568 \h </w:instrText>
      </w:r>
      <w:r w:rsidR="003E2ED1">
        <w:fldChar w:fldCharType="separate"/>
      </w:r>
      <w:r w:rsidR="00D806F2">
        <w:t xml:space="preserve">Table </w:t>
      </w:r>
      <w:r w:rsidR="00D806F2">
        <w:rPr>
          <w:noProof/>
        </w:rPr>
        <w:t>13</w:t>
      </w:r>
      <w:r w:rsidR="003E2ED1">
        <w:fldChar w:fldCharType="end"/>
      </w:r>
      <w:r>
        <w:t>)</w:t>
      </w:r>
      <w:r w:rsidR="006605C0">
        <w:t>. O</w:t>
      </w:r>
      <w:r w:rsidR="008456E8">
        <w:t>ver</w:t>
      </w:r>
      <w:r w:rsidR="003E2ED1">
        <w:t>all</w:t>
      </w:r>
      <w:r w:rsidR="008456E8">
        <w:t>,</w:t>
      </w:r>
      <w:r w:rsidR="003E2ED1">
        <w:t xml:space="preserve"> low rates of increase in coral cover </w:t>
      </w:r>
      <w:r>
        <w:t>contributed to</w:t>
      </w:r>
      <w:r w:rsidR="00E75F5C">
        <w:t xml:space="preserve"> </w:t>
      </w:r>
      <w:r>
        <w:t xml:space="preserve">35% of cover lost since 2005 </w:t>
      </w:r>
      <w:r w:rsidR="003E2ED1">
        <w:t>(</w:t>
      </w:r>
      <w:r>
        <w:t>chronic pressures</w:t>
      </w:r>
      <w:r w:rsidR="003E2ED1">
        <w:t xml:space="preserve">, </w:t>
      </w:r>
      <w:r w:rsidR="003E2ED1">
        <w:fldChar w:fldCharType="begin"/>
      </w:r>
      <w:r w:rsidR="003E2ED1">
        <w:instrText xml:space="preserve"> REF _Ref491336872 \h </w:instrText>
      </w:r>
      <w:r w:rsidR="003E2ED1">
        <w:fldChar w:fldCharType="separate"/>
      </w:r>
      <w:r w:rsidR="00D806F2">
        <w:t xml:space="preserve">Figure </w:t>
      </w:r>
      <w:r w:rsidR="00D806F2">
        <w:rPr>
          <w:noProof/>
        </w:rPr>
        <w:t>18</w:t>
      </w:r>
      <w:r w:rsidR="003E2ED1">
        <w:fldChar w:fldCharType="end"/>
      </w:r>
      <w:r w:rsidR="003E2ED1">
        <w:t>e</w:t>
      </w:r>
      <w:r>
        <w:t xml:space="preserve">). </w:t>
      </w:r>
      <w:r w:rsidR="00B36605" w:rsidRPr="003C0562">
        <w:t>Although not categorised as a disease outbreak for the purpose of disturbance estimatio</w:t>
      </w:r>
      <w:r w:rsidR="003E2ED1">
        <w:t>n</w:t>
      </w:r>
      <w:r w:rsidR="00B36605" w:rsidRPr="003C0562">
        <w:t>, elevated levels of disease were observed from 2007 to 2009 (</w:t>
      </w:r>
      <w:r w:rsidR="00BE6021">
        <w:fldChar w:fldCharType="begin"/>
      </w:r>
      <w:r w:rsidR="00BE6021">
        <w:instrText xml:space="preserve"> REF _Ref491178664 \h </w:instrText>
      </w:r>
      <w:r w:rsidR="00BE6021">
        <w:fldChar w:fldCharType="separate"/>
      </w:r>
      <w:r w:rsidR="00D806F2">
        <w:t xml:space="preserve">Figure A1. </w:t>
      </w:r>
      <w:r w:rsidR="00D806F2">
        <w:rPr>
          <w:noProof/>
        </w:rPr>
        <w:t>7</w:t>
      </w:r>
      <w:r w:rsidR="00BE6021">
        <w:fldChar w:fldCharType="end"/>
      </w:r>
      <w:r w:rsidR="00B36605" w:rsidRPr="003C0562">
        <w:t>)</w:t>
      </w:r>
      <w:r w:rsidR="00B36605">
        <w:t xml:space="preserve"> </w:t>
      </w:r>
      <w:r w:rsidR="008456E8">
        <w:t xml:space="preserve">and </w:t>
      </w:r>
      <w:r w:rsidR="00B36605">
        <w:t>will have contributed to the chronic disturbances recorded in 2008, 2009 and 2010 (</w:t>
      </w:r>
      <w:r w:rsidR="0039205B">
        <w:fldChar w:fldCharType="begin"/>
      </w:r>
      <w:r w:rsidR="0039205B">
        <w:instrText xml:space="preserve"> REF _Ref491336872 \h </w:instrText>
      </w:r>
      <w:r w:rsidR="0039205B">
        <w:fldChar w:fldCharType="separate"/>
      </w:r>
      <w:r w:rsidR="00D806F2">
        <w:t xml:space="preserve">Figure </w:t>
      </w:r>
      <w:r w:rsidR="00D806F2">
        <w:rPr>
          <w:noProof/>
        </w:rPr>
        <w:t>18</w:t>
      </w:r>
      <w:r w:rsidR="0039205B">
        <w:fldChar w:fldCharType="end"/>
      </w:r>
      <w:r w:rsidR="00B36605">
        <w:t xml:space="preserve">e). Chronic </w:t>
      </w:r>
      <w:r w:rsidR="00AF2237">
        <w:t xml:space="preserve">pressures are assumed when there is no evidence for impacts </w:t>
      </w:r>
      <w:r w:rsidR="0039205B">
        <w:t xml:space="preserve">associated with </w:t>
      </w:r>
      <w:r w:rsidR="00AF2237">
        <w:t xml:space="preserve">acute </w:t>
      </w:r>
      <w:r w:rsidR="00B36605">
        <w:t xml:space="preserve">disturbances, and represent the cumulative impacts of environmental pressures that suppress the </w:t>
      </w:r>
      <w:r w:rsidR="008456E8">
        <w:t xml:space="preserve">annual increments in cover increase that are the basis of the </w:t>
      </w:r>
      <w:r w:rsidR="00AF2237">
        <w:t>C</w:t>
      </w:r>
      <w:r w:rsidR="00B36605">
        <w:t xml:space="preserve">oral </w:t>
      </w:r>
      <w:r w:rsidR="00AF2237">
        <w:t>C</w:t>
      </w:r>
      <w:r w:rsidR="008456E8">
        <w:t>hange</w:t>
      </w:r>
      <w:r w:rsidR="00AF2237">
        <w:t xml:space="preserve"> scores</w:t>
      </w:r>
      <w:r w:rsidR="00B36605">
        <w:t xml:space="preserve">. As </w:t>
      </w:r>
      <w:r w:rsidR="00B36605" w:rsidRPr="007668F4">
        <w:rPr>
          <w:i/>
        </w:rPr>
        <w:t>Acropora</w:t>
      </w:r>
      <w:r w:rsidR="00B36605">
        <w:t xml:space="preserve"> and </w:t>
      </w:r>
      <w:r w:rsidR="00B36605" w:rsidRPr="007668F4">
        <w:rPr>
          <w:i/>
        </w:rPr>
        <w:t>Montipora</w:t>
      </w:r>
      <w:r w:rsidR="00B36605">
        <w:t xml:space="preserve"> were the genera </w:t>
      </w:r>
      <w:r w:rsidR="00AF2237">
        <w:t xml:space="preserve">most infected by </w:t>
      </w:r>
      <w:r w:rsidR="00B36605">
        <w:t>disease</w:t>
      </w:r>
      <w:r w:rsidR="0039205B">
        <w:t xml:space="preserve">, the disproportional loss of these groups </w:t>
      </w:r>
      <w:r w:rsidR="00B36605">
        <w:t xml:space="preserve">will have contributed to the decline in the </w:t>
      </w:r>
      <w:r w:rsidR="00AF2237">
        <w:t>C</w:t>
      </w:r>
      <w:r w:rsidR="00B36605">
        <w:t xml:space="preserve">omposition </w:t>
      </w:r>
      <w:r w:rsidR="0039205B">
        <w:t>metric.</w:t>
      </w:r>
    </w:p>
    <w:p w14:paraId="11EA9081" w14:textId="2C0EDD77" w:rsidR="00B36605" w:rsidRDefault="002C318B" w:rsidP="00B36605">
      <w:r>
        <w:t>The t</w:t>
      </w:r>
      <w:r w:rsidR="00D534C4" w:rsidRPr="009128EF">
        <w:t xml:space="preserve">en reefs </w:t>
      </w:r>
      <w:r>
        <w:t>monitored span a distinct gradient in water quality</w:t>
      </w:r>
      <w:r w:rsidR="00D534C4" w:rsidRPr="009128EF">
        <w:t xml:space="preserve">. The reefs </w:t>
      </w:r>
      <w:r w:rsidR="00970FE1">
        <w:t>closer to the coast</w:t>
      </w:r>
      <w:r w:rsidR="0039205B">
        <w:t xml:space="preserve">: </w:t>
      </w:r>
      <w:r w:rsidR="00D534C4" w:rsidRPr="009128EF">
        <w:t>Middle, Magnetic, Lady Elliot</w:t>
      </w:r>
      <w:r w:rsidR="00D534C4">
        <w:t xml:space="preserve"> and Pandora</w:t>
      </w:r>
      <w:r w:rsidR="00D534C4" w:rsidRPr="009128EF">
        <w:t xml:space="preserve"> are, on average, exposed to </w:t>
      </w:r>
      <w:r w:rsidR="00D534C4">
        <w:rPr>
          <w:rFonts w:cs="Arial"/>
          <w:szCs w:val="22"/>
        </w:rPr>
        <w:t xml:space="preserve">Chl </w:t>
      </w:r>
      <w:r w:rsidR="00D534C4" w:rsidRPr="0039205B">
        <w:rPr>
          <w:rFonts w:cs="Arial"/>
          <w:i/>
          <w:szCs w:val="22"/>
        </w:rPr>
        <w:t>a</w:t>
      </w:r>
      <w:r w:rsidR="00D534C4">
        <w:rPr>
          <w:rFonts w:cs="Arial"/>
          <w:szCs w:val="22"/>
        </w:rPr>
        <w:t xml:space="preserve"> concentrations that exceed the Guideline (</w:t>
      </w:r>
      <w:r w:rsidR="0039205B">
        <w:rPr>
          <w:rFonts w:cs="Arial"/>
          <w:szCs w:val="22"/>
        </w:rPr>
        <w:fldChar w:fldCharType="begin"/>
      </w:r>
      <w:r w:rsidR="0039205B">
        <w:rPr>
          <w:rFonts w:cs="Arial"/>
          <w:szCs w:val="22"/>
        </w:rPr>
        <w:instrText xml:space="preserve"> REF _Ref491336872 \h </w:instrText>
      </w:r>
      <w:r w:rsidR="0039205B">
        <w:rPr>
          <w:rFonts w:cs="Arial"/>
          <w:szCs w:val="22"/>
        </w:rPr>
      </w:r>
      <w:r w:rsidR="0039205B">
        <w:rPr>
          <w:rFonts w:cs="Arial"/>
          <w:szCs w:val="22"/>
        </w:rPr>
        <w:fldChar w:fldCharType="separate"/>
      </w:r>
      <w:r w:rsidR="00D806F2">
        <w:t xml:space="preserve">Figure </w:t>
      </w:r>
      <w:r w:rsidR="00D806F2">
        <w:rPr>
          <w:noProof/>
        </w:rPr>
        <w:t>18</w:t>
      </w:r>
      <w:r w:rsidR="0039205B">
        <w:rPr>
          <w:rFonts w:cs="Arial"/>
          <w:szCs w:val="22"/>
        </w:rPr>
        <w:fldChar w:fldCharType="end"/>
      </w:r>
      <w:r w:rsidR="0039205B">
        <w:rPr>
          <w:rFonts w:cs="Arial"/>
          <w:szCs w:val="22"/>
        </w:rPr>
        <w:t>a</w:t>
      </w:r>
      <w:r w:rsidR="00D534C4">
        <w:rPr>
          <w:rFonts w:cs="Arial"/>
          <w:szCs w:val="22"/>
        </w:rPr>
        <w:t>,</w:t>
      </w:r>
      <w:r w:rsidR="0039205B">
        <w:rPr>
          <w:rFonts w:cs="Arial"/>
          <w:szCs w:val="22"/>
        </w:rPr>
        <w:t xml:space="preserve"> </w:t>
      </w:r>
      <w:r w:rsidR="0039205B">
        <w:rPr>
          <w:rFonts w:cs="Arial"/>
          <w:szCs w:val="22"/>
        </w:rPr>
        <w:fldChar w:fldCharType="begin"/>
      </w:r>
      <w:r w:rsidR="0039205B">
        <w:rPr>
          <w:rFonts w:cs="Arial"/>
          <w:szCs w:val="22"/>
        </w:rPr>
        <w:instrText xml:space="preserve"> REF _Ref491177799 \h </w:instrText>
      </w:r>
      <w:r w:rsidR="0039205B">
        <w:rPr>
          <w:rFonts w:cs="Arial"/>
          <w:szCs w:val="22"/>
        </w:rPr>
      </w:r>
      <w:r w:rsidR="0039205B">
        <w:rPr>
          <w:rFonts w:cs="Arial"/>
          <w:szCs w:val="22"/>
        </w:rPr>
        <w:fldChar w:fldCharType="separate"/>
      </w:r>
      <w:r w:rsidR="00D806F2">
        <w:t xml:space="preserve">Table A1. </w:t>
      </w:r>
      <w:r w:rsidR="00D806F2">
        <w:rPr>
          <w:noProof/>
        </w:rPr>
        <w:t>6</w:t>
      </w:r>
      <w:r w:rsidR="0039205B">
        <w:rPr>
          <w:rFonts w:cs="Arial"/>
          <w:szCs w:val="22"/>
        </w:rPr>
        <w:fldChar w:fldCharType="end"/>
      </w:r>
      <w:r w:rsidR="00D534C4">
        <w:rPr>
          <w:rFonts w:cs="Arial"/>
          <w:szCs w:val="22"/>
        </w:rPr>
        <w:t>).</w:t>
      </w:r>
      <w:r w:rsidR="00970FE1">
        <w:rPr>
          <w:rFonts w:cs="Arial"/>
          <w:szCs w:val="22"/>
        </w:rPr>
        <w:t xml:space="preserve"> </w:t>
      </w:r>
      <w:r w:rsidR="00D534C4" w:rsidRPr="00F301BD">
        <w:rPr>
          <w:rFonts w:cs="Arial"/>
          <w:szCs w:val="22"/>
        </w:rPr>
        <w:t xml:space="preserve">The composition of coral </w:t>
      </w:r>
      <w:r w:rsidR="00970FE1">
        <w:rPr>
          <w:rFonts w:cs="Arial"/>
          <w:szCs w:val="22"/>
        </w:rPr>
        <w:t xml:space="preserve">communities vary in response these differences in </w:t>
      </w:r>
      <w:r w:rsidR="00D534C4" w:rsidRPr="00F301BD">
        <w:rPr>
          <w:rFonts w:cs="Arial"/>
          <w:szCs w:val="22"/>
        </w:rPr>
        <w:t xml:space="preserve">environmental </w:t>
      </w:r>
      <w:r w:rsidR="00D534C4">
        <w:rPr>
          <w:rFonts w:cs="Arial"/>
          <w:szCs w:val="22"/>
        </w:rPr>
        <w:t>conditions</w:t>
      </w:r>
      <w:r w:rsidR="00970FE1">
        <w:rPr>
          <w:rFonts w:cs="Arial"/>
          <w:szCs w:val="22"/>
        </w:rPr>
        <w:t xml:space="preserve"> (</w:t>
      </w:r>
      <w:r w:rsidR="0039205B">
        <w:rPr>
          <w:rFonts w:cs="Arial"/>
          <w:szCs w:val="22"/>
        </w:rPr>
        <w:fldChar w:fldCharType="begin"/>
      </w:r>
      <w:r w:rsidR="0039205B">
        <w:rPr>
          <w:rFonts w:cs="Arial"/>
          <w:szCs w:val="22"/>
        </w:rPr>
        <w:instrText xml:space="preserve"> REF _Ref491336593 \h </w:instrText>
      </w:r>
      <w:r w:rsidR="0039205B">
        <w:rPr>
          <w:rFonts w:cs="Arial"/>
          <w:szCs w:val="22"/>
        </w:rPr>
      </w:r>
      <w:r w:rsidR="0039205B">
        <w:rPr>
          <w:rFonts w:cs="Arial"/>
          <w:szCs w:val="22"/>
        </w:rPr>
        <w:fldChar w:fldCharType="separate"/>
      </w:r>
      <w:r w:rsidR="00D806F2">
        <w:t xml:space="preserve">Figure </w:t>
      </w:r>
      <w:r w:rsidR="00D806F2">
        <w:rPr>
          <w:noProof/>
        </w:rPr>
        <w:t>19</w:t>
      </w:r>
      <w:r w:rsidR="0039205B">
        <w:rPr>
          <w:rFonts w:cs="Arial"/>
          <w:szCs w:val="22"/>
        </w:rPr>
        <w:fldChar w:fldCharType="end"/>
      </w:r>
      <w:r w:rsidR="0039205B">
        <w:rPr>
          <w:rFonts w:cs="Arial"/>
          <w:szCs w:val="22"/>
        </w:rPr>
        <w:t>f</w:t>
      </w:r>
      <w:r w:rsidR="00970FE1">
        <w:rPr>
          <w:rFonts w:cs="Arial"/>
          <w:szCs w:val="22"/>
        </w:rPr>
        <w:t>),</w:t>
      </w:r>
      <w:r w:rsidR="00D534C4">
        <w:rPr>
          <w:rFonts w:cs="Arial"/>
          <w:szCs w:val="22"/>
        </w:rPr>
        <w:t xml:space="preserve"> </w:t>
      </w:r>
      <w:r w:rsidR="00D534C4" w:rsidRPr="00F301BD">
        <w:rPr>
          <w:rFonts w:cs="Arial"/>
          <w:szCs w:val="22"/>
        </w:rPr>
        <w:t>shift</w:t>
      </w:r>
      <w:r w:rsidR="00D534C4">
        <w:rPr>
          <w:rFonts w:cs="Arial"/>
          <w:szCs w:val="22"/>
        </w:rPr>
        <w:t>ing</w:t>
      </w:r>
      <w:r w:rsidR="00D534C4" w:rsidRPr="00F301BD">
        <w:rPr>
          <w:rFonts w:cs="Arial"/>
          <w:szCs w:val="22"/>
        </w:rPr>
        <w:t xml:space="preserve"> from </w:t>
      </w:r>
      <w:r w:rsidR="00D534C4">
        <w:rPr>
          <w:rFonts w:cs="Arial"/>
          <w:szCs w:val="22"/>
        </w:rPr>
        <w:t>a high proportional cover of t</w:t>
      </w:r>
      <w:r w:rsidR="00D534C4" w:rsidRPr="00F301BD">
        <w:rPr>
          <w:rFonts w:cs="Arial"/>
          <w:szCs w:val="22"/>
        </w:rPr>
        <w:t xml:space="preserve">he families Acroporidae, Pocilloporidae and Poritidae (genus </w:t>
      </w:r>
      <w:r w:rsidR="00D534C4" w:rsidRPr="00F301BD">
        <w:rPr>
          <w:rFonts w:cs="Arial"/>
          <w:i/>
          <w:szCs w:val="22"/>
        </w:rPr>
        <w:t>Porites</w:t>
      </w:r>
      <w:r w:rsidR="00D534C4" w:rsidRPr="00F301BD">
        <w:rPr>
          <w:rFonts w:cs="Arial"/>
          <w:szCs w:val="22"/>
        </w:rPr>
        <w:t xml:space="preserve">) </w:t>
      </w:r>
      <w:r w:rsidR="00970FE1">
        <w:rPr>
          <w:rFonts w:cs="Arial"/>
          <w:szCs w:val="22"/>
        </w:rPr>
        <w:t>in clear waters</w:t>
      </w:r>
      <w:r w:rsidR="00F20E7A">
        <w:rPr>
          <w:rFonts w:cs="Arial"/>
          <w:szCs w:val="22"/>
        </w:rPr>
        <w:t>,</w:t>
      </w:r>
      <w:r w:rsidR="00970FE1">
        <w:rPr>
          <w:rFonts w:cs="Arial"/>
          <w:szCs w:val="22"/>
        </w:rPr>
        <w:t xml:space="preserve"> or at 2</w:t>
      </w:r>
      <w:r w:rsidR="0039205B">
        <w:rPr>
          <w:rFonts w:cs="Arial"/>
          <w:szCs w:val="22"/>
        </w:rPr>
        <w:t xml:space="preserve"> </w:t>
      </w:r>
      <w:r w:rsidR="00970FE1">
        <w:rPr>
          <w:rFonts w:cs="Arial"/>
          <w:szCs w:val="22"/>
        </w:rPr>
        <w:t>m depths in more turbid settings</w:t>
      </w:r>
      <w:r w:rsidR="00F20E7A">
        <w:rPr>
          <w:rFonts w:cs="Arial"/>
          <w:szCs w:val="22"/>
        </w:rPr>
        <w:t>,</w:t>
      </w:r>
      <w:r w:rsidR="00D534C4" w:rsidRPr="00F301BD">
        <w:rPr>
          <w:rFonts w:cs="Arial"/>
          <w:szCs w:val="22"/>
        </w:rPr>
        <w:t xml:space="preserve"> through to </w:t>
      </w:r>
      <w:r w:rsidR="00D534C4">
        <w:rPr>
          <w:rFonts w:cs="Arial"/>
          <w:szCs w:val="22"/>
        </w:rPr>
        <w:t xml:space="preserve">a dominance </w:t>
      </w:r>
      <w:r w:rsidR="00970FE1">
        <w:rPr>
          <w:rFonts w:cs="Arial"/>
          <w:szCs w:val="22"/>
        </w:rPr>
        <w:t>of</w:t>
      </w:r>
      <w:r w:rsidR="00D534C4" w:rsidRPr="00F301BD">
        <w:rPr>
          <w:rFonts w:cs="Arial"/>
          <w:szCs w:val="22"/>
        </w:rPr>
        <w:t xml:space="preserve"> families </w:t>
      </w:r>
      <w:r w:rsidR="00D534C4">
        <w:rPr>
          <w:rFonts w:cs="Arial"/>
          <w:szCs w:val="22"/>
        </w:rPr>
        <w:t xml:space="preserve">including </w:t>
      </w:r>
      <w:r w:rsidR="00D534C4" w:rsidRPr="00F301BD">
        <w:rPr>
          <w:rFonts w:cs="Arial"/>
          <w:szCs w:val="22"/>
        </w:rPr>
        <w:t xml:space="preserve">Agariciidae, Oculinidae, Pectiniidae and Poritidae (Genus </w:t>
      </w:r>
      <w:r w:rsidR="00D534C4" w:rsidRPr="00F301BD">
        <w:rPr>
          <w:rFonts w:cs="Arial"/>
          <w:i/>
          <w:szCs w:val="22"/>
        </w:rPr>
        <w:t>Goniopora</w:t>
      </w:r>
      <w:r w:rsidR="00D534C4" w:rsidRPr="00F301BD">
        <w:rPr>
          <w:rFonts w:cs="Arial"/>
          <w:szCs w:val="22"/>
        </w:rPr>
        <w:t xml:space="preserve">) </w:t>
      </w:r>
      <w:r w:rsidR="00D534C4">
        <w:rPr>
          <w:rFonts w:cs="Arial"/>
          <w:szCs w:val="22"/>
        </w:rPr>
        <w:t>as water quality declines</w:t>
      </w:r>
      <w:r w:rsidR="00D534C4" w:rsidRPr="00F301BD">
        <w:rPr>
          <w:rFonts w:cs="Arial"/>
          <w:szCs w:val="22"/>
        </w:rPr>
        <w:t xml:space="preserve"> </w:t>
      </w:r>
      <w:r w:rsidR="00D534C4" w:rsidRPr="00BE20D6">
        <w:rPr>
          <w:rFonts w:cs="Arial"/>
          <w:szCs w:val="22"/>
        </w:rPr>
        <w:t>(</w:t>
      </w:r>
      <w:r w:rsidR="00BE20D6">
        <w:rPr>
          <w:rFonts w:cs="Arial"/>
          <w:szCs w:val="22"/>
        </w:rPr>
        <w:fldChar w:fldCharType="begin"/>
      </w:r>
      <w:r w:rsidR="00BE20D6">
        <w:rPr>
          <w:rFonts w:cs="Arial"/>
          <w:szCs w:val="22"/>
        </w:rPr>
        <w:instrText xml:space="preserve"> REF _Ref492390160 \h </w:instrText>
      </w:r>
      <w:r w:rsidR="00BE20D6">
        <w:rPr>
          <w:rFonts w:cs="Arial"/>
          <w:szCs w:val="22"/>
        </w:rPr>
      </w:r>
      <w:r w:rsidR="00BE20D6">
        <w:rPr>
          <w:rFonts w:cs="Arial"/>
          <w:szCs w:val="22"/>
        </w:rPr>
        <w:fldChar w:fldCharType="separate"/>
      </w:r>
      <w:r w:rsidR="00D806F2">
        <w:t xml:space="preserve">Figure A1. </w:t>
      </w:r>
      <w:r w:rsidR="00D806F2">
        <w:rPr>
          <w:noProof/>
        </w:rPr>
        <w:t>4</w:t>
      </w:r>
      <w:r w:rsidR="00BE20D6">
        <w:rPr>
          <w:rFonts w:cs="Arial"/>
          <w:szCs w:val="22"/>
        </w:rPr>
        <w:fldChar w:fldCharType="end"/>
      </w:r>
      <w:r w:rsidR="00D534C4" w:rsidRPr="00BE20D6">
        <w:rPr>
          <w:rFonts w:cs="Arial"/>
          <w:szCs w:val="22"/>
        </w:rPr>
        <w:t>).</w:t>
      </w:r>
      <w:r w:rsidR="00D534C4" w:rsidRPr="00F301BD">
        <w:rPr>
          <w:rFonts w:cs="Arial"/>
          <w:szCs w:val="22"/>
        </w:rPr>
        <w:t xml:space="preserve"> </w:t>
      </w:r>
      <w:r w:rsidR="00230FDD">
        <w:rPr>
          <w:rFonts w:cs="Arial"/>
          <w:szCs w:val="22"/>
        </w:rPr>
        <w:t xml:space="preserve">Above Guideline </w:t>
      </w:r>
      <w:r w:rsidR="007144DB">
        <w:rPr>
          <w:rFonts w:cs="Arial"/>
          <w:szCs w:val="22"/>
        </w:rPr>
        <w:t>concentration of</w:t>
      </w:r>
      <w:r w:rsidR="00230FDD">
        <w:rPr>
          <w:rFonts w:cs="Arial"/>
          <w:szCs w:val="22"/>
        </w:rPr>
        <w:t xml:space="preserve"> Chl </w:t>
      </w:r>
      <w:r w:rsidR="00230FDD" w:rsidRPr="0039205B">
        <w:rPr>
          <w:rFonts w:cs="Arial"/>
          <w:i/>
          <w:szCs w:val="22"/>
        </w:rPr>
        <w:t>a</w:t>
      </w:r>
      <w:r w:rsidR="00230FDD">
        <w:rPr>
          <w:rFonts w:cs="Arial"/>
          <w:szCs w:val="22"/>
        </w:rPr>
        <w:t xml:space="preserve"> also correspond</w:t>
      </w:r>
      <w:r w:rsidR="007144DB">
        <w:rPr>
          <w:rFonts w:cs="Arial"/>
          <w:szCs w:val="22"/>
        </w:rPr>
        <w:t>s</w:t>
      </w:r>
      <w:r w:rsidR="00230FDD">
        <w:rPr>
          <w:rFonts w:cs="Arial"/>
          <w:szCs w:val="22"/>
        </w:rPr>
        <w:t xml:space="preserve"> to a high abundance of macroalgae (</w:t>
      </w:r>
      <w:r w:rsidR="0039205B">
        <w:rPr>
          <w:rFonts w:cs="Arial"/>
          <w:szCs w:val="22"/>
        </w:rPr>
        <w:t>Section 8</w:t>
      </w:r>
      <w:r w:rsidR="00230FDD">
        <w:rPr>
          <w:rFonts w:cs="Arial"/>
          <w:szCs w:val="22"/>
        </w:rPr>
        <w:t xml:space="preserve">) </w:t>
      </w:r>
      <w:r w:rsidR="0039205B">
        <w:rPr>
          <w:rFonts w:cs="Arial"/>
          <w:szCs w:val="22"/>
        </w:rPr>
        <w:t>e</w:t>
      </w:r>
      <w:r w:rsidR="00230FDD">
        <w:rPr>
          <w:rFonts w:cs="Arial"/>
          <w:szCs w:val="22"/>
        </w:rPr>
        <w:t>xplain</w:t>
      </w:r>
      <w:r w:rsidR="0039205B">
        <w:rPr>
          <w:rFonts w:cs="Arial"/>
          <w:szCs w:val="22"/>
        </w:rPr>
        <w:t>ing</w:t>
      </w:r>
      <w:r w:rsidR="00230FDD">
        <w:rPr>
          <w:rFonts w:cs="Arial"/>
          <w:szCs w:val="22"/>
        </w:rPr>
        <w:t xml:space="preserve"> the high proportion of macroalgae in the algal communities at Magnetic, Pandora, and La</w:t>
      </w:r>
      <w:r w:rsidR="007144DB">
        <w:rPr>
          <w:rFonts w:cs="Arial"/>
          <w:szCs w:val="22"/>
        </w:rPr>
        <w:t xml:space="preserve">dy Elliot and low levels of macroalgae at Palms West. The reefs at Havannah appear at the crossroad for conditions supporting brown macroalgae, in 2016 cover of the brown algae </w:t>
      </w:r>
      <w:r w:rsidR="007144DB" w:rsidRPr="005B52B1">
        <w:rPr>
          <w:rFonts w:cs="Arial"/>
          <w:i/>
          <w:szCs w:val="22"/>
        </w:rPr>
        <w:t>Lobophora</w:t>
      </w:r>
      <w:r w:rsidR="007144DB">
        <w:rPr>
          <w:rFonts w:cs="Arial"/>
          <w:szCs w:val="22"/>
        </w:rPr>
        <w:t xml:space="preserve"> remained persistent </w:t>
      </w:r>
      <w:r w:rsidR="008456E8">
        <w:rPr>
          <w:rFonts w:cs="Arial"/>
          <w:szCs w:val="22"/>
        </w:rPr>
        <w:t xml:space="preserve">at </w:t>
      </w:r>
      <w:r w:rsidR="007144DB">
        <w:rPr>
          <w:rFonts w:cs="Arial"/>
          <w:szCs w:val="22"/>
        </w:rPr>
        <w:t>5</w:t>
      </w:r>
      <w:r w:rsidR="0039205B">
        <w:rPr>
          <w:rFonts w:cs="Arial"/>
          <w:szCs w:val="22"/>
        </w:rPr>
        <w:t xml:space="preserve"> </w:t>
      </w:r>
      <w:r w:rsidR="007144DB">
        <w:rPr>
          <w:rFonts w:cs="Arial"/>
          <w:szCs w:val="22"/>
        </w:rPr>
        <w:t xml:space="preserve">m depths. Palms East is unusual in supporting a bloom of </w:t>
      </w:r>
      <w:r w:rsidR="00736E90">
        <w:rPr>
          <w:rFonts w:cs="Arial"/>
          <w:szCs w:val="22"/>
        </w:rPr>
        <w:t xml:space="preserve">the </w:t>
      </w:r>
      <w:r w:rsidR="007144DB">
        <w:rPr>
          <w:rFonts w:cs="Arial"/>
          <w:szCs w:val="22"/>
        </w:rPr>
        <w:t xml:space="preserve">green </w:t>
      </w:r>
      <w:r w:rsidR="0039205B">
        <w:rPr>
          <w:rFonts w:cs="Arial"/>
          <w:szCs w:val="22"/>
        </w:rPr>
        <w:t>macroalgae</w:t>
      </w:r>
      <w:r w:rsidR="007144DB">
        <w:rPr>
          <w:rFonts w:cs="Arial"/>
          <w:szCs w:val="22"/>
        </w:rPr>
        <w:t xml:space="preserve"> </w:t>
      </w:r>
      <w:r w:rsidR="00736E90" w:rsidRPr="005B52B1">
        <w:rPr>
          <w:rFonts w:cs="Arial"/>
          <w:i/>
          <w:szCs w:val="22"/>
        </w:rPr>
        <w:t>Caulerpa</w:t>
      </w:r>
      <w:r w:rsidR="00736E90">
        <w:rPr>
          <w:rFonts w:cs="Arial"/>
          <w:szCs w:val="22"/>
        </w:rPr>
        <w:t xml:space="preserve"> </w:t>
      </w:r>
      <w:r w:rsidR="007144DB">
        <w:rPr>
          <w:rFonts w:cs="Arial"/>
          <w:szCs w:val="22"/>
        </w:rPr>
        <w:t xml:space="preserve">that </w:t>
      </w:r>
      <w:r w:rsidR="0039205B">
        <w:rPr>
          <w:rFonts w:cs="Arial"/>
          <w:szCs w:val="22"/>
        </w:rPr>
        <w:t>has persisted since first appearing</w:t>
      </w:r>
      <w:r w:rsidR="007144DB">
        <w:rPr>
          <w:rFonts w:cs="Arial"/>
          <w:szCs w:val="22"/>
        </w:rPr>
        <w:t xml:space="preserve"> in 2012</w:t>
      </w:r>
      <w:r w:rsidR="0039205B">
        <w:rPr>
          <w:rFonts w:cs="Arial"/>
          <w:szCs w:val="22"/>
        </w:rPr>
        <w:t xml:space="preserve"> in the wake of</w:t>
      </w:r>
      <w:r w:rsidR="007144DB">
        <w:rPr>
          <w:rFonts w:cs="Arial"/>
          <w:szCs w:val="22"/>
        </w:rPr>
        <w:t xml:space="preserve"> Cyclone Yasi. </w:t>
      </w:r>
    </w:p>
    <w:p w14:paraId="11EA9082" w14:textId="436E4A3C" w:rsidR="00B36605" w:rsidRPr="003C0562" w:rsidRDefault="00B36605" w:rsidP="00B36605">
      <w:r>
        <w:t xml:space="preserve">Of the reefs surveyed in 2016 it was only </w:t>
      </w:r>
      <w:r w:rsidRPr="002841E6">
        <w:rPr>
          <w:color w:val="000000" w:themeColor="text1"/>
        </w:rPr>
        <w:t>at Havannah</w:t>
      </w:r>
      <w:r w:rsidR="008456E8">
        <w:rPr>
          <w:color w:val="000000" w:themeColor="text1"/>
        </w:rPr>
        <w:t>,</w:t>
      </w:r>
      <w:r w:rsidRPr="002841E6">
        <w:rPr>
          <w:color w:val="000000" w:themeColor="text1"/>
        </w:rPr>
        <w:t xml:space="preserve"> 2</w:t>
      </w:r>
      <w:r w:rsidR="00736E90">
        <w:rPr>
          <w:color w:val="000000" w:themeColor="text1"/>
        </w:rPr>
        <w:t xml:space="preserve"> </w:t>
      </w:r>
      <w:r w:rsidRPr="002841E6">
        <w:rPr>
          <w:color w:val="000000" w:themeColor="text1"/>
        </w:rPr>
        <w:t xml:space="preserve">m </w:t>
      </w:r>
      <w:r w:rsidR="00736E90">
        <w:rPr>
          <w:color w:val="000000" w:themeColor="text1"/>
        </w:rPr>
        <w:t>depth</w:t>
      </w:r>
      <w:r w:rsidR="008456E8">
        <w:rPr>
          <w:color w:val="000000" w:themeColor="text1"/>
        </w:rPr>
        <w:t>,</w:t>
      </w:r>
      <w:r w:rsidR="00736E90">
        <w:rPr>
          <w:color w:val="000000" w:themeColor="text1"/>
        </w:rPr>
        <w:t xml:space="preserve"> </w:t>
      </w:r>
      <w:r>
        <w:t>that coral cover declined</w:t>
      </w:r>
      <w:r w:rsidR="008F1BE2">
        <w:t>:</w:t>
      </w:r>
      <w:r>
        <w:t xml:space="preserve"> here, </w:t>
      </w:r>
      <w:r w:rsidRPr="002841E6">
        <w:rPr>
          <w:color w:val="000000" w:themeColor="text1"/>
        </w:rPr>
        <w:t xml:space="preserve">white syndrome and brown band disease </w:t>
      </w:r>
      <w:r>
        <w:t xml:space="preserve">were prevalent amongst the branching </w:t>
      </w:r>
      <w:r w:rsidRPr="002841E6">
        <w:rPr>
          <w:i/>
        </w:rPr>
        <w:t>Acropora</w:t>
      </w:r>
      <w:r>
        <w:t xml:space="preserve"> community</w:t>
      </w:r>
      <w:r w:rsidR="00970FE1">
        <w:t xml:space="preserve"> that dominate this site</w:t>
      </w:r>
      <w:r>
        <w:t xml:space="preserve">. These </w:t>
      </w:r>
      <w:r w:rsidRPr="002841E6">
        <w:rPr>
          <w:i/>
        </w:rPr>
        <w:t>Acropora</w:t>
      </w:r>
      <w:r>
        <w:t xml:space="preserve"> species (in particular </w:t>
      </w:r>
      <w:r w:rsidRPr="002841E6">
        <w:rPr>
          <w:i/>
        </w:rPr>
        <w:t>A. pulchra</w:t>
      </w:r>
      <w:r>
        <w:t xml:space="preserve"> and </w:t>
      </w:r>
      <w:r w:rsidRPr="002841E6">
        <w:rPr>
          <w:i/>
        </w:rPr>
        <w:t>A. aspera</w:t>
      </w:r>
      <w:r>
        <w:t xml:space="preserve">) were highly sensitive to previous coral bleaching events in the region </w:t>
      </w:r>
      <w:r w:rsidR="00970FE1">
        <w:t>(</w:t>
      </w:r>
      <w:r w:rsidR="005A0581" w:rsidRPr="003C0562">
        <w:t>Marshall &amp; Baird 2000</w:t>
      </w:r>
      <w:r w:rsidR="000D07AE">
        <w:t xml:space="preserve">) </w:t>
      </w:r>
      <w:r w:rsidR="00E27ABA">
        <w:t xml:space="preserve">suggesting </w:t>
      </w:r>
      <w:r w:rsidR="00736E90">
        <w:t xml:space="preserve">the high </w:t>
      </w:r>
      <w:r>
        <w:t xml:space="preserve">summer </w:t>
      </w:r>
      <w:r w:rsidR="00736E90">
        <w:t xml:space="preserve">and autumn </w:t>
      </w:r>
      <w:r>
        <w:t xml:space="preserve">temperatures </w:t>
      </w:r>
      <w:r w:rsidR="00736E90">
        <w:t>observed in 2016</w:t>
      </w:r>
      <w:r w:rsidR="0039205B">
        <w:t xml:space="preserve"> but also high winter temperatures in 2015 (</w:t>
      </w:r>
      <w:r w:rsidR="0039205B">
        <w:fldChar w:fldCharType="begin"/>
      </w:r>
      <w:r w:rsidR="0039205B">
        <w:instrText xml:space="preserve"> REF _Ref491336872 \h </w:instrText>
      </w:r>
      <w:r w:rsidR="0039205B">
        <w:fldChar w:fldCharType="separate"/>
      </w:r>
      <w:r w:rsidR="00D806F2">
        <w:t xml:space="preserve">Figure </w:t>
      </w:r>
      <w:r w:rsidR="00D806F2">
        <w:rPr>
          <w:noProof/>
        </w:rPr>
        <w:t>18</w:t>
      </w:r>
      <w:r w:rsidR="0039205B">
        <w:fldChar w:fldCharType="end"/>
      </w:r>
      <w:r w:rsidR="00575CE4">
        <w:t>c</w:t>
      </w:r>
      <w:r w:rsidR="0039205B">
        <w:t xml:space="preserve">) </w:t>
      </w:r>
      <w:r>
        <w:t>as a possible contributing factor to this outbreak</w:t>
      </w:r>
      <w:r w:rsidR="00E27ABA">
        <w:t xml:space="preserve"> of disease</w:t>
      </w:r>
      <w:r>
        <w:t>.</w:t>
      </w:r>
      <w:r w:rsidR="00E75F5C">
        <w:t xml:space="preserve"> </w:t>
      </w:r>
      <w:r w:rsidRPr="003C0562">
        <w:t xml:space="preserve">The 2016 bleaching event saw widespread temperature anomalies within the Burdekin Region. </w:t>
      </w:r>
      <w:r w:rsidRPr="003C0562">
        <w:rPr>
          <w:rFonts w:eastAsiaTheme="minorHAnsi" w:cs="Arial"/>
          <w:szCs w:val="22"/>
          <w:lang w:val="en-AU"/>
        </w:rPr>
        <w:t>The temperature anomalies developed mid-summer, accumulating 6</w:t>
      </w:r>
      <w:r>
        <w:rPr>
          <w:rFonts w:eastAsiaTheme="minorHAnsi" w:cs="Arial"/>
          <w:szCs w:val="22"/>
          <w:lang w:val="en-AU"/>
        </w:rPr>
        <w:t>8</w:t>
      </w:r>
      <w:r w:rsidRPr="003C0562">
        <w:rPr>
          <w:rFonts w:eastAsiaTheme="minorHAnsi" w:cs="Arial"/>
          <w:szCs w:val="22"/>
          <w:lang w:val="en-AU"/>
        </w:rPr>
        <w:t xml:space="preserve"> DHDs, and continued to rise beyond 2</w:t>
      </w:r>
      <w:r w:rsidRPr="003C0562">
        <w:rPr>
          <w:rFonts w:eastAsiaTheme="minorHAnsi" w:cs="Arial"/>
          <w:szCs w:val="22"/>
          <w:vertAlign w:val="superscript"/>
          <w:lang w:val="en-AU"/>
        </w:rPr>
        <w:t>o</w:t>
      </w:r>
      <w:r w:rsidRPr="003C0562">
        <w:rPr>
          <w:rFonts w:eastAsiaTheme="minorHAnsi" w:cs="Arial"/>
          <w:szCs w:val="22"/>
          <w:lang w:val="en-AU"/>
        </w:rPr>
        <w:t>C through April to June (</w:t>
      </w:r>
      <w:r w:rsidR="00575CE4">
        <w:rPr>
          <w:rFonts w:eastAsiaTheme="minorHAnsi" w:cs="Arial"/>
          <w:szCs w:val="22"/>
          <w:lang w:val="en-AU"/>
        </w:rPr>
        <w:fldChar w:fldCharType="begin"/>
      </w:r>
      <w:r w:rsidR="00575CE4">
        <w:rPr>
          <w:rFonts w:eastAsiaTheme="minorHAnsi" w:cs="Arial"/>
          <w:szCs w:val="22"/>
          <w:lang w:val="en-AU"/>
        </w:rPr>
        <w:instrText xml:space="preserve"> REF _Ref491336872 \h </w:instrText>
      </w:r>
      <w:r w:rsidR="00575CE4">
        <w:rPr>
          <w:rFonts w:eastAsiaTheme="minorHAnsi" w:cs="Arial"/>
          <w:szCs w:val="22"/>
          <w:lang w:val="en-AU"/>
        </w:rPr>
      </w:r>
      <w:r w:rsidR="00575CE4">
        <w:rPr>
          <w:rFonts w:eastAsiaTheme="minorHAnsi" w:cs="Arial"/>
          <w:szCs w:val="22"/>
          <w:lang w:val="en-AU"/>
        </w:rPr>
        <w:fldChar w:fldCharType="separate"/>
      </w:r>
      <w:r w:rsidR="00D806F2">
        <w:t xml:space="preserve">Figure </w:t>
      </w:r>
      <w:r w:rsidR="00D806F2">
        <w:rPr>
          <w:noProof/>
        </w:rPr>
        <w:t>18</w:t>
      </w:r>
      <w:r w:rsidR="00575CE4">
        <w:rPr>
          <w:rFonts w:eastAsiaTheme="minorHAnsi" w:cs="Arial"/>
          <w:szCs w:val="22"/>
          <w:lang w:val="en-AU"/>
        </w:rPr>
        <w:fldChar w:fldCharType="end"/>
      </w:r>
      <w:r>
        <w:rPr>
          <w:rFonts w:eastAsiaTheme="minorHAnsi" w:cs="Arial"/>
          <w:szCs w:val="22"/>
          <w:lang w:val="en-AU"/>
        </w:rPr>
        <w:t>c</w:t>
      </w:r>
      <w:r w:rsidRPr="003C0562">
        <w:rPr>
          <w:rFonts w:eastAsiaTheme="minorHAnsi" w:cs="Arial"/>
          <w:szCs w:val="22"/>
          <w:lang w:val="en-AU"/>
        </w:rPr>
        <w:t xml:space="preserve">). Despite these higher temperatures, bleaching was minor </w:t>
      </w:r>
      <w:r>
        <w:rPr>
          <w:rFonts w:eastAsiaTheme="minorHAnsi" w:cs="Arial"/>
          <w:szCs w:val="22"/>
          <w:lang w:val="en-AU"/>
        </w:rPr>
        <w:t xml:space="preserve">across the region noted primarily as affecting </w:t>
      </w:r>
      <w:r w:rsidRPr="003C0562">
        <w:rPr>
          <w:rFonts w:eastAsiaTheme="minorHAnsi" w:cs="Arial"/>
          <w:szCs w:val="22"/>
          <w:lang w:val="en-AU"/>
        </w:rPr>
        <w:t xml:space="preserve">individual colonies scattered within </w:t>
      </w:r>
      <w:r>
        <w:rPr>
          <w:rFonts w:eastAsiaTheme="minorHAnsi" w:cs="Arial"/>
          <w:szCs w:val="22"/>
          <w:lang w:val="en-AU"/>
        </w:rPr>
        <w:t>predominantly unbleached neighbours.</w:t>
      </w:r>
      <w:r w:rsidRPr="003C0562">
        <w:rPr>
          <w:rFonts w:eastAsiaTheme="minorHAnsi" w:cs="Arial"/>
          <w:szCs w:val="22"/>
          <w:lang w:val="en-AU"/>
        </w:rPr>
        <w:t xml:space="preserve"> </w:t>
      </w:r>
      <w:r w:rsidRPr="003C0562">
        <w:t>Gen</w:t>
      </w:r>
      <w:r w:rsidR="008456E8">
        <w:t>era</w:t>
      </w:r>
      <w:r w:rsidRPr="003C0562">
        <w:t xml:space="preserve"> </w:t>
      </w:r>
      <w:r>
        <w:t xml:space="preserve">most </w:t>
      </w:r>
      <w:r w:rsidRPr="003C0562">
        <w:t xml:space="preserve">commonly bleaching included </w:t>
      </w:r>
      <w:r w:rsidRPr="003C0562">
        <w:rPr>
          <w:i/>
        </w:rPr>
        <w:t xml:space="preserve">Acropora, Pocillopora, Montipora, Merulina, Stylophora, Favites, Goniastrea, </w:t>
      </w:r>
      <w:r w:rsidR="00575CE4" w:rsidRPr="003C0562">
        <w:rPr>
          <w:i/>
        </w:rPr>
        <w:t>Lobophyllia</w:t>
      </w:r>
      <w:r w:rsidRPr="003C0562">
        <w:rPr>
          <w:i/>
        </w:rPr>
        <w:t>, Porites</w:t>
      </w:r>
      <w:r w:rsidRPr="003C0562">
        <w:t xml:space="preserve">, and </w:t>
      </w:r>
      <w:r w:rsidRPr="003C0562">
        <w:rPr>
          <w:i/>
        </w:rPr>
        <w:t>Turbinaria</w:t>
      </w:r>
      <w:r w:rsidRPr="003C0562">
        <w:t xml:space="preserve">. </w:t>
      </w:r>
    </w:p>
    <w:p w14:paraId="11EA9083" w14:textId="69534B0F" w:rsidR="00B36605" w:rsidRDefault="00575CE4" w:rsidP="002C27E4">
      <w:r>
        <w:t>I</w:t>
      </w:r>
      <w:r w:rsidR="005A0581">
        <w:t>mpr</w:t>
      </w:r>
      <w:r>
        <w:t>ovements in the coral index</w:t>
      </w:r>
      <w:r w:rsidR="005A0581">
        <w:t xml:space="preserve"> have coincided with </w:t>
      </w:r>
      <w:r>
        <w:t xml:space="preserve">a combination of an absence of acute disturbance events and </w:t>
      </w:r>
      <w:r w:rsidR="005A0581">
        <w:t>low discharge</w:t>
      </w:r>
      <w:r>
        <w:t>,</w:t>
      </w:r>
      <w:r w:rsidR="005A0581">
        <w:t xml:space="preserve"> </w:t>
      </w:r>
      <w:r w:rsidR="008456E8">
        <w:t>with</w:t>
      </w:r>
      <w:r w:rsidR="005A0581">
        <w:t xml:space="preserve"> corresponding</w:t>
      </w:r>
      <w:r w:rsidR="008456E8">
        <w:t>ly</w:t>
      </w:r>
      <w:r w:rsidR="005A0581">
        <w:t xml:space="preserve"> </w:t>
      </w:r>
      <w:r w:rsidR="008F1BE2">
        <w:t xml:space="preserve">relatively </w:t>
      </w:r>
      <w:r w:rsidR="005A0581">
        <w:t xml:space="preserve">low loads </w:t>
      </w:r>
      <w:r>
        <w:t xml:space="preserve">of </w:t>
      </w:r>
      <w:r w:rsidR="005A0581">
        <w:t xml:space="preserve">nutrients and sediments </w:t>
      </w:r>
      <w:r>
        <w:t>being</w:t>
      </w:r>
      <w:r w:rsidR="005A0581">
        <w:t xml:space="preserve"> delivered to the Reef (</w:t>
      </w:r>
      <w:r>
        <w:fldChar w:fldCharType="begin"/>
      </w:r>
      <w:r>
        <w:instrText xml:space="preserve"> REF _Ref491336872 \h </w:instrText>
      </w:r>
      <w:r>
        <w:fldChar w:fldCharType="separate"/>
      </w:r>
      <w:r w:rsidR="00D806F2">
        <w:t xml:space="preserve">Figure </w:t>
      </w:r>
      <w:r w:rsidR="00D806F2">
        <w:rPr>
          <w:noProof/>
        </w:rPr>
        <w:t>18</w:t>
      </w:r>
      <w:r>
        <w:fldChar w:fldCharType="end"/>
      </w:r>
      <w:r>
        <w:t xml:space="preserve">, </w:t>
      </w:r>
      <w:r w:rsidR="005A0581">
        <w:t xml:space="preserve">Waterhouse </w:t>
      </w:r>
      <w:r w:rsidR="005A0581" w:rsidRPr="00575CE4">
        <w:rPr>
          <w:i/>
        </w:rPr>
        <w:t>et</w:t>
      </w:r>
      <w:r w:rsidRPr="00575CE4">
        <w:rPr>
          <w:i/>
        </w:rPr>
        <w:t xml:space="preserve"> al.</w:t>
      </w:r>
      <w:r>
        <w:t xml:space="preserve"> 2017). That there has been no clear improvement in measured attributes of water </w:t>
      </w:r>
      <w:r w:rsidR="008031B5">
        <w:t xml:space="preserve">quality (Waterhouse </w:t>
      </w:r>
      <w:r w:rsidR="008031B5" w:rsidRPr="00575CE4">
        <w:rPr>
          <w:i/>
        </w:rPr>
        <w:t>et al.</w:t>
      </w:r>
      <w:r w:rsidR="008031B5">
        <w:t xml:space="preserve"> 2017, </w:t>
      </w:r>
      <w:r>
        <w:fldChar w:fldCharType="begin"/>
      </w:r>
      <w:r>
        <w:instrText xml:space="preserve"> REF _Ref491336593 \h </w:instrText>
      </w:r>
      <w:r>
        <w:fldChar w:fldCharType="separate"/>
      </w:r>
      <w:r w:rsidR="00D806F2">
        <w:t xml:space="preserve">Figure </w:t>
      </w:r>
      <w:r w:rsidR="00D806F2">
        <w:rPr>
          <w:noProof/>
        </w:rPr>
        <w:t>19</w:t>
      </w:r>
      <w:r>
        <w:fldChar w:fldCharType="end"/>
      </w:r>
      <w:r>
        <w:t xml:space="preserve">g, </w:t>
      </w:r>
      <w:r w:rsidR="008031B5">
        <w:t>h,</w:t>
      </w:r>
      <w:r w:rsidR="00BE20D6">
        <w:t xml:space="preserve"> </w:t>
      </w:r>
      <w:r w:rsidR="00BE20D6">
        <w:fldChar w:fldCharType="begin"/>
      </w:r>
      <w:r w:rsidR="00BE20D6">
        <w:instrText xml:space="preserve"> REF _Ref491340819 \h </w:instrText>
      </w:r>
      <w:r w:rsidR="00BE20D6">
        <w:fldChar w:fldCharType="separate"/>
      </w:r>
      <w:r w:rsidR="00D806F2">
        <w:t xml:space="preserve">Figure A1. </w:t>
      </w:r>
      <w:r w:rsidR="00D806F2">
        <w:rPr>
          <w:noProof/>
        </w:rPr>
        <w:t>12</w:t>
      </w:r>
      <w:r w:rsidR="00BE20D6">
        <w:fldChar w:fldCharType="end"/>
      </w:r>
      <w:r w:rsidR="008031B5">
        <w:t>)</w:t>
      </w:r>
      <w:r>
        <w:t xml:space="preserve"> limit</w:t>
      </w:r>
      <w:r w:rsidR="00F17C55">
        <w:t>s the ability to link improvement in the index scores to water quality drivers. It is clear</w:t>
      </w:r>
      <w:r w:rsidR="003E7AA9">
        <w:t>,</w:t>
      </w:r>
      <w:r w:rsidR="00F17C55">
        <w:t xml:space="preserve"> however</w:t>
      </w:r>
      <w:r w:rsidR="003E7AA9">
        <w:t>,</w:t>
      </w:r>
      <w:r w:rsidR="00F17C55">
        <w:t xml:space="preserve"> that the reefs in this region have demonstrated a </w:t>
      </w:r>
      <w:r>
        <w:t>capacity to recover under the conditions observed in recent years.</w:t>
      </w:r>
    </w:p>
    <w:p w14:paraId="11EA9084" w14:textId="77777777" w:rsidR="00B36605" w:rsidRPr="003C0562" w:rsidRDefault="00B36605" w:rsidP="00B36605"/>
    <w:p w14:paraId="11EA9085" w14:textId="77777777" w:rsidR="00B36605" w:rsidRDefault="00B36605" w:rsidP="00406BD7"/>
    <w:p w14:paraId="11EA9086" w14:textId="77777777" w:rsidR="00B36605" w:rsidRDefault="00B36605">
      <w:pPr>
        <w:jc w:val="left"/>
      </w:pPr>
      <w:r>
        <w:br w:type="page"/>
      </w:r>
    </w:p>
    <w:p w14:paraId="11EA9087" w14:textId="77777777" w:rsidR="00B36605" w:rsidRPr="00F439FB" w:rsidRDefault="00B36605" w:rsidP="00406BD7">
      <w:pPr>
        <w:rPr>
          <w:color w:val="4F81BD" w:themeColor="accent1"/>
        </w:rPr>
      </w:pPr>
    </w:p>
    <w:p w14:paraId="11EA9088" w14:textId="61A0E16C" w:rsidR="000260D6" w:rsidRPr="00F439FB" w:rsidRDefault="00E229DD" w:rsidP="000C6FCB">
      <w:pPr>
        <w:rPr>
          <w:color w:val="4F81BD" w:themeColor="accent1"/>
        </w:rPr>
      </w:pPr>
      <w:r>
        <w:rPr>
          <w:noProof/>
          <w:color w:val="4F81BD" w:themeColor="accent1"/>
          <w:lang w:val="en-AU" w:eastAsia="en-AU"/>
        </w:rPr>
        <w:drawing>
          <wp:inline distT="0" distB="0" distL="0" distR="0" wp14:anchorId="434A462A" wp14:editId="4EA6C634">
            <wp:extent cx="6120765" cy="6591300"/>
            <wp:effectExtent l="0" t="0" r="0" b="0"/>
            <wp:docPr id="26" name="Picture 26" descr="A panel of five plots. Plots a and b present maps of sampling locations with the sea areas colour by a, mean Chl concentration and b, mean total suspended solids concentration. Plot c presents daily deviations from seasonal temperature profiles, includes markers for cyclones and annual degree heating estimates for the region. Plot d presents daily discharge from the regions rivers since 2005 along with annual total discharge relative to a 1986-2016 baseline median. Plot e presents the regional loss of coral observed in each year and the identified cause." title="Figure 18 Burdekin Region environmental press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Env_Burdekin.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6120765" cy="6591300"/>
                    </a:xfrm>
                    <a:prstGeom prst="rect">
                      <a:avLst/>
                    </a:prstGeom>
                  </pic:spPr>
                </pic:pic>
              </a:graphicData>
            </a:graphic>
          </wp:inline>
        </w:drawing>
      </w:r>
    </w:p>
    <w:p w14:paraId="11EA908A" w14:textId="58BEA249" w:rsidR="008550DE" w:rsidRDefault="007A50AB" w:rsidP="00F872DF">
      <w:pPr>
        <w:pStyle w:val="Caption"/>
        <w:rPr>
          <w:rStyle w:val="IntenseReference"/>
          <w:rFonts w:eastAsia="SimSun"/>
        </w:rPr>
      </w:pPr>
      <w:bookmarkStart w:id="223" w:name="_Ref491336872"/>
      <w:bookmarkStart w:id="224" w:name="_Ref438120590"/>
      <w:bookmarkStart w:id="225" w:name="_Toc437597636"/>
      <w:bookmarkStart w:id="226" w:name="_Toc437423855"/>
      <w:bookmarkStart w:id="227" w:name="_Toc437424034"/>
      <w:bookmarkStart w:id="228" w:name="_Toc437424303"/>
      <w:bookmarkStart w:id="229" w:name="_Toc491846844"/>
      <w:r>
        <w:t xml:space="preserve">Figure </w:t>
      </w:r>
      <w:r>
        <w:fldChar w:fldCharType="begin"/>
      </w:r>
      <w:r>
        <w:instrText xml:space="preserve"> SEQ Figure \* ARABIC </w:instrText>
      </w:r>
      <w:r>
        <w:fldChar w:fldCharType="separate"/>
      </w:r>
      <w:r w:rsidR="00D806F2">
        <w:rPr>
          <w:noProof/>
        </w:rPr>
        <w:t>18</w:t>
      </w:r>
      <w:r>
        <w:fldChar w:fldCharType="end"/>
      </w:r>
      <w:bookmarkEnd w:id="223"/>
      <w:r>
        <w:t xml:space="preserve"> </w:t>
      </w:r>
      <w:r w:rsidR="009D02B0">
        <w:t>Burdekin R</w:t>
      </w:r>
      <w:r w:rsidRPr="00563968">
        <w:t xml:space="preserve">egion environmental </w:t>
      </w:r>
      <w:r w:rsidR="009D02B0">
        <w:t>pressures</w:t>
      </w:r>
      <w:r w:rsidRPr="00563968">
        <w:t>.</w:t>
      </w:r>
      <w:bookmarkStart w:id="230" w:name="_Toc437597637"/>
      <w:bookmarkEnd w:id="224"/>
      <w:bookmarkEnd w:id="225"/>
      <w:bookmarkEnd w:id="226"/>
      <w:bookmarkEnd w:id="227"/>
      <w:bookmarkEnd w:id="228"/>
      <w:r w:rsidR="00667AB6" w:rsidRPr="008550DE">
        <w:rPr>
          <w:rStyle w:val="IntenseReference"/>
          <w:rFonts w:eastAsia="SimSun"/>
        </w:rPr>
        <w:t xml:space="preserve"> </w:t>
      </w:r>
      <w:bookmarkEnd w:id="230"/>
      <w:r w:rsidR="008550DE" w:rsidRPr="008550DE">
        <w:rPr>
          <w:rStyle w:val="IntenseReference"/>
          <w:rFonts w:eastAsia="SimSun"/>
        </w:rPr>
        <w:t>Maps show location of monitoring sites, red symbols MMP, yellow s</w:t>
      </w:r>
      <w:r w:rsidR="00663F7B">
        <w:rPr>
          <w:rStyle w:val="IntenseReference"/>
          <w:rFonts w:eastAsia="SimSun"/>
        </w:rPr>
        <w:t>ymbols LTMP along with a) mean c</w:t>
      </w:r>
      <w:r w:rsidR="008550DE" w:rsidRPr="008550DE">
        <w:rPr>
          <w:rStyle w:val="IntenseReference"/>
          <w:rFonts w:eastAsia="SimSun"/>
        </w:rPr>
        <w:t xml:space="preserve">hlorophyll </w:t>
      </w:r>
      <w:r w:rsidR="00663F7B" w:rsidRPr="00663F7B">
        <w:rPr>
          <w:rStyle w:val="IntenseReference"/>
          <w:rFonts w:eastAsia="SimSun"/>
          <w:i/>
        </w:rPr>
        <w:t>a</w:t>
      </w:r>
      <w:r w:rsidR="00663F7B">
        <w:rPr>
          <w:rStyle w:val="IntenseReference"/>
          <w:rFonts w:eastAsia="SimSun"/>
        </w:rPr>
        <w:t xml:space="preserve"> </w:t>
      </w:r>
      <w:r w:rsidR="008550DE" w:rsidRPr="008550DE">
        <w:rPr>
          <w:rStyle w:val="IntenseReference"/>
          <w:rFonts w:eastAsia="SimSun"/>
        </w:rPr>
        <w:t xml:space="preserve">concentration </w:t>
      </w:r>
      <w:r w:rsidR="008550DE" w:rsidRPr="001C36F4">
        <w:rPr>
          <w:rStyle w:val="IntenseReference"/>
          <w:rFonts w:eastAsia="SimSun"/>
        </w:rPr>
        <w:t xml:space="preserve">and b) mean Non algal particulate concentrations. Water quality data are mean levels over the period 2003-2016. c) Seasonally adjusted temperature deviation, timing of cyclones and storms indicated by black arrows, accumulated degree heating days over the summer period (1st of December - 31st March) indicated by black symbols d) Combined daily (blue) and annual (red) discharge for the </w:t>
      </w:r>
      <w:r w:rsidR="001E1E73">
        <w:rPr>
          <w:rStyle w:val="IntenseReference"/>
          <w:rFonts w:eastAsia="SimSun"/>
        </w:rPr>
        <w:t>Black</w:t>
      </w:r>
      <w:r>
        <w:rPr>
          <w:rStyle w:val="IntenseReference"/>
          <w:rFonts w:eastAsia="SimSun"/>
        </w:rPr>
        <w:t xml:space="preserve"> </w:t>
      </w:r>
      <w:r w:rsidR="001E1E73">
        <w:rPr>
          <w:rStyle w:val="IntenseReference"/>
          <w:rFonts w:eastAsia="SimSun"/>
        </w:rPr>
        <w:t>,</w:t>
      </w:r>
      <w:r w:rsidR="00E229DD">
        <w:rPr>
          <w:rStyle w:val="IntenseReference"/>
          <w:rFonts w:eastAsia="SimSun"/>
        </w:rPr>
        <w:t>Burdekin,</w:t>
      </w:r>
      <w:r>
        <w:rPr>
          <w:rStyle w:val="IntenseReference"/>
          <w:rFonts w:eastAsia="SimSun"/>
        </w:rPr>
        <w:t xml:space="preserve"> </w:t>
      </w:r>
      <w:r w:rsidR="001E1E73">
        <w:rPr>
          <w:rStyle w:val="IntenseReference"/>
          <w:rFonts w:eastAsia="SimSun"/>
        </w:rPr>
        <w:t xml:space="preserve">Don and </w:t>
      </w:r>
      <w:r w:rsidR="00E229DD">
        <w:rPr>
          <w:rStyle w:val="IntenseReference"/>
          <w:rFonts w:eastAsia="SimSun"/>
        </w:rPr>
        <w:t>Haughton</w:t>
      </w:r>
      <w:r w:rsidR="008550DE" w:rsidRPr="001C36F4">
        <w:rPr>
          <w:rStyle w:val="IntenseReference"/>
          <w:rFonts w:eastAsia="SimSun"/>
        </w:rPr>
        <w:t xml:space="preserve"> rivers, red dashed line represents long-term median discharge (1986-2016). e) break-down of hard coral cover loss by disturbance type; length of bars represent the mean loss of cover across all reefs (see methods section for further detail).</w:t>
      </w:r>
      <w:bookmarkEnd w:id="229"/>
    </w:p>
    <w:p w14:paraId="11EA908B" w14:textId="77777777" w:rsidR="002A5249" w:rsidRPr="00F439FB" w:rsidRDefault="002A5249" w:rsidP="00F872DF">
      <w:pPr>
        <w:pStyle w:val="Caption"/>
        <w:rPr>
          <w:rStyle w:val="IntenseReference"/>
          <w:rFonts w:eastAsia="SimSun"/>
          <w:color w:val="4F81BD" w:themeColor="accent1"/>
        </w:rPr>
      </w:pPr>
    </w:p>
    <w:p w14:paraId="11EA908C" w14:textId="77777777" w:rsidR="00B36605" w:rsidRDefault="00B36605">
      <w:pPr>
        <w:jc w:val="left"/>
        <w:rPr>
          <w:color w:val="4F81BD" w:themeColor="accent1"/>
        </w:rPr>
      </w:pPr>
      <w:r>
        <w:rPr>
          <w:color w:val="4F81BD" w:themeColor="accent1"/>
        </w:rPr>
        <w:br w:type="page"/>
      </w:r>
    </w:p>
    <w:p w14:paraId="11EA908D" w14:textId="1547C277" w:rsidR="00205119" w:rsidRDefault="001C3EFB">
      <w:pPr>
        <w:jc w:val="left"/>
        <w:rPr>
          <w:color w:val="4F81BD" w:themeColor="accent1"/>
        </w:rPr>
      </w:pPr>
      <w:r>
        <w:rPr>
          <w:noProof/>
          <w:color w:val="4F81BD" w:themeColor="accent1"/>
          <w:lang w:val="en-AU" w:eastAsia="en-AU"/>
        </w:rPr>
        <w:drawing>
          <wp:inline distT="0" distB="0" distL="0" distR="0" wp14:anchorId="7CFC0480" wp14:editId="2612DA03">
            <wp:extent cx="6120765" cy="7138035"/>
            <wp:effectExtent l="0" t="0" r="0" b="5715"/>
            <wp:docPr id="19" name="Picture 19" descr="A panel of eight plots showing trends in coral index scores, coral cover, macroalgae proportion, juvenile density, coral change, coral composition, chlorophyll a and turbidity" title="Figure 19 Burdekin Region index and indicator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Burdekin_plots.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6120765" cy="7138035"/>
                    </a:xfrm>
                    <a:prstGeom prst="rect">
                      <a:avLst/>
                    </a:prstGeom>
                  </pic:spPr>
                </pic:pic>
              </a:graphicData>
            </a:graphic>
          </wp:inline>
        </w:drawing>
      </w:r>
    </w:p>
    <w:p w14:paraId="03F1819F" w14:textId="63AF135B" w:rsidR="007A50AB" w:rsidRPr="001A3582" w:rsidRDefault="007A50AB" w:rsidP="007A50AB">
      <w:pPr>
        <w:pStyle w:val="Caption"/>
        <w:rPr>
          <w:vanish/>
        </w:rPr>
      </w:pPr>
      <w:bookmarkStart w:id="231" w:name="_Ref491336593"/>
      <w:bookmarkStart w:id="232" w:name="_Ref469945841"/>
      <w:bookmarkStart w:id="233" w:name="_Toc491846845"/>
      <w:r>
        <w:t xml:space="preserve">Figure </w:t>
      </w:r>
      <w:r>
        <w:fldChar w:fldCharType="begin"/>
      </w:r>
      <w:r>
        <w:instrText xml:space="preserve"> SEQ Figure \* ARABIC </w:instrText>
      </w:r>
      <w:r>
        <w:fldChar w:fldCharType="separate"/>
      </w:r>
      <w:r w:rsidR="00D806F2">
        <w:rPr>
          <w:noProof/>
        </w:rPr>
        <w:t>19</w:t>
      </w:r>
      <w:r>
        <w:fldChar w:fldCharType="end"/>
      </w:r>
      <w:bookmarkEnd w:id="231"/>
      <w:r>
        <w:t xml:space="preserve"> </w:t>
      </w:r>
      <w:r w:rsidR="009D02B0">
        <w:t>Burdekin R</w:t>
      </w:r>
      <w:r w:rsidRPr="002547B8">
        <w:t>egion</w:t>
      </w:r>
      <w:r w:rsidR="00A416E6">
        <w:t xml:space="preserve"> index and indicator trends</w:t>
      </w:r>
      <w:r w:rsidRPr="002547B8">
        <w:t>.</w:t>
      </w:r>
      <w:bookmarkEnd w:id="232"/>
      <w:r w:rsidR="00D318B6" w:rsidRPr="00B36605">
        <w:t xml:space="preserve"> </w:t>
      </w:r>
      <w:r>
        <w:t>a)</w:t>
      </w:r>
      <w:bookmarkEnd w:id="233"/>
      <w:r>
        <w:t xml:space="preserve"> </w:t>
      </w:r>
    </w:p>
    <w:p w14:paraId="63065912" w14:textId="77777777" w:rsidR="007A50AB" w:rsidRPr="001A3582" w:rsidRDefault="007A50AB" w:rsidP="007A50AB">
      <w:pPr>
        <w:pStyle w:val="Caption"/>
        <w:rPr>
          <w:rStyle w:val="IntenseReference"/>
          <w:rFonts w:eastAsia="SimSun"/>
          <w:color w:val="auto"/>
        </w:rPr>
      </w:pPr>
      <w:r w:rsidRPr="001A3582">
        <w:rPr>
          <w:rStyle w:val="IntenseReference"/>
          <w:rFonts w:eastAsia="SimSun"/>
          <w:color w:val="auto"/>
        </w:rPr>
        <w:t>Coral index</w:t>
      </w:r>
      <w:r>
        <w:rPr>
          <w:rStyle w:val="IntenseReference"/>
          <w:rFonts w:eastAsia="SimSun"/>
          <w:color w:val="auto"/>
        </w:rPr>
        <w:t>,</w:t>
      </w:r>
      <w:r w:rsidRPr="001A3582">
        <w:rPr>
          <w:rStyle w:val="IntenseReference"/>
          <w:rFonts w:eastAsia="SimSun"/>
          <w:color w:val="auto"/>
        </w:rPr>
        <w:t xml:space="preserve"> colour coding: dark green- ‘very good’; light green-‘good’; yellow – ‘moderate; orange – ‘poor’; red – ‘very poor’. </w:t>
      </w:r>
      <w:r>
        <w:rPr>
          <w:rStyle w:val="IntenseReference"/>
          <w:rFonts w:eastAsia="SimSun"/>
          <w:color w:val="auto"/>
        </w:rPr>
        <w:t xml:space="preserve">b – </w:t>
      </w:r>
      <w:r w:rsidRPr="001A3582">
        <w:rPr>
          <w:rStyle w:val="IntenseReference"/>
          <w:rFonts w:eastAsia="SimSun"/>
          <w:color w:val="auto"/>
        </w:rPr>
        <w:t>f</w:t>
      </w:r>
      <w:r>
        <w:rPr>
          <w:rStyle w:val="IntenseReference"/>
          <w:rFonts w:eastAsia="SimSun"/>
          <w:color w:val="auto"/>
        </w:rPr>
        <w:t>) trends in individual indicators, (</w:t>
      </w:r>
      <w:r w:rsidRPr="001A3582">
        <w:rPr>
          <w:rStyle w:val="IntenseReference"/>
          <w:rFonts w:eastAsia="SimSun"/>
          <w:color w:val="auto"/>
        </w:rPr>
        <w:t>blue lines</w:t>
      </w:r>
      <w:r>
        <w:rPr>
          <w:rStyle w:val="IntenseReference"/>
          <w:rFonts w:eastAsia="SimSun"/>
          <w:color w:val="auto"/>
        </w:rPr>
        <w:t xml:space="preserve">) bound by </w:t>
      </w:r>
      <w:r w:rsidRPr="001A3582">
        <w:rPr>
          <w:rStyle w:val="IntenseReference"/>
          <w:rFonts w:eastAsia="SimSun"/>
          <w:color w:val="auto"/>
        </w:rPr>
        <w:t>95% confidence intervals of those trends</w:t>
      </w:r>
      <w:r>
        <w:rPr>
          <w:rStyle w:val="IntenseReference"/>
          <w:rFonts w:eastAsia="SimSun"/>
          <w:color w:val="auto"/>
        </w:rPr>
        <w:t xml:space="preserve"> (shading)</w:t>
      </w:r>
      <w:r w:rsidRPr="001A3582">
        <w:rPr>
          <w:rStyle w:val="IntenseReference"/>
          <w:rFonts w:eastAsia="SimSun"/>
          <w:color w:val="auto"/>
        </w:rPr>
        <w:t xml:space="preserve">, grey lines represent observed profiles </w:t>
      </w:r>
      <w:r>
        <w:rPr>
          <w:rStyle w:val="IntenseReference"/>
          <w:rFonts w:eastAsia="SimSun"/>
          <w:color w:val="auto"/>
        </w:rPr>
        <w:t>at 5 m (dashed) and 2 m (solid) depths</w:t>
      </w:r>
      <w:r w:rsidRPr="001A3582">
        <w:rPr>
          <w:rStyle w:val="IntenseReference"/>
          <w:rFonts w:eastAsia="SimSun"/>
          <w:color w:val="auto"/>
        </w:rPr>
        <w:t xml:space="preserve"> </w:t>
      </w:r>
      <w:r>
        <w:rPr>
          <w:rStyle w:val="IntenseReference"/>
          <w:rFonts w:eastAsia="SimSun"/>
          <w:color w:val="auto"/>
        </w:rPr>
        <w:t>for</w:t>
      </w:r>
      <w:r w:rsidRPr="001A3582">
        <w:rPr>
          <w:rStyle w:val="IntenseReference"/>
          <w:rFonts w:eastAsia="SimSun"/>
          <w:color w:val="auto"/>
        </w:rPr>
        <w:t xml:space="preserve"> individual reefs</w:t>
      </w:r>
      <w:r>
        <w:rPr>
          <w:rStyle w:val="IntenseReference"/>
          <w:rFonts w:eastAsia="SimSun"/>
          <w:color w:val="auto"/>
        </w:rPr>
        <w:t>,</w:t>
      </w:r>
      <w:r w:rsidRPr="001A3582">
        <w:rPr>
          <w:rStyle w:val="IntenseReference"/>
          <w:rFonts w:eastAsia="SimSun"/>
          <w:color w:val="auto"/>
        </w:rPr>
        <w:t xml:space="preserve"> </w:t>
      </w:r>
      <w:r>
        <w:rPr>
          <w:rStyle w:val="IntenseReference"/>
          <w:rFonts w:eastAsia="SimSun"/>
          <w:color w:val="auto"/>
        </w:rPr>
        <w:t>g) trend</w:t>
      </w:r>
      <w:r w:rsidRPr="001A3582">
        <w:rPr>
          <w:rStyle w:val="IntenseReference"/>
          <w:rFonts w:eastAsia="SimSun"/>
          <w:color w:val="auto"/>
        </w:rPr>
        <w:t xml:space="preserve"> in chlorophyll </w:t>
      </w:r>
      <w:r w:rsidRPr="00663F7B">
        <w:rPr>
          <w:rStyle w:val="IntenseReference"/>
          <w:rFonts w:eastAsia="SimSun"/>
          <w:i/>
          <w:color w:val="auto"/>
        </w:rPr>
        <w:t>a</w:t>
      </w:r>
      <w:r w:rsidRPr="001A3582">
        <w:rPr>
          <w:rStyle w:val="IntenseReference"/>
          <w:rFonts w:eastAsia="SimSun"/>
          <w:color w:val="auto"/>
        </w:rPr>
        <w:t xml:space="preserve"> </w:t>
      </w:r>
      <w:r>
        <w:rPr>
          <w:rStyle w:val="IntenseReference"/>
          <w:rFonts w:eastAsia="SimSun"/>
          <w:color w:val="auto"/>
        </w:rPr>
        <w:t xml:space="preserve">and, h) total suspended solids, shading </w:t>
      </w:r>
      <w:r w:rsidRPr="001A3582">
        <w:rPr>
          <w:rStyle w:val="IntenseReference"/>
          <w:rFonts w:eastAsia="SimSun"/>
          <w:color w:val="auto"/>
        </w:rPr>
        <w:t>defin</w:t>
      </w:r>
      <w:r>
        <w:rPr>
          <w:rStyle w:val="IntenseReference"/>
          <w:rFonts w:eastAsia="SimSun"/>
          <w:color w:val="auto"/>
        </w:rPr>
        <w:t>es</w:t>
      </w:r>
      <w:r w:rsidRPr="001A3582">
        <w:rPr>
          <w:rStyle w:val="IntenseReference"/>
          <w:rFonts w:eastAsia="SimSun"/>
          <w:color w:val="auto"/>
        </w:rPr>
        <w:t xml:space="preserve"> 95% confidence intervals of </w:t>
      </w:r>
      <w:r>
        <w:rPr>
          <w:rStyle w:val="IntenseReference"/>
          <w:rFonts w:eastAsia="SimSun"/>
          <w:color w:val="auto"/>
        </w:rPr>
        <w:t>water quality t</w:t>
      </w:r>
      <w:r w:rsidRPr="001A3582">
        <w:rPr>
          <w:rStyle w:val="IntenseReference"/>
          <w:rFonts w:eastAsia="SimSun"/>
          <w:color w:val="auto"/>
        </w:rPr>
        <w:t>rends</w:t>
      </w:r>
      <w:r>
        <w:rPr>
          <w:rStyle w:val="IntenseReference"/>
          <w:rFonts w:eastAsia="SimSun"/>
          <w:color w:val="auto"/>
        </w:rPr>
        <w:t xml:space="preserve"> for hand sampled data (blue) or estimates derived from </w:t>
      </w:r>
      <w:r w:rsidRPr="001A3582">
        <w:rPr>
          <w:rStyle w:val="IntenseReference"/>
          <w:rFonts w:eastAsiaTheme="minorHAnsi"/>
          <w:color w:val="auto"/>
        </w:rPr>
        <w:t>ECO FLNTUSB instruments</w:t>
      </w:r>
      <w:r>
        <w:rPr>
          <w:rStyle w:val="IntenseReference"/>
          <w:rFonts w:eastAsiaTheme="minorHAnsi"/>
          <w:color w:val="auto"/>
        </w:rPr>
        <w:t xml:space="preserve"> (red)</w:t>
      </w:r>
      <w:r w:rsidRPr="001A3582">
        <w:rPr>
          <w:rStyle w:val="IntenseReference"/>
          <w:rFonts w:eastAsia="SimSun"/>
          <w:color w:val="auto"/>
        </w:rPr>
        <w:t>, black dots represent observed data. Dashed reference lines indicate GBRMPA (2010) guideline values.</w:t>
      </w:r>
    </w:p>
    <w:p w14:paraId="11EA908F" w14:textId="4404B71C" w:rsidR="00B36605" w:rsidRDefault="00B36605" w:rsidP="007A50AB">
      <w:pPr>
        <w:pStyle w:val="Caption"/>
        <w:rPr>
          <w:rStyle w:val="IntenseReference"/>
          <w:rFonts w:eastAsiaTheme="minorHAnsi"/>
          <w:color w:val="auto"/>
        </w:rPr>
      </w:pPr>
    </w:p>
    <w:p w14:paraId="11EA9091" w14:textId="77777777" w:rsidR="003C0562" w:rsidRDefault="003C0562">
      <w:pPr>
        <w:jc w:val="left"/>
        <w:rPr>
          <w:rFonts w:eastAsiaTheme="majorEastAsia" w:cstheme="majorBidi"/>
          <w:b/>
          <w:bCs/>
          <w:sz w:val="26"/>
          <w:szCs w:val="26"/>
        </w:rPr>
      </w:pPr>
      <w:bookmarkStart w:id="234" w:name="_Toc437424410"/>
      <w:bookmarkStart w:id="235" w:name="_Toc437424534"/>
      <w:bookmarkStart w:id="236" w:name="_Toc437432465"/>
      <w:bookmarkStart w:id="237" w:name="_Toc437432538"/>
      <w:bookmarkStart w:id="238" w:name="_Toc167192445"/>
      <w:bookmarkStart w:id="239" w:name="_Toc167192447"/>
      <w:r>
        <w:br w:type="page"/>
      </w:r>
    </w:p>
    <w:p w14:paraId="11EA9092" w14:textId="1306915E" w:rsidR="00F01E19" w:rsidRPr="00FF13CE" w:rsidRDefault="00F352CD" w:rsidP="00B9528B">
      <w:pPr>
        <w:pStyle w:val="Heading3"/>
      </w:pPr>
      <w:bookmarkStart w:id="240" w:name="_Toc493153332"/>
      <w:r w:rsidRPr="00FF13CE">
        <w:t>5</w:t>
      </w:r>
      <w:r w:rsidR="00A803D4">
        <w:t>.</w:t>
      </w:r>
      <w:r w:rsidR="00BD49B5">
        <w:t>2.5</w:t>
      </w:r>
      <w:r w:rsidR="00A803D4">
        <w:t xml:space="preserve"> </w:t>
      </w:r>
      <w:r w:rsidR="00F01E19" w:rsidRPr="00FF13CE">
        <w:t>Mackay Whitsunday Region</w:t>
      </w:r>
      <w:bookmarkEnd w:id="234"/>
      <w:bookmarkEnd w:id="235"/>
      <w:bookmarkEnd w:id="236"/>
      <w:bookmarkEnd w:id="237"/>
      <w:bookmarkEnd w:id="240"/>
      <w:r w:rsidR="00F01E19" w:rsidRPr="00FF13CE">
        <w:t xml:space="preserve"> </w:t>
      </w:r>
    </w:p>
    <w:bookmarkEnd w:id="238"/>
    <w:p w14:paraId="0779B2C8" w14:textId="088BEE36" w:rsidR="00253045" w:rsidRPr="00BE20D6" w:rsidRDefault="00467821" w:rsidP="00F27621">
      <w:r>
        <w:t xml:space="preserve">The </w:t>
      </w:r>
      <w:r w:rsidRPr="00C37DDB">
        <w:t xml:space="preserve">coral index </w:t>
      </w:r>
      <w:r w:rsidR="001942C4">
        <w:t>was categorised as ‘good’ in 2016, having steadily</w:t>
      </w:r>
      <w:r>
        <w:t xml:space="preserve"> improved </w:t>
      </w:r>
      <w:r w:rsidR="001942C4">
        <w:t xml:space="preserve">since </w:t>
      </w:r>
      <w:r>
        <w:t>2012</w:t>
      </w:r>
      <w:r w:rsidR="00F17C55">
        <w:t xml:space="preserve"> (</w:t>
      </w:r>
      <w:r w:rsidR="00F17C55">
        <w:fldChar w:fldCharType="begin"/>
      </w:r>
      <w:r w:rsidR="00F17C55">
        <w:instrText xml:space="preserve"> REF _Ref491341013 \h </w:instrText>
      </w:r>
      <w:r w:rsidR="00F17C55">
        <w:fldChar w:fldCharType="separate"/>
      </w:r>
      <w:r w:rsidR="00D806F2">
        <w:t xml:space="preserve">Table </w:t>
      </w:r>
      <w:r w:rsidR="00D806F2">
        <w:rPr>
          <w:noProof/>
        </w:rPr>
        <w:t>14</w:t>
      </w:r>
      <w:r w:rsidR="00F17C55">
        <w:fldChar w:fldCharType="end"/>
      </w:r>
      <w:r w:rsidR="00F17C55">
        <w:t xml:space="preserve">, </w:t>
      </w:r>
      <w:r w:rsidR="00F17C55">
        <w:fldChar w:fldCharType="begin"/>
      </w:r>
      <w:r w:rsidR="00F17C55">
        <w:instrText xml:space="preserve"> REF _Ref491341033 \h </w:instrText>
      </w:r>
      <w:r w:rsidR="00F17C55">
        <w:fldChar w:fldCharType="separate"/>
      </w:r>
      <w:r w:rsidR="00D806F2">
        <w:t xml:space="preserve">Figure </w:t>
      </w:r>
      <w:r w:rsidR="00D806F2">
        <w:rPr>
          <w:noProof/>
        </w:rPr>
        <w:t>21</w:t>
      </w:r>
      <w:r w:rsidR="00F17C55">
        <w:fldChar w:fldCharType="end"/>
      </w:r>
      <w:r w:rsidR="00F17C55">
        <w:t>a)</w:t>
      </w:r>
      <w:r w:rsidR="001942C4">
        <w:t>.</w:t>
      </w:r>
      <w:r w:rsidRPr="00C37DDB">
        <w:t xml:space="preserve"> </w:t>
      </w:r>
      <w:r w:rsidR="00734586">
        <w:t xml:space="preserve">Improvement in the index was most consistent at 2 m depths where </w:t>
      </w:r>
      <w:r w:rsidR="00F17C55">
        <w:t xml:space="preserve">only the Macro algae metric showed no </w:t>
      </w:r>
      <w:r w:rsidR="00D627D5">
        <w:t xml:space="preserve">improvement </w:t>
      </w:r>
      <w:r w:rsidR="00F17C55">
        <w:t>(</w:t>
      </w:r>
      <w:r w:rsidR="00F17C55">
        <w:fldChar w:fldCharType="begin"/>
      </w:r>
      <w:r w:rsidR="00F17C55">
        <w:instrText xml:space="preserve"> REF _Ref491341013 \h </w:instrText>
      </w:r>
      <w:r w:rsidR="00F17C55">
        <w:fldChar w:fldCharType="separate"/>
      </w:r>
      <w:r w:rsidR="00D806F2">
        <w:t xml:space="preserve">Table </w:t>
      </w:r>
      <w:r w:rsidR="00D806F2">
        <w:rPr>
          <w:noProof/>
        </w:rPr>
        <w:t>14</w:t>
      </w:r>
      <w:r w:rsidR="00F17C55">
        <w:fldChar w:fldCharType="end"/>
      </w:r>
      <w:r w:rsidR="00F17C55">
        <w:t xml:space="preserve">). </w:t>
      </w:r>
      <w:r w:rsidR="003E7AA9">
        <w:t xml:space="preserve">Improvement in coral cover at 2 m depths was most evident as increased cover of the coral family Acroporidae (predominantly branch </w:t>
      </w:r>
      <w:r w:rsidR="003E7AA9" w:rsidRPr="00253045">
        <w:rPr>
          <w:i/>
        </w:rPr>
        <w:t>Acropora</w:t>
      </w:r>
      <w:r w:rsidR="003E7AA9">
        <w:t xml:space="preserve">) at Double Cone, Daydream and Shute </w:t>
      </w:r>
      <w:r w:rsidR="003E7AA9" w:rsidRPr="00BE20D6">
        <w:t>Harbour (</w:t>
      </w:r>
      <w:r w:rsidR="003E7AA9">
        <w:fldChar w:fldCharType="begin"/>
      </w:r>
      <w:r w:rsidR="003E7AA9">
        <w:instrText xml:space="preserve"> REF _Ref492390261 \h </w:instrText>
      </w:r>
      <w:r w:rsidR="003E7AA9">
        <w:fldChar w:fldCharType="separate"/>
      </w:r>
      <w:r w:rsidR="00D806F2">
        <w:t xml:space="preserve">Figure A1. </w:t>
      </w:r>
      <w:r w:rsidR="00D806F2">
        <w:rPr>
          <w:noProof/>
        </w:rPr>
        <w:t>5</w:t>
      </w:r>
      <w:r w:rsidR="003E7AA9">
        <w:fldChar w:fldCharType="end"/>
      </w:r>
      <w:r w:rsidR="003E7AA9" w:rsidRPr="00BE20D6">
        <w:t xml:space="preserve">). These increases in </w:t>
      </w:r>
      <w:r w:rsidR="003E7AA9" w:rsidRPr="00BE20D6">
        <w:rPr>
          <w:i/>
        </w:rPr>
        <w:t>Acropora</w:t>
      </w:r>
      <w:r w:rsidR="003E7AA9" w:rsidRPr="00BE20D6">
        <w:t xml:space="preserve"> cover will have contributed to the improvement in Composition scores.</w:t>
      </w:r>
      <w:r w:rsidR="003E7AA9">
        <w:t xml:space="preserve"> </w:t>
      </w:r>
      <w:r w:rsidR="00123054">
        <w:t>At 5 m depths</w:t>
      </w:r>
      <w:r w:rsidR="003E7AA9">
        <w:t>,</w:t>
      </w:r>
      <w:r w:rsidR="00123054">
        <w:t xml:space="preserve"> improvement in the index was less consistent</w:t>
      </w:r>
      <w:r w:rsidR="003E7AA9">
        <w:t>,</w:t>
      </w:r>
      <w:r w:rsidR="00123054">
        <w:t xml:space="preserve"> only the Composition and Juvenile metrics showed a moderate probability of improvement (</w:t>
      </w:r>
      <w:r w:rsidR="00123054">
        <w:fldChar w:fldCharType="begin"/>
      </w:r>
      <w:r w:rsidR="00123054">
        <w:instrText xml:space="preserve"> REF _Ref491341013 \h </w:instrText>
      </w:r>
      <w:r w:rsidR="00123054">
        <w:fldChar w:fldCharType="separate"/>
      </w:r>
      <w:r w:rsidR="00D806F2">
        <w:t xml:space="preserve">Table </w:t>
      </w:r>
      <w:r w:rsidR="00D806F2">
        <w:rPr>
          <w:noProof/>
        </w:rPr>
        <w:t>14</w:t>
      </w:r>
      <w:r w:rsidR="00123054">
        <w:fldChar w:fldCharType="end"/>
      </w:r>
      <w:r w:rsidR="00123054">
        <w:t xml:space="preserve">). </w:t>
      </w:r>
    </w:p>
    <w:p w14:paraId="3B36FD4D" w14:textId="7B3E4416" w:rsidR="00F27621" w:rsidRDefault="00253045" w:rsidP="00F27621">
      <w:pPr>
        <w:rPr>
          <w:rFonts w:cs="Arial"/>
          <w:szCs w:val="22"/>
        </w:rPr>
      </w:pPr>
      <w:r w:rsidRPr="00BE20D6">
        <w:t>A high proportion of macro</w:t>
      </w:r>
      <w:r>
        <w:t xml:space="preserve">algae is only recorded at Pine and Seaforth </w:t>
      </w:r>
      <w:r>
        <w:rPr>
          <w:rFonts w:cs="Arial"/>
          <w:szCs w:val="22"/>
        </w:rPr>
        <w:t xml:space="preserve">the two reefs with the highest long-term mean concentrations of Chl </w:t>
      </w:r>
      <w:r w:rsidRPr="00E252CD">
        <w:rPr>
          <w:rFonts w:cs="Arial"/>
          <w:i/>
          <w:szCs w:val="22"/>
        </w:rPr>
        <w:t>a</w:t>
      </w:r>
      <w:r>
        <w:rPr>
          <w:rFonts w:cs="Arial"/>
          <w:szCs w:val="22"/>
        </w:rPr>
        <w:t xml:space="preserve"> </w:t>
      </w:r>
      <w:r w:rsidRPr="00BE20D6">
        <w:rPr>
          <w:rFonts w:cs="Arial"/>
          <w:szCs w:val="22"/>
        </w:rPr>
        <w:t>(</w:t>
      </w:r>
      <w:r w:rsidR="00BE20D6">
        <w:rPr>
          <w:rFonts w:cs="Arial"/>
          <w:szCs w:val="22"/>
        </w:rPr>
        <w:fldChar w:fldCharType="begin"/>
      </w:r>
      <w:r w:rsidR="00BE20D6">
        <w:rPr>
          <w:rFonts w:cs="Arial"/>
          <w:szCs w:val="22"/>
        </w:rPr>
        <w:instrText xml:space="preserve"> REF _Ref492390261 \h </w:instrText>
      </w:r>
      <w:r w:rsidR="00BE20D6">
        <w:rPr>
          <w:rFonts w:cs="Arial"/>
          <w:szCs w:val="22"/>
        </w:rPr>
      </w:r>
      <w:r w:rsidR="00BE20D6">
        <w:rPr>
          <w:rFonts w:cs="Arial"/>
          <w:szCs w:val="22"/>
        </w:rPr>
        <w:fldChar w:fldCharType="separate"/>
      </w:r>
      <w:r w:rsidR="00D806F2">
        <w:t xml:space="preserve">Figure A1. </w:t>
      </w:r>
      <w:r w:rsidR="00D806F2">
        <w:rPr>
          <w:noProof/>
        </w:rPr>
        <w:t>5</w:t>
      </w:r>
      <w:r w:rsidR="00BE20D6">
        <w:rPr>
          <w:rFonts w:cs="Arial"/>
          <w:szCs w:val="22"/>
        </w:rPr>
        <w:fldChar w:fldCharType="end"/>
      </w:r>
      <w:r w:rsidR="00BE20D6">
        <w:rPr>
          <w:rFonts w:cs="Arial"/>
          <w:szCs w:val="22"/>
        </w:rPr>
        <w:t xml:space="preserve">, </w:t>
      </w:r>
      <w:r w:rsidRPr="00BE20D6">
        <w:rPr>
          <w:rFonts w:cs="Arial"/>
          <w:szCs w:val="22"/>
        </w:rPr>
        <w:fldChar w:fldCharType="begin"/>
      </w:r>
      <w:r w:rsidRPr="00BE20D6">
        <w:rPr>
          <w:rFonts w:cs="Arial"/>
          <w:szCs w:val="22"/>
        </w:rPr>
        <w:instrText xml:space="preserve"> REF _Ref491177799 \h </w:instrText>
      </w:r>
      <w:r w:rsidR="00671DC7" w:rsidRPr="00BE20D6">
        <w:rPr>
          <w:rFonts w:cs="Arial"/>
          <w:szCs w:val="22"/>
        </w:rPr>
        <w:instrText xml:space="preserve"> \* MERGEFORMAT </w:instrText>
      </w:r>
      <w:r w:rsidRPr="00BE20D6">
        <w:rPr>
          <w:rFonts w:cs="Arial"/>
          <w:szCs w:val="22"/>
        </w:rPr>
      </w:r>
      <w:r w:rsidRPr="00BE20D6">
        <w:rPr>
          <w:rFonts w:cs="Arial"/>
          <w:szCs w:val="22"/>
        </w:rPr>
        <w:fldChar w:fldCharType="separate"/>
      </w:r>
      <w:r w:rsidR="00D806F2">
        <w:t xml:space="preserve">Table A1. </w:t>
      </w:r>
      <w:r w:rsidR="00D806F2">
        <w:rPr>
          <w:noProof/>
        </w:rPr>
        <w:t>6</w:t>
      </w:r>
      <w:r w:rsidRPr="00BE20D6">
        <w:rPr>
          <w:rFonts w:cs="Arial"/>
          <w:szCs w:val="22"/>
        </w:rPr>
        <w:fldChar w:fldCharType="end"/>
      </w:r>
      <w:r>
        <w:rPr>
          <w:rFonts w:cs="Arial"/>
          <w:szCs w:val="22"/>
        </w:rPr>
        <w:t>)</w:t>
      </w:r>
      <w:r w:rsidR="003E7AA9">
        <w:rPr>
          <w:rFonts w:cs="Arial"/>
          <w:szCs w:val="22"/>
        </w:rPr>
        <w:t>,</w:t>
      </w:r>
      <w:r>
        <w:rPr>
          <w:rFonts w:cs="Arial"/>
          <w:szCs w:val="22"/>
        </w:rPr>
        <w:t xml:space="preserve"> suggesting nutrient availability plays a role in the prevalence of macroalgae at these reefs. </w:t>
      </w:r>
      <w:r>
        <w:t>Neither of these reefs were surveyed in 2016, though there was a tendency for declines in the proportion of macroalgae these reefs in 2015 (</w:t>
      </w:r>
      <w:r>
        <w:fldChar w:fldCharType="begin"/>
      </w:r>
      <w:r>
        <w:instrText xml:space="preserve"> REF _Ref491341033 \h </w:instrText>
      </w:r>
      <w:r>
        <w:fldChar w:fldCharType="separate"/>
      </w:r>
      <w:r w:rsidR="00D806F2">
        <w:t xml:space="preserve">Figure </w:t>
      </w:r>
      <w:r w:rsidR="00D806F2">
        <w:rPr>
          <w:noProof/>
        </w:rPr>
        <w:t>21</w:t>
      </w:r>
      <w:r>
        <w:fldChar w:fldCharType="end"/>
      </w:r>
      <w:r>
        <w:t>c).</w:t>
      </w:r>
      <w:r w:rsidR="00134DDC">
        <w:t xml:space="preserve"> </w:t>
      </w:r>
      <w:r>
        <w:t>At all other reefs</w:t>
      </w:r>
      <w:r w:rsidR="00134DDC">
        <w:t>,</w:t>
      </w:r>
      <w:r>
        <w:t xml:space="preserve"> </w:t>
      </w:r>
      <w:r w:rsidR="00134DDC">
        <w:t xml:space="preserve">the proportion of </w:t>
      </w:r>
      <w:r>
        <w:t xml:space="preserve">macroalgae </w:t>
      </w:r>
      <w:r w:rsidR="00134DDC">
        <w:t xml:space="preserve">in algal communities </w:t>
      </w:r>
      <w:r>
        <w:t>has remained consistently low, resulting in a high regional score for the Macroalgae metric (</w:t>
      </w:r>
      <w:r>
        <w:fldChar w:fldCharType="begin"/>
      </w:r>
      <w:r>
        <w:instrText xml:space="preserve"> REF _Ref491341033 \h </w:instrText>
      </w:r>
      <w:r>
        <w:fldChar w:fldCharType="separate"/>
      </w:r>
      <w:r w:rsidR="00D806F2">
        <w:t xml:space="preserve">Figure </w:t>
      </w:r>
      <w:r w:rsidR="00D806F2">
        <w:rPr>
          <w:noProof/>
        </w:rPr>
        <w:t>21</w:t>
      </w:r>
      <w:r>
        <w:fldChar w:fldCharType="end"/>
      </w:r>
      <w:r>
        <w:t xml:space="preserve">, </w:t>
      </w:r>
      <w:r>
        <w:fldChar w:fldCharType="begin"/>
      </w:r>
      <w:r>
        <w:instrText xml:space="preserve"> REF _Ref491182085 \h </w:instrText>
      </w:r>
      <w:r>
        <w:fldChar w:fldCharType="separate"/>
      </w:r>
      <w:r w:rsidR="00D806F2">
        <w:t xml:space="preserve">Table A1. </w:t>
      </w:r>
      <w:r w:rsidR="00D806F2">
        <w:rPr>
          <w:noProof/>
        </w:rPr>
        <w:t>5</w:t>
      </w:r>
      <w:r>
        <w:fldChar w:fldCharType="end"/>
      </w:r>
      <w:r>
        <w:t>).</w:t>
      </w:r>
    </w:p>
    <w:p w14:paraId="11EA9095" w14:textId="498A4575" w:rsidR="00B36605" w:rsidRDefault="003B4903" w:rsidP="00B36605">
      <w:pPr>
        <w:rPr>
          <w:rFonts w:cs="Arial"/>
          <w:color w:val="000000" w:themeColor="text1"/>
          <w:szCs w:val="22"/>
        </w:rPr>
      </w:pPr>
      <w:r>
        <w:t xml:space="preserve">The current index score </w:t>
      </w:r>
      <w:r w:rsidR="00134DDC">
        <w:t xml:space="preserve">is supported by </w:t>
      </w:r>
      <w:r>
        <w:t xml:space="preserve">the relatively low exposure to acute disturbances </w:t>
      </w:r>
      <w:r w:rsidR="00134DDC">
        <w:t xml:space="preserve">impacting the </w:t>
      </w:r>
      <w:r>
        <w:t>reefs in this region</w:t>
      </w:r>
      <w:r w:rsidR="00134DDC">
        <w:t xml:space="preserve"> </w:t>
      </w:r>
      <w:r w:rsidR="001942C4">
        <w:t>(</w:t>
      </w:r>
      <w:r w:rsidR="00134DDC">
        <w:fldChar w:fldCharType="begin"/>
      </w:r>
      <w:r w:rsidR="00134DDC">
        <w:instrText xml:space="preserve"> REF _Ref491342894 \h </w:instrText>
      </w:r>
      <w:r w:rsidR="00134DDC">
        <w:fldChar w:fldCharType="separate"/>
      </w:r>
      <w:r w:rsidR="00D806F2">
        <w:t xml:space="preserve">Figure </w:t>
      </w:r>
      <w:r w:rsidR="00D806F2">
        <w:rPr>
          <w:noProof/>
        </w:rPr>
        <w:t>20</w:t>
      </w:r>
      <w:r w:rsidR="00134DDC">
        <w:fldChar w:fldCharType="end"/>
      </w:r>
      <w:r w:rsidR="001942C4">
        <w:t>c-e)</w:t>
      </w:r>
      <w:r w:rsidR="00B36605" w:rsidRPr="007F61EE">
        <w:t xml:space="preserve">. Flooding in 2009 and Cyclone Ului in 2010 were the only acute disturbance events recorded since 2005 </w:t>
      </w:r>
      <w:r w:rsidR="00B36605" w:rsidRPr="00801326">
        <w:rPr>
          <w:color w:val="000000" w:themeColor="text1"/>
        </w:rPr>
        <w:t>(</w:t>
      </w:r>
      <w:r w:rsidR="00134DDC">
        <w:rPr>
          <w:color w:val="000000" w:themeColor="text1"/>
        </w:rPr>
        <w:fldChar w:fldCharType="begin"/>
      </w:r>
      <w:r w:rsidR="00134DDC">
        <w:rPr>
          <w:color w:val="000000" w:themeColor="text1"/>
        </w:rPr>
        <w:instrText xml:space="preserve"> REF _Ref491342894 \h </w:instrText>
      </w:r>
      <w:r w:rsidR="00134DDC">
        <w:rPr>
          <w:color w:val="000000" w:themeColor="text1"/>
        </w:rPr>
      </w:r>
      <w:r w:rsidR="00134DDC">
        <w:rPr>
          <w:color w:val="000000" w:themeColor="text1"/>
        </w:rPr>
        <w:fldChar w:fldCharType="separate"/>
      </w:r>
      <w:r w:rsidR="00D806F2">
        <w:t xml:space="preserve">Figure </w:t>
      </w:r>
      <w:r w:rsidR="00D806F2">
        <w:rPr>
          <w:noProof/>
        </w:rPr>
        <w:t>20</w:t>
      </w:r>
      <w:r w:rsidR="00134DDC">
        <w:rPr>
          <w:color w:val="000000" w:themeColor="text1"/>
        </w:rPr>
        <w:fldChar w:fldCharType="end"/>
      </w:r>
      <w:r w:rsidR="00B36605">
        <w:t>e</w:t>
      </w:r>
      <w:r w:rsidR="00B36605" w:rsidRPr="007F61EE">
        <w:t>)</w:t>
      </w:r>
      <w:r w:rsidR="0099329C">
        <w:t xml:space="preserve"> and will have contributed to the slight declines in the index th</w:t>
      </w:r>
      <w:r w:rsidR="00134DDC">
        <w:t>rough to 2012</w:t>
      </w:r>
      <w:r w:rsidR="00B36605" w:rsidRPr="007F61EE">
        <w:t xml:space="preserve">. Cyclone Ului </w:t>
      </w:r>
      <w:r w:rsidR="00734586">
        <w:t xml:space="preserve">caused </w:t>
      </w:r>
      <w:r w:rsidR="00B36605" w:rsidRPr="007F61EE">
        <w:t xml:space="preserve">widespread </w:t>
      </w:r>
      <w:r w:rsidR="00734586">
        <w:t xml:space="preserve">loss of coral, </w:t>
      </w:r>
      <w:r w:rsidR="0099329C">
        <w:t>whi</w:t>
      </w:r>
      <w:r w:rsidR="003E7AA9">
        <w:t>le the magnitude of this lo</w:t>
      </w:r>
      <w:r w:rsidR="0099329C">
        <w:t>ss was low at most sites (</w:t>
      </w:r>
      <w:r w:rsidR="00134DDC">
        <w:fldChar w:fldCharType="begin"/>
      </w:r>
      <w:r w:rsidR="00134DDC">
        <w:instrText xml:space="preserve"> REF _Ref491341033 \h </w:instrText>
      </w:r>
      <w:r w:rsidR="00134DDC">
        <w:fldChar w:fldCharType="separate"/>
      </w:r>
      <w:r w:rsidR="00D806F2">
        <w:t xml:space="preserve">Figure </w:t>
      </w:r>
      <w:r w:rsidR="00D806F2">
        <w:rPr>
          <w:noProof/>
        </w:rPr>
        <w:t>21</w:t>
      </w:r>
      <w:r w:rsidR="00134DDC">
        <w:fldChar w:fldCharType="end"/>
      </w:r>
      <w:r w:rsidR="0099329C">
        <w:t xml:space="preserve">b), </w:t>
      </w:r>
      <w:r w:rsidR="00B36605" w:rsidRPr="007F61EE">
        <w:t xml:space="preserve">Daydream </w:t>
      </w:r>
      <w:r w:rsidR="0099329C">
        <w:t xml:space="preserve">was severely impacted losing </w:t>
      </w:r>
      <w:r w:rsidR="00B36605" w:rsidRPr="007F61EE">
        <w:t xml:space="preserve">47% of </w:t>
      </w:r>
      <w:r w:rsidR="0099329C">
        <w:t xml:space="preserve">the </w:t>
      </w:r>
      <w:r w:rsidR="00B36605" w:rsidRPr="007F61EE">
        <w:t xml:space="preserve">coral cover </w:t>
      </w:r>
      <w:r w:rsidR="00734586">
        <w:t>at 5</w:t>
      </w:r>
      <w:r w:rsidR="0099329C">
        <w:t xml:space="preserve"> </w:t>
      </w:r>
      <w:r w:rsidR="00734586">
        <w:t xml:space="preserve">m </w:t>
      </w:r>
      <w:r w:rsidR="0099329C" w:rsidRPr="00BE20D6">
        <w:t xml:space="preserve">depth </w:t>
      </w:r>
      <w:r w:rsidR="006C3296" w:rsidRPr="00BE20D6">
        <w:t>(</w:t>
      </w:r>
      <w:r w:rsidR="00BE20D6">
        <w:fldChar w:fldCharType="begin"/>
      </w:r>
      <w:r w:rsidR="00BE20D6">
        <w:instrText xml:space="preserve"> REF _Ref492390261 \h </w:instrText>
      </w:r>
      <w:r w:rsidR="00BE20D6">
        <w:fldChar w:fldCharType="separate"/>
      </w:r>
      <w:r w:rsidR="00D806F2">
        <w:t xml:space="preserve">Figure A1. </w:t>
      </w:r>
      <w:r w:rsidR="00D806F2">
        <w:rPr>
          <w:noProof/>
        </w:rPr>
        <w:t>5</w:t>
      </w:r>
      <w:r w:rsidR="00BE20D6">
        <w:fldChar w:fldCharType="end"/>
      </w:r>
      <w:r w:rsidR="006C3296" w:rsidRPr="00BE20D6">
        <w:rPr>
          <w:rFonts w:cs="Arial"/>
          <w:szCs w:val="22"/>
        </w:rPr>
        <w:t>,</w:t>
      </w:r>
      <w:r w:rsidR="00134DDC">
        <w:rPr>
          <w:rFonts w:cs="Arial"/>
          <w:szCs w:val="22"/>
        </w:rPr>
        <w:t xml:space="preserve"> </w:t>
      </w:r>
      <w:r w:rsidR="00134DDC">
        <w:rPr>
          <w:rFonts w:cs="Arial"/>
          <w:szCs w:val="22"/>
        </w:rPr>
        <w:fldChar w:fldCharType="begin"/>
      </w:r>
      <w:r w:rsidR="00134DDC">
        <w:rPr>
          <w:rFonts w:cs="Arial"/>
          <w:szCs w:val="22"/>
        </w:rPr>
        <w:instrText xml:space="preserve"> REF _Ref491178994 \h </w:instrText>
      </w:r>
      <w:r w:rsidR="00134DDC">
        <w:rPr>
          <w:rFonts w:cs="Arial"/>
          <w:szCs w:val="22"/>
        </w:rPr>
      </w:r>
      <w:r w:rsidR="00134DDC">
        <w:rPr>
          <w:rFonts w:cs="Arial"/>
          <w:szCs w:val="22"/>
        </w:rPr>
        <w:fldChar w:fldCharType="separate"/>
      </w:r>
      <w:r w:rsidR="00D806F2">
        <w:t xml:space="preserve">Table A1. </w:t>
      </w:r>
      <w:r w:rsidR="00D806F2">
        <w:rPr>
          <w:noProof/>
        </w:rPr>
        <w:t>4</w:t>
      </w:r>
      <w:r w:rsidR="00134DDC">
        <w:rPr>
          <w:rFonts w:cs="Arial"/>
          <w:szCs w:val="22"/>
        </w:rPr>
        <w:fldChar w:fldCharType="end"/>
      </w:r>
      <w:r w:rsidR="00B36605" w:rsidRPr="00F301BD">
        <w:rPr>
          <w:rFonts w:cs="Arial"/>
          <w:szCs w:val="22"/>
        </w:rPr>
        <w:t xml:space="preserve">). </w:t>
      </w:r>
      <w:r w:rsidR="00134DDC">
        <w:rPr>
          <w:rFonts w:cs="Arial"/>
          <w:szCs w:val="22"/>
        </w:rPr>
        <w:t>S</w:t>
      </w:r>
      <w:r w:rsidR="00B36605" w:rsidRPr="00F301BD">
        <w:rPr>
          <w:rFonts w:cs="Arial"/>
          <w:szCs w:val="22"/>
        </w:rPr>
        <w:t xml:space="preserve">torm damage </w:t>
      </w:r>
      <w:r w:rsidR="00134DDC">
        <w:rPr>
          <w:rFonts w:cs="Arial"/>
          <w:szCs w:val="22"/>
        </w:rPr>
        <w:t>assigned to both 2010 and 2011 (</w:t>
      </w:r>
      <w:r w:rsidR="00134DDC">
        <w:rPr>
          <w:rFonts w:cs="Arial"/>
          <w:szCs w:val="22"/>
        </w:rPr>
        <w:fldChar w:fldCharType="begin"/>
      </w:r>
      <w:r w:rsidR="00134DDC">
        <w:rPr>
          <w:rFonts w:cs="Arial"/>
          <w:szCs w:val="22"/>
        </w:rPr>
        <w:instrText xml:space="preserve"> REF _Ref491342894 \h </w:instrText>
      </w:r>
      <w:r w:rsidR="00134DDC">
        <w:rPr>
          <w:rFonts w:cs="Arial"/>
          <w:szCs w:val="22"/>
        </w:rPr>
      </w:r>
      <w:r w:rsidR="00134DDC">
        <w:rPr>
          <w:rFonts w:cs="Arial"/>
          <w:szCs w:val="22"/>
        </w:rPr>
        <w:fldChar w:fldCharType="separate"/>
      </w:r>
      <w:r w:rsidR="00D806F2">
        <w:t xml:space="preserve">Figure </w:t>
      </w:r>
      <w:r w:rsidR="00D806F2">
        <w:rPr>
          <w:noProof/>
        </w:rPr>
        <w:t>20</w:t>
      </w:r>
      <w:r w:rsidR="00134DDC">
        <w:rPr>
          <w:rFonts w:cs="Arial"/>
          <w:szCs w:val="22"/>
        </w:rPr>
        <w:fldChar w:fldCharType="end"/>
      </w:r>
      <w:r w:rsidR="00134DDC">
        <w:rPr>
          <w:rFonts w:cs="Arial"/>
          <w:szCs w:val="22"/>
        </w:rPr>
        <w:t xml:space="preserve">e) was due to Cyclone Ului, the losses span two years as a result of the biennial sampling design </w:t>
      </w:r>
      <w:r w:rsidR="00734586">
        <w:rPr>
          <w:rFonts w:cs="Arial"/>
          <w:szCs w:val="22"/>
        </w:rPr>
        <w:t>result</w:t>
      </w:r>
      <w:r w:rsidR="00134DDC">
        <w:rPr>
          <w:rFonts w:cs="Arial"/>
          <w:szCs w:val="22"/>
        </w:rPr>
        <w:t xml:space="preserve">ing in </w:t>
      </w:r>
      <w:r w:rsidR="00B36605" w:rsidRPr="00F301BD">
        <w:rPr>
          <w:rFonts w:cs="Arial"/>
          <w:szCs w:val="22"/>
        </w:rPr>
        <w:t xml:space="preserve">damage </w:t>
      </w:r>
      <w:r w:rsidR="00734586">
        <w:rPr>
          <w:rFonts w:cs="Arial"/>
          <w:szCs w:val="22"/>
        </w:rPr>
        <w:t>cause</w:t>
      </w:r>
      <w:r w:rsidR="00134DDC">
        <w:rPr>
          <w:rFonts w:cs="Arial"/>
          <w:szCs w:val="22"/>
        </w:rPr>
        <w:t>d</w:t>
      </w:r>
      <w:r w:rsidR="00734586">
        <w:rPr>
          <w:rFonts w:cs="Arial"/>
          <w:szCs w:val="22"/>
        </w:rPr>
        <w:t xml:space="preserve"> by Cyclone Ului not recorded until </w:t>
      </w:r>
      <w:r w:rsidR="00134DDC">
        <w:rPr>
          <w:rFonts w:cs="Arial"/>
          <w:szCs w:val="22"/>
        </w:rPr>
        <w:t xml:space="preserve">the following year </w:t>
      </w:r>
      <w:r w:rsidR="003E7AA9">
        <w:rPr>
          <w:rFonts w:cs="Arial"/>
          <w:szCs w:val="22"/>
        </w:rPr>
        <w:t>at some reefs</w:t>
      </w:r>
      <w:r w:rsidR="0099329C">
        <w:rPr>
          <w:rFonts w:cs="Arial"/>
          <w:szCs w:val="22"/>
        </w:rPr>
        <w:t>.</w:t>
      </w:r>
      <w:r w:rsidR="00F24294" w:rsidRPr="00F24294">
        <w:t xml:space="preserve"> </w:t>
      </w:r>
      <w:r w:rsidR="00134DDC">
        <w:t>I</w:t>
      </w:r>
      <w:r w:rsidR="00F24294">
        <w:t xml:space="preserve">mprovement in the index </w:t>
      </w:r>
      <w:r w:rsidR="00134DDC">
        <w:t xml:space="preserve">since 2012 has coincided with a period free from acute disturbance events </w:t>
      </w:r>
      <w:r w:rsidR="00F24294" w:rsidRPr="00F301BD">
        <w:rPr>
          <w:rFonts w:cs="Arial"/>
          <w:color w:val="000000" w:themeColor="text1"/>
          <w:szCs w:val="22"/>
        </w:rPr>
        <w:t>(</w:t>
      </w:r>
      <w:r w:rsidR="00134DDC">
        <w:rPr>
          <w:rFonts w:cs="Arial"/>
          <w:color w:val="000000" w:themeColor="text1"/>
          <w:szCs w:val="22"/>
        </w:rPr>
        <w:fldChar w:fldCharType="begin"/>
      </w:r>
      <w:r w:rsidR="00134DDC">
        <w:rPr>
          <w:rFonts w:cs="Arial"/>
          <w:color w:val="000000" w:themeColor="text1"/>
          <w:szCs w:val="22"/>
        </w:rPr>
        <w:instrText xml:space="preserve"> REF _Ref491342894 \h </w:instrText>
      </w:r>
      <w:r w:rsidR="00134DDC">
        <w:rPr>
          <w:rFonts w:cs="Arial"/>
          <w:color w:val="000000" w:themeColor="text1"/>
          <w:szCs w:val="22"/>
        </w:rPr>
      </w:r>
      <w:r w:rsidR="00134DDC">
        <w:rPr>
          <w:rFonts w:cs="Arial"/>
          <w:color w:val="000000" w:themeColor="text1"/>
          <w:szCs w:val="22"/>
        </w:rPr>
        <w:fldChar w:fldCharType="separate"/>
      </w:r>
      <w:r w:rsidR="00D806F2">
        <w:t xml:space="preserve">Figure </w:t>
      </w:r>
      <w:r w:rsidR="00D806F2">
        <w:rPr>
          <w:noProof/>
        </w:rPr>
        <w:t>20</w:t>
      </w:r>
      <w:r w:rsidR="00134DDC">
        <w:rPr>
          <w:rFonts w:cs="Arial"/>
          <w:color w:val="000000" w:themeColor="text1"/>
          <w:szCs w:val="22"/>
        </w:rPr>
        <w:fldChar w:fldCharType="end"/>
      </w:r>
      <w:r w:rsidR="00F24294" w:rsidRPr="00F301BD">
        <w:rPr>
          <w:rFonts w:cs="Arial"/>
          <w:color w:val="000000" w:themeColor="text1"/>
          <w:szCs w:val="22"/>
        </w:rPr>
        <w:t>).</w:t>
      </w:r>
    </w:p>
    <w:p w14:paraId="2B58FD8C" w14:textId="21066AAE" w:rsidR="0000691A" w:rsidRDefault="007A50AB" w:rsidP="007A50AB">
      <w:pPr>
        <w:pStyle w:val="Caption"/>
      </w:pPr>
      <w:bookmarkStart w:id="241" w:name="_Ref491341013"/>
      <w:bookmarkStart w:id="242" w:name="_Toc491847033"/>
      <w:r>
        <w:t xml:space="preserve">Table </w:t>
      </w:r>
      <w:r>
        <w:fldChar w:fldCharType="begin"/>
      </w:r>
      <w:r>
        <w:instrText xml:space="preserve"> SEQ Table \* ARABIC </w:instrText>
      </w:r>
      <w:r>
        <w:fldChar w:fldCharType="separate"/>
      </w:r>
      <w:r w:rsidR="00D806F2">
        <w:rPr>
          <w:noProof/>
        </w:rPr>
        <w:t>14</w:t>
      </w:r>
      <w:r>
        <w:fldChar w:fldCharType="end"/>
      </w:r>
      <w:bookmarkEnd w:id="241"/>
      <w:r>
        <w:t xml:space="preserve"> </w:t>
      </w:r>
      <w:r w:rsidRPr="00127BA3">
        <w:t>Pair-wise comparison between index and metric scores in the Mackay Whitsunday Region.</w:t>
      </w:r>
      <w:r w:rsidR="0000691A">
        <w:t xml:space="preserve"> Data compare the changes in scores between local maxima and minima in the index time-series. For the index, and each metric,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242"/>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4"/>
        <w:gridCol w:w="350"/>
        <w:gridCol w:w="625"/>
        <w:gridCol w:w="625"/>
        <w:gridCol w:w="625"/>
        <w:gridCol w:w="625"/>
        <w:gridCol w:w="625"/>
        <w:gridCol w:w="626"/>
        <w:gridCol w:w="625"/>
        <w:gridCol w:w="625"/>
        <w:gridCol w:w="625"/>
        <w:gridCol w:w="625"/>
        <w:gridCol w:w="625"/>
        <w:gridCol w:w="626"/>
      </w:tblGrid>
      <w:tr w:rsidR="00437B1B" w:rsidRPr="000E340E" w14:paraId="68871BCF" w14:textId="77777777" w:rsidTr="00437B1B">
        <w:trPr>
          <w:trHeight w:val="300"/>
        </w:trPr>
        <w:tc>
          <w:tcPr>
            <w:tcW w:w="1074" w:type="dxa"/>
            <w:vMerge w:val="restart"/>
            <w:shd w:val="clear" w:color="auto" w:fill="auto"/>
            <w:noWrap/>
            <w:tcMar>
              <w:left w:w="57" w:type="dxa"/>
              <w:right w:w="57" w:type="dxa"/>
            </w:tcMar>
            <w:vAlign w:val="bottom"/>
            <w:hideMark/>
          </w:tcPr>
          <w:p w14:paraId="68543739" w14:textId="77777777" w:rsidR="00437B1B" w:rsidRPr="000E340E" w:rsidRDefault="00437B1B" w:rsidP="00437B1B">
            <w:pPr>
              <w:spacing w:after="0"/>
              <w:jc w:val="left"/>
              <w:rPr>
                <w:rFonts w:ascii="Arial Narrow" w:hAnsi="Arial Narrow"/>
                <w:sz w:val="20"/>
                <w:lang w:eastAsia="en-AU"/>
              </w:rPr>
            </w:pPr>
            <w:r w:rsidRPr="000E340E">
              <w:rPr>
                <w:rFonts w:ascii="Arial Narrow" w:hAnsi="Arial Narrow"/>
                <w:color w:val="000000"/>
                <w:sz w:val="20"/>
                <w:lang w:eastAsia="en-AU"/>
              </w:rPr>
              <w:t>Period</w:t>
            </w:r>
          </w:p>
        </w:tc>
        <w:tc>
          <w:tcPr>
            <w:tcW w:w="350" w:type="dxa"/>
            <w:vMerge w:val="restart"/>
            <w:shd w:val="clear" w:color="auto" w:fill="auto"/>
            <w:noWrap/>
            <w:tcMar>
              <w:left w:w="57" w:type="dxa"/>
              <w:right w:w="57" w:type="dxa"/>
            </w:tcMar>
            <w:textDirection w:val="btLr"/>
            <w:vAlign w:val="bottom"/>
            <w:hideMark/>
          </w:tcPr>
          <w:p w14:paraId="01D77CEC" w14:textId="77777777" w:rsidR="00437B1B" w:rsidRPr="000E340E" w:rsidRDefault="00437B1B" w:rsidP="00437B1B">
            <w:pPr>
              <w:spacing w:after="0"/>
              <w:ind w:left="113" w:right="113"/>
              <w:jc w:val="center"/>
              <w:rPr>
                <w:rFonts w:ascii="Arial Narrow" w:hAnsi="Arial Narrow"/>
                <w:sz w:val="20"/>
                <w:lang w:eastAsia="en-AU"/>
              </w:rPr>
            </w:pPr>
            <w:r w:rsidRPr="000E340E">
              <w:rPr>
                <w:rFonts w:ascii="Arial Narrow" w:hAnsi="Arial Narrow"/>
                <w:color w:val="000000"/>
                <w:sz w:val="20"/>
                <w:lang w:eastAsia="en-AU"/>
              </w:rPr>
              <w:t>Depth</w:t>
            </w:r>
          </w:p>
        </w:tc>
        <w:tc>
          <w:tcPr>
            <w:tcW w:w="1250" w:type="dxa"/>
            <w:gridSpan w:val="2"/>
            <w:shd w:val="clear" w:color="auto" w:fill="auto"/>
            <w:noWrap/>
            <w:tcMar>
              <w:left w:w="57" w:type="dxa"/>
              <w:right w:w="57" w:type="dxa"/>
            </w:tcMar>
            <w:vAlign w:val="bottom"/>
            <w:hideMark/>
          </w:tcPr>
          <w:p w14:paraId="42E01CD6" w14:textId="77777777" w:rsidR="00437B1B" w:rsidRPr="000E340E" w:rsidRDefault="00437B1B"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Index</w:t>
            </w:r>
          </w:p>
        </w:tc>
        <w:tc>
          <w:tcPr>
            <w:tcW w:w="1250" w:type="dxa"/>
            <w:gridSpan w:val="2"/>
            <w:shd w:val="clear" w:color="auto" w:fill="auto"/>
            <w:noWrap/>
            <w:tcMar>
              <w:left w:w="57" w:type="dxa"/>
              <w:right w:w="57" w:type="dxa"/>
            </w:tcMar>
            <w:vAlign w:val="bottom"/>
            <w:hideMark/>
          </w:tcPr>
          <w:p w14:paraId="2ABF12F1" w14:textId="77777777" w:rsidR="00437B1B" w:rsidRPr="000E340E" w:rsidRDefault="00437B1B"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Cover Change</w:t>
            </w:r>
          </w:p>
        </w:tc>
        <w:tc>
          <w:tcPr>
            <w:tcW w:w="1251" w:type="dxa"/>
            <w:gridSpan w:val="2"/>
            <w:shd w:val="clear" w:color="auto" w:fill="auto"/>
            <w:noWrap/>
            <w:tcMar>
              <w:left w:w="57" w:type="dxa"/>
              <w:right w:w="57" w:type="dxa"/>
            </w:tcMar>
            <w:vAlign w:val="bottom"/>
            <w:hideMark/>
          </w:tcPr>
          <w:p w14:paraId="7F465FD2" w14:textId="77777777" w:rsidR="00437B1B" w:rsidRPr="000E340E" w:rsidRDefault="00437B1B"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Composition</w:t>
            </w:r>
          </w:p>
        </w:tc>
        <w:tc>
          <w:tcPr>
            <w:tcW w:w="1250" w:type="dxa"/>
            <w:gridSpan w:val="2"/>
            <w:shd w:val="clear" w:color="auto" w:fill="auto"/>
            <w:noWrap/>
            <w:tcMar>
              <w:left w:w="57" w:type="dxa"/>
              <w:right w:w="57" w:type="dxa"/>
            </w:tcMar>
            <w:vAlign w:val="bottom"/>
            <w:hideMark/>
          </w:tcPr>
          <w:p w14:paraId="49D6E4F0" w14:textId="77777777" w:rsidR="00437B1B" w:rsidRPr="000E340E" w:rsidRDefault="00437B1B"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Coral Cover</w:t>
            </w:r>
          </w:p>
        </w:tc>
        <w:tc>
          <w:tcPr>
            <w:tcW w:w="1250" w:type="dxa"/>
            <w:gridSpan w:val="2"/>
            <w:shd w:val="clear" w:color="auto" w:fill="auto"/>
            <w:noWrap/>
            <w:tcMar>
              <w:left w:w="57" w:type="dxa"/>
              <w:right w:w="57" w:type="dxa"/>
            </w:tcMar>
            <w:vAlign w:val="bottom"/>
            <w:hideMark/>
          </w:tcPr>
          <w:p w14:paraId="5419A985" w14:textId="0B4F1E5B" w:rsidR="00437B1B" w:rsidRPr="000E340E" w:rsidRDefault="00C31328" w:rsidP="00C31328">
            <w:pPr>
              <w:spacing w:after="0"/>
              <w:jc w:val="center"/>
              <w:rPr>
                <w:rFonts w:ascii="Arial Narrow" w:hAnsi="Arial Narrow"/>
                <w:color w:val="000000"/>
                <w:sz w:val="20"/>
                <w:lang w:eastAsia="en-AU"/>
              </w:rPr>
            </w:pPr>
            <w:r>
              <w:rPr>
                <w:rFonts w:ascii="Arial Narrow" w:hAnsi="Arial Narrow"/>
                <w:color w:val="000000"/>
                <w:sz w:val="20"/>
                <w:lang w:eastAsia="en-AU"/>
              </w:rPr>
              <w:t>Juvenile</w:t>
            </w:r>
          </w:p>
        </w:tc>
        <w:tc>
          <w:tcPr>
            <w:tcW w:w="1251" w:type="dxa"/>
            <w:gridSpan w:val="2"/>
            <w:shd w:val="clear" w:color="auto" w:fill="auto"/>
            <w:noWrap/>
            <w:tcMar>
              <w:left w:w="57" w:type="dxa"/>
              <w:right w:w="57" w:type="dxa"/>
            </w:tcMar>
            <w:vAlign w:val="bottom"/>
            <w:hideMark/>
          </w:tcPr>
          <w:p w14:paraId="77894774" w14:textId="77777777" w:rsidR="00437B1B" w:rsidRPr="000E340E" w:rsidRDefault="00437B1B"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Macroalgae</w:t>
            </w:r>
          </w:p>
        </w:tc>
      </w:tr>
      <w:tr w:rsidR="00437B1B" w:rsidRPr="000E340E" w14:paraId="138C429B" w14:textId="77777777" w:rsidTr="00437B1B">
        <w:trPr>
          <w:trHeight w:val="520"/>
        </w:trPr>
        <w:tc>
          <w:tcPr>
            <w:tcW w:w="1074" w:type="dxa"/>
            <w:vMerge/>
            <w:shd w:val="clear" w:color="auto" w:fill="auto"/>
            <w:noWrap/>
            <w:tcMar>
              <w:left w:w="57" w:type="dxa"/>
              <w:right w:w="57" w:type="dxa"/>
            </w:tcMar>
            <w:vAlign w:val="bottom"/>
            <w:hideMark/>
          </w:tcPr>
          <w:p w14:paraId="2242B8FB" w14:textId="77777777" w:rsidR="00437B1B" w:rsidRPr="000E340E" w:rsidRDefault="00437B1B" w:rsidP="00437B1B">
            <w:pPr>
              <w:spacing w:after="0"/>
              <w:rPr>
                <w:rFonts w:ascii="Arial Narrow" w:hAnsi="Arial Narrow"/>
                <w:color w:val="000000"/>
                <w:sz w:val="20"/>
                <w:lang w:eastAsia="en-AU"/>
              </w:rPr>
            </w:pPr>
          </w:p>
        </w:tc>
        <w:tc>
          <w:tcPr>
            <w:tcW w:w="350" w:type="dxa"/>
            <w:vMerge/>
            <w:shd w:val="clear" w:color="auto" w:fill="auto"/>
            <w:noWrap/>
            <w:tcMar>
              <w:left w:w="57" w:type="dxa"/>
              <w:right w:w="57" w:type="dxa"/>
            </w:tcMar>
            <w:vAlign w:val="bottom"/>
            <w:hideMark/>
          </w:tcPr>
          <w:p w14:paraId="74BF346C" w14:textId="77777777" w:rsidR="00437B1B" w:rsidRPr="000E340E" w:rsidRDefault="00437B1B" w:rsidP="00437B1B">
            <w:pPr>
              <w:spacing w:after="0"/>
              <w:jc w:val="center"/>
              <w:rPr>
                <w:rFonts w:ascii="Arial Narrow" w:hAnsi="Arial Narrow"/>
                <w:color w:val="000000"/>
                <w:sz w:val="20"/>
                <w:lang w:eastAsia="en-AU"/>
              </w:rPr>
            </w:pPr>
          </w:p>
        </w:tc>
        <w:tc>
          <w:tcPr>
            <w:tcW w:w="625" w:type="dxa"/>
            <w:shd w:val="clear" w:color="auto" w:fill="auto"/>
            <w:noWrap/>
            <w:tcMar>
              <w:left w:w="57" w:type="dxa"/>
              <w:right w:w="57" w:type="dxa"/>
            </w:tcMar>
            <w:vAlign w:val="bottom"/>
            <w:hideMark/>
          </w:tcPr>
          <w:p w14:paraId="664AF8C3" w14:textId="77777777" w:rsidR="00437B1B" w:rsidRPr="000E340E" w:rsidRDefault="00437B1B"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65362F79" w14:textId="77777777" w:rsidR="00437B1B" w:rsidRPr="000E340E" w:rsidRDefault="00437B1B"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6AC81E9B" w14:textId="77777777" w:rsidR="00437B1B" w:rsidRPr="000E340E" w:rsidRDefault="00437B1B"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1A4AFE7F" w14:textId="77777777" w:rsidR="00437B1B" w:rsidRPr="000E340E" w:rsidRDefault="00437B1B"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4A120E0D" w14:textId="77777777" w:rsidR="00437B1B" w:rsidRPr="000E340E" w:rsidRDefault="00437B1B"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6" w:type="dxa"/>
            <w:shd w:val="clear" w:color="auto" w:fill="auto"/>
            <w:noWrap/>
            <w:tcMar>
              <w:left w:w="57" w:type="dxa"/>
              <w:right w:w="57" w:type="dxa"/>
            </w:tcMar>
            <w:vAlign w:val="bottom"/>
            <w:hideMark/>
          </w:tcPr>
          <w:p w14:paraId="31B1E03D" w14:textId="77777777" w:rsidR="00437B1B" w:rsidRPr="000E340E" w:rsidRDefault="00437B1B"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0FF463FF" w14:textId="77777777" w:rsidR="00437B1B" w:rsidRPr="000E340E" w:rsidRDefault="00437B1B"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2DACED54" w14:textId="77777777" w:rsidR="00437B1B" w:rsidRPr="000E340E" w:rsidRDefault="00437B1B"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5E197220" w14:textId="77777777" w:rsidR="00437B1B" w:rsidRPr="000E340E" w:rsidRDefault="00437B1B"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shd w:val="clear" w:color="auto" w:fill="auto"/>
            <w:noWrap/>
            <w:tcMar>
              <w:left w:w="57" w:type="dxa"/>
              <w:right w:w="57" w:type="dxa"/>
            </w:tcMar>
            <w:vAlign w:val="bottom"/>
            <w:hideMark/>
          </w:tcPr>
          <w:p w14:paraId="113C21D3" w14:textId="77777777" w:rsidR="00437B1B" w:rsidRPr="000E340E" w:rsidRDefault="00437B1B"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shd w:val="clear" w:color="auto" w:fill="auto"/>
            <w:noWrap/>
            <w:tcMar>
              <w:left w:w="57" w:type="dxa"/>
              <w:right w:w="57" w:type="dxa"/>
            </w:tcMar>
            <w:vAlign w:val="bottom"/>
            <w:hideMark/>
          </w:tcPr>
          <w:p w14:paraId="4AEA5A38" w14:textId="77777777" w:rsidR="00437B1B" w:rsidRPr="000E340E" w:rsidRDefault="00437B1B" w:rsidP="00437B1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6" w:type="dxa"/>
            <w:shd w:val="clear" w:color="auto" w:fill="auto"/>
            <w:noWrap/>
            <w:tcMar>
              <w:left w:w="57" w:type="dxa"/>
              <w:right w:w="57" w:type="dxa"/>
            </w:tcMar>
            <w:vAlign w:val="bottom"/>
            <w:hideMark/>
          </w:tcPr>
          <w:p w14:paraId="1B93E386" w14:textId="77777777" w:rsidR="00437B1B" w:rsidRPr="000E340E" w:rsidRDefault="00437B1B" w:rsidP="00437B1B">
            <w:pPr>
              <w:spacing w:after="0"/>
              <w:rPr>
                <w:rFonts w:ascii="Arial Narrow" w:hAnsi="Arial Narrow"/>
                <w:color w:val="000000"/>
                <w:sz w:val="20"/>
                <w:lang w:eastAsia="en-AU"/>
              </w:rPr>
            </w:pPr>
            <w:r w:rsidRPr="000E340E">
              <w:rPr>
                <w:rFonts w:ascii="Arial Narrow" w:hAnsi="Arial Narrow"/>
                <w:color w:val="000000"/>
                <w:sz w:val="20"/>
                <w:lang w:eastAsia="en-AU"/>
              </w:rPr>
              <w:t>P</w:t>
            </w:r>
          </w:p>
        </w:tc>
      </w:tr>
      <w:tr w:rsidR="00437B1B" w:rsidRPr="007E151E" w14:paraId="3B50BE88" w14:textId="77777777" w:rsidTr="005B52B1">
        <w:trPr>
          <w:trHeight w:val="300"/>
        </w:trPr>
        <w:tc>
          <w:tcPr>
            <w:tcW w:w="1074" w:type="dxa"/>
            <w:vMerge w:val="restart"/>
            <w:shd w:val="clear" w:color="auto" w:fill="auto"/>
            <w:noWrap/>
            <w:tcMar>
              <w:left w:w="57" w:type="dxa"/>
              <w:right w:w="57" w:type="dxa"/>
            </w:tcMar>
            <w:vAlign w:val="center"/>
            <w:hideMark/>
          </w:tcPr>
          <w:p w14:paraId="06E3ED42" w14:textId="79B8DEB3" w:rsidR="00437B1B" w:rsidRPr="007E151E" w:rsidRDefault="00437B1B" w:rsidP="00235B93">
            <w:pPr>
              <w:spacing w:after="0"/>
              <w:rPr>
                <w:rStyle w:val="IntenseReference"/>
              </w:rPr>
            </w:pPr>
            <w:r w:rsidRPr="007E151E">
              <w:rPr>
                <w:rStyle w:val="IntenseReference"/>
              </w:rPr>
              <w:t>200</w:t>
            </w:r>
            <w:r w:rsidR="00235B93">
              <w:rPr>
                <w:rStyle w:val="IntenseReference"/>
              </w:rPr>
              <w:t>8</w:t>
            </w:r>
            <w:r w:rsidRPr="007E151E">
              <w:rPr>
                <w:rStyle w:val="IntenseReference"/>
              </w:rPr>
              <w:t xml:space="preserve"> to 2012</w:t>
            </w:r>
          </w:p>
        </w:tc>
        <w:tc>
          <w:tcPr>
            <w:tcW w:w="350" w:type="dxa"/>
            <w:shd w:val="clear" w:color="auto" w:fill="auto"/>
            <w:noWrap/>
            <w:tcMar>
              <w:left w:w="57" w:type="dxa"/>
              <w:right w:w="57" w:type="dxa"/>
            </w:tcMar>
            <w:vAlign w:val="center"/>
            <w:hideMark/>
          </w:tcPr>
          <w:p w14:paraId="7111B23F" w14:textId="77777777" w:rsidR="00437B1B" w:rsidRPr="007E151E" w:rsidRDefault="00437B1B" w:rsidP="00437B1B">
            <w:pPr>
              <w:spacing w:after="0"/>
              <w:jc w:val="center"/>
              <w:rPr>
                <w:rStyle w:val="IntenseReference"/>
              </w:rPr>
            </w:pPr>
            <w:r w:rsidRPr="007E151E">
              <w:rPr>
                <w:rStyle w:val="IntenseReference"/>
              </w:rPr>
              <w:t>2</w:t>
            </w:r>
          </w:p>
        </w:tc>
        <w:tc>
          <w:tcPr>
            <w:tcW w:w="625" w:type="dxa"/>
            <w:shd w:val="clear" w:color="auto" w:fill="F2DBDB" w:themeFill="accent2" w:themeFillTint="33"/>
            <w:noWrap/>
            <w:tcMar>
              <w:left w:w="57" w:type="dxa"/>
              <w:right w:w="57" w:type="dxa"/>
            </w:tcMar>
            <w:vAlign w:val="bottom"/>
            <w:hideMark/>
          </w:tcPr>
          <w:p w14:paraId="4EF020B5" w14:textId="7F4E76F5" w:rsidR="00437B1B" w:rsidRPr="00437B1B" w:rsidRDefault="00437B1B" w:rsidP="00437B1B">
            <w:pPr>
              <w:spacing w:after="0"/>
              <w:jc w:val="right"/>
              <w:rPr>
                <w:rStyle w:val="IntenseReference"/>
              </w:rPr>
            </w:pPr>
            <w:r w:rsidRPr="00437B1B">
              <w:rPr>
                <w:rStyle w:val="IntenseReference"/>
              </w:rPr>
              <w:t>-0.07</w:t>
            </w:r>
          </w:p>
        </w:tc>
        <w:tc>
          <w:tcPr>
            <w:tcW w:w="625" w:type="dxa"/>
            <w:shd w:val="clear" w:color="auto" w:fill="F2DBDB" w:themeFill="accent2" w:themeFillTint="33"/>
            <w:noWrap/>
            <w:tcMar>
              <w:left w:w="57" w:type="dxa"/>
              <w:right w:w="57" w:type="dxa"/>
            </w:tcMar>
            <w:vAlign w:val="bottom"/>
            <w:hideMark/>
          </w:tcPr>
          <w:p w14:paraId="6D23A97A" w14:textId="49E15A2C" w:rsidR="00437B1B" w:rsidRPr="00437B1B" w:rsidRDefault="00437B1B" w:rsidP="00437B1B">
            <w:pPr>
              <w:spacing w:after="0"/>
              <w:jc w:val="right"/>
              <w:rPr>
                <w:rStyle w:val="IntenseReference"/>
              </w:rPr>
            </w:pPr>
            <w:r w:rsidRPr="00437B1B">
              <w:rPr>
                <w:rStyle w:val="IntenseReference"/>
              </w:rPr>
              <w:t>0.78</w:t>
            </w:r>
          </w:p>
        </w:tc>
        <w:tc>
          <w:tcPr>
            <w:tcW w:w="625" w:type="dxa"/>
            <w:shd w:val="clear" w:color="auto" w:fill="auto"/>
            <w:noWrap/>
            <w:tcMar>
              <w:left w:w="57" w:type="dxa"/>
              <w:right w:w="57" w:type="dxa"/>
            </w:tcMar>
            <w:vAlign w:val="bottom"/>
            <w:hideMark/>
          </w:tcPr>
          <w:p w14:paraId="0C29927A" w14:textId="5B6CD552" w:rsidR="00437B1B" w:rsidRPr="00437B1B" w:rsidRDefault="00437B1B" w:rsidP="00437B1B">
            <w:pPr>
              <w:spacing w:after="0"/>
              <w:jc w:val="right"/>
              <w:rPr>
                <w:rStyle w:val="IntenseReference"/>
              </w:rPr>
            </w:pPr>
            <w:r w:rsidRPr="00437B1B">
              <w:rPr>
                <w:rStyle w:val="IntenseReference"/>
              </w:rPr>
              <w:t>-0.05</w:t>
            </w:r>
          </w:p>
        </w:tc>
        <w:tc>
          <w:tcPr>
            <w:tcW w:w="625" w:type="dxa"/>
            <w:shd w:val="clear" w:color="auto" w:fill="auto"/>
            <w:noWrap/>
            <w:tcMar>
              <w:left w:w="57" w:type="dxa"/>
              <w:right w:w="57" w:type="dxa"/>
            </w:tcMar>
            <w:vAlign w:val="bottom"/>
            <w:hideMark/>
          </w:tcPr>
          <w:p w14:paraId="31E50E30" w14:textId="3E492256" w:rsidR="00437B1B" w:rsidRPr="00437B1B" w:rsidRDefault="00437B1B" w:rsidP="00437B1B">
            <w:pPr>
              <w:spacing w:after="0"/>
              <w:jc w:val="right"/>
              <w:rPr>
                <w:rStyle w:val="IntenseReference"/>
              </w:rPr>
            </w:pPr>
            <w:r w:rsidRPr="00437B1B">
              <w:rPr>
                <w:rStyle w:val="IntenseReference"/>
              </w:rPr>
              <w:t>0.59</w:t>
            </w:r>
          </w:p>
        </w:tc>
        <w:tc>
          <w:tcPr>
            <w:tcW w:w="625" w:type="dxa"/>
            <w:shd w:val="clear" w:color="auto" w:fill="F2DBDB" w:themeFill="accent2" w:themeFillTint="33"/>
            <w:noWrap/>
            <w:tcMar>
              <w:left w:w="57" w:type="dxa"/>
              <w:right w:w="57" w:type="dxa"/>
            </w:tcMar>
            <w:vAlign w:val="bottom"/>
            <w:hideMark/>
          </w:tcPr>
          <w:p w14:paraId="3B5E264C" w14:textId="0A5642C9" w:rsidR="00437B1B" w:rsidRPr="00437B1B" w:rsidRDefault="00437B1B" w:rsidP="00437B1B">
            <w:pPr>
              <w:spacing w:after="0"/>
              <w:jc w:val="right"/>
              <w:rPr>
                <w:rStyle w:val="IntenseReference"/>
              </w:rPr>
            </w:pPr>
            <w:r w:rsidRPr="00437B1B">
              <w:rPr>
                <w:rStyle w:val="IntenseReference"/>
              </w:rPr>
              <w:t>-0.14</w:t>
            </w:r>
          </w:p>
        </w:tc>
        <w:tc>
          <w:tcPr>
            <w:tcW w:w="626" w:type="dxa"/>
            <w:shd w:val="clear" w:color="auto" w:fill="F2DBDB" w:themeFill="accent2" w:themeFillTint="33"/>
            <w:noWrap/>
            <w:tcMar>
              <w:left w:w="57" w:type="dxa"/>
              <w:right w:w="57" w:type="dxa"/>
            </w:tcMar>
            <w:vAlign w:val="bottom"/>
            <w:hideMark/>
          </w:tcPr>
          <w:p w14:paraId="25F009CD" w14:textId="5FDDAF57" w:rsidR="00437B1B" w:rsidRPr="00437B1B" w:rsidRDefault="00437B1B" w:rsidP="00437B1B">
            <w:pPr>
              <w:spacing w:after="0"/>
              <w:jc w:val="right"/>
              <w:rPr>
                <w:rStyle w:val="IntenseReference"/>
              </w:rPr>
            </w:pPr>
            <w:r w:rsidRPr="00437B1B">
              <w:rPr>
                <w:rStyle w:val="IntenseReference"/>
              </w:rPr>
              <w:t>0.74</w:t>
            </w:r>
          </w:p>
        </w:tc>
        <w:tc>
          <w:tcPr>
            <w:tcW w:w="625" w:type="dxa"/>
            <w:shd w:val="clear" w:color="auto" w:fill="D99594" w:themeFill="accent2" w:themeFillTint="99"/>
            <w:noWrap/>
            <w:tcMar>
              <w:left w:w="57" w:type="dxa"/>
              <w:right w:w="57" w:type="dxa"/>
            </w:tcMar>
            <w:vAlign w:val="bottom"/>
            <w:hideMark/>
          </w:tcPr>
          <w:p w14:paraId="04B4CF4C" w14:textId="4F051C38" w:rsidR="00437B1B" w:rsidRPr="00437B1B" w:rsidRDefault="00437B1B" w:rsidP="00437B1B">
            <w:pPr>
              <w:spacing w:after="0"/>
              <w:jc w:val="right"/>
              <w:rPr>
                <w:rStyle w:val="IntenseReference"/>
              </w:rPr>
            </w:pPr>
            <w:r w:rsidRPr="00437B1B">
              <w:rPr>
                <w:rStyle w:val="IntenseReference"/>
              </w:rPr>
              <w:t>-0.07</w:t>
            </w:r>
          </w:p>
        </w:tc>
        <w:tc>
          <w:tcPr>
            <w:tcW w:w="625" w:type="dxa"/>
            <w:shd w:val="clear" w:color="auto" w:fill="D99594" w:themeFill="accent2" w:themeFillTint="99"/>
            <w:noWrap/>
            <w:tcMar>
              <w:left w:w="57" w:type="dxa"/>
              <w:right w:w="57" w:type="dxa"/>
            </w:tcMar>
            <w:vAlign w:val="bottom"/>
            <w:hideMark/>
          </w:tcPr>
          <w:p w14:paraId="27815793" w14:textId="4DED9BE6" w:rsidR="00437B1B" w:rsidRPr="00437B1B" w:rsidRDefault="00437B1B" w:rsidP="00437B1B">
            <w:pPr>
              <w:spacing w:after="0"/>
              <w:jc w:val="right"/>
              <w:rPr>
                <w:rStyle w:val="IntenseReference"/>
              </w:rPr>
            </w:pPr>
            <w:r w:rsidRPr="00437B1B">
              <w:rPr>
                <w:rStyle w:val="IntenseReference"/>
              </w:rPr>
              <w:t>0.92</w:t>
            </w:r>
          </w:p>
        </w:tc>
        <w:tc>
          <w:tcPr>
            <w:tcW w:w="625" w:type="dxa"/>
            <w:shd w:val="clear" w:color="auto" w:fill="E5B8B7" w:themeFill="accent2" w:themeFillTint="66"/>
            <w:noWrap/>
            <w:tcMar>
              <w:left w:w="57" w:type="dxa"/>
              <w:right w:w="57" w:type="dxa"/>
            </w:tcMar>
            <w:vAlign w:val="bottom"/>
            <w:hideMark/>
          </w:tcPr>
          <w:p w14:paraId="28096863" w14:textId="44E7EAFB" w:rsidR="00437B1B" w:rsidRPr="00437B1B" w:rsidRDefault="00437B1B" w:rsidP="00437B1B">
            <w:pPr>
              <w:spacing w:after="0"/>
              <w:jc w:val="right"/>
              <w:rPr>
                <w:rStyle w:val="IntenseReference"/>
              </w:rPr>
            </w:pPr>
            <w:r w:rsidRPr="00437B1B">
              <w:rPr>
                <w:rStyle w:val="IntenseReference"/>
              </w:rPr>
              <w:t>-0.08</w:t>
            </w:r>
          </w:p>
        </w:tc>
        <w:tc>
          <w:tcPr>
            <w:tcW w:w="625" w:type="dxa"/>
            <w:shd w:val="clear" w:color="auto" w:fill="E5B8B7" w:themeFill="accent2" w:themeFillTint="66"/>
            <w:noWrap/>
            <w:tcMar>
              <w:left w:w="57" w:type="dxa"/>
              <w:right w:w="57" w:type="dxa"/>
            </w:tcMar>
            <w:vAlign w:val="bottom"/>
            <w:hideMark/>
          </w:tcPr>
          <w:p w14:paraId="0BF66A78" w14:textId="5FAC8675" w:rsidR="00437B1B" w:rsidRPr="00437B1B" w:rsidRDefault="00437B1B" w:rsidP="00437B1B">
            <w:pPr>
              <w:spacing w:after="0"/>
              <w:jc w:val="right"/>
              <w:rPr>
                <w:rStyle w:val="IntenseReference"/>
              </w:rPr>
            </w:pPr>
            <w:r w:rsidRPr="00437B1B">
              <w:rPr>
                <w:rStyle w:val="IntenseReference"/>
              </w:rPr>
              <w:t>0.80</w:t>
            </w:r>
          </w:p>
        </w:tc>
        <w:tc>
          <w:tcPr>
            <w:tcW w:w="625" w:type="dxa"/>
            <w:shd w:val="clear" w:color="auto" w:fill="auto"/>
            <w:noWrap/>
            <w:tcMar>
              <w:left w:w="57" w:type="dxa"/>
              <w:right w:w="57" w:type="dxa"/>
            </w:tcMar>
            <w:vAlign w:val="bottom"/>
            <w:hideMark/>
          </w:tcPr>
          <w:p w14:paraId="075F4288" w14:textId="708E4091" w:rsidR="00437B1B" w:rsidRPr="00437B1B" w:rsidRDefault="00437B1B" w:rsidP="00437B1B">
            <w:pPr>
              <w:spacing w:after="0"/>
              <w:jc w:val="right"/>
              <w:rPr>
                <w:rStyle w:val="IntenseReference"/>
              </w:rPr>
            </w:pPr>
            <w:r w:rsidRPr="00437B1B">
              <w:rPr>
                <w:rStyle w:val="IntenseReference"/>
              </w:rPr>
              <w:t>0.00</w:t>
            </w:r>
          </w:p>
        </w:tc>
        <w:tc>
          <w:tcPr>
            <w:tcW w:w="626" w:type="dxa"/>
            <w:shd w:val="clear" w:color="auto" w:fill="auto"/>
            <w:noWrap/>
            <w:tcMar>
              <w:left w:w="57" w:type="dxa"/>
              <w:right w:w="57" w:type="dxa"/>
            </w:tcMar>
            <w:vAlign w:val="bottom"/>
            <w:hideMark/>
          </w:tcPr>
          <w:p w14:paraId="6C881313" w14:textId="424467E7" w:rsidR="00437B1B" w:rsidRPr="00437B1B" w:rsidRDefault="00437B1B" w:rsidP="00437B1B">
            <w:pPr>
              <w:spacing w:after="0"/>
              <w:jc w:val="right"/>
              <w:rPr>
                <w:rStyle w:val="IntenseReference"/>
              </w:rPr>
            </w:pPr>
            <w:r w:rsidRPr="00437B1B">
              <w:rPr>
                <w:rStyle w:val="IntenseReference"/>
              </w:rPr>
              <w:t>0.00</w:t>
            </w:r>
          </w:p>
        </w:tc>
      </w:tr>
      <w:tr w:rsidR="00437B1B" w:rsidRPr="007E151E" w14:paraId="6642AA35" w14:textId="77777777" w:rsidTr="00235B93">
        <w:trPr>
          <w:trHeight w:val="300"/>
        </w:trPr>
        <w:tc>
          <w:tcPr>
            <w:tcW w:w="1074" w:type="dxa"/>
            <w:vMerge/>
            <w:shd w:val="clear" w:color="auto" w:fill="auto"/>
            <w:noWrap/>
            <w:tcMar>
              <w:left w:w="57" w:type="dxa"/>
              <w:right w:w="57" w:type="dxa"/>
            </w:tcMar>
            <w:vAlign w:val="center"/>
            <w:hideMark/>
          </w:tcPr>
          <w:p w14:paraId="23AA4059" w14:textId="77777777" w:rsidR="00437B1B" w:rsidRPr="007E151E" w:rsidRDefault="00437B1B" w:rsidP="00437B1B">
            <w:pPr>
              <w:spacing w:after="0"/>
              <w:jc w:val="right"/>
              <w:rPr>
                <w:rStyle w:val="IntenseReference"/>
              </w:rPr>
            </w:pPr>
          </w:p>
        </w:tc>
        <w:tc>
          <w:tcPr>
            <w:tcW w:w="350" w:type="dxa"/>
            <w:shd w:val="clear" w:color="auto" w:fill="auto"/>
            <w:noWrap/>
            <w:tcMar>
              <w:left w:w="57" w:type="dxa"/>
              <w:right w:w="57" w:type="dxa"/>
            </w:tcMar>
            <w:vAlign w:val="center"/>
            <w:hideMark/>
          </w:tcPr>
          <w:p w14:paraId="5573611C" w14:textId="77777777" w:rsidR="00437B1B" w:rsidRPr="007E151E" w:rsidRDefault="00437B1B" w:rsidP="00437B1B">
            <w:pPr>
              <w:spacing w:after="0"/>
              <w:jc w:val="center"/>
              <w:rPr>
                <w:rStyle w:val="IntenseReference"/>
              </w:rPr>
            </w:pPr>
            <w:r w:rsidRPr="007E151E">
              <w:rPr>
                <w:rStyle w:val="IntenseReference"/>
              </w:rPr>
              <w:t>5</w:t>
            </w:r>
          </w:p>
        </w:tc>
        <w:tc>
          <w:tcPr>
            <w:tcW w:w="625" w:type="dxa"/>
            <w:shd w:val="clear" w:color="auto" w:fill="F2DBDB" w:themeFill="accent2" w:themeFillTint="33"/>
            <w:noWrap/>
            <w:tcMar>
              <w:left w:w="57" w:type="dxa"/>
              <w:right w:w="57" w:type="dxa"/>
            </w:tcMar>
            <w:vAlign w:val="bottom"/>
            <w:hideMark/>
          </w:tcPr>
          <w:p w14:paraId="466153A7" w14:textId="64D8406B" w:rsidR="00437B1B" w:rsidRPr="00437B1B" w:rsidRDefault="00437B1B" w:rsidP="00437B1B">
            <w:pPr>
              <w:spacing w:after="0"/>
              <w:jc w:val="right"/>
              <w:rPr>
                <w:rStyle w:val="IntenseReference"/>
              </w:rPr>
            </w:pPr>
            <w:r w:rsidRPr="00437B1B">
              <w:rPr>
                <w:rStyle w:val="IntenseReference"/>
              </w:rPr>
              <w:t>-0.08</w:t>
            </w:r>
          </w:p>
        </w:tc>
        <w:tc>
          <w:tcPr>
            <w:tcW w:w="625" w:type="dxa"/>
            <w:shd w:val="clear" w:color="auto" w:fill="F2DBDB" w:themeFill="accent2" w:themeFillTint="33"/>
            <w:noWrap/>
            <w:tcMar>
              <w:left w:w="57" w:type="dxa"/>
              <w:right w:w="57" w:type="dxa"/>
            </w:tcMar>
            <w:vAlign w:val="bottom"/>
            <w:hideMark/>
          </w:tcPr>
          <w:p w14:paraId="1ED2F766" w14:textId="55DA33A8" w:rsidR="00437B1B" w:rsidRPr="00437B1B" w:rsidRDefault="00437B1B" w:rsidP="00437B1B">
            <w:pPr>
              <w:spacing w:after="0"/>
              <w:jc w:val="right"/>
              <w:rPr>
                <w:rStyle w:val="IntenseReference"/>
              </w:rPr>
            </w:pPr>
            <w:r w:rsidRPr="00437B1B">
              <w:rPr>
                <w:rStyle w:val="IntenseReference"/>
              </w:rPr>
              <w:t>0.77</w:t>
            </w:r>
          </w:p>
        </w:tc>
        <w:tc>
          <w:tcPr>
            <w:tcW w:w="625" w:type="dxa"/>
            <w:shd w:val="clear" w:color="auto" w:fill="auto"/>
            <w:noWrap/>
            <w:tcMar>
              <w:left w:w="57" w:type="dxa"/>
              <w:right w:w="57" w:type="dxa"/>
            </w:tcMar>
            <w:vAlign w:val="bottom"/>
            <w:hideMark/>
          </w:tcPr>
          <w:p w14:paraId="1E69D3B5" w14:textId="299F1867" w:rsidR="00437B1B" w:rsidRPr="00437B1B" w:rsidRDefault="00437B1B" w:rsidP="00437B1B">
            <w:pPr>
              <w:spacing w:after="0"/>
              <w:jc w:val="right"/>
              <w:rPr>
                <w:rStyle w:val="IntenseReference"/>
              </w:rPr>
            </w:pPr>
            <w:r w:rsidRPr="00437B1B">
              <w:rPr>
                <w:rStyle w:val="IntenseReference"/>
              </w:rPr>
              <w:t>-0.03</w:t>
            </w:r>
          </w:p>
        </w:tc>
        <w:tc>
          <w:tcPr>
            <w:tcW w:w="625" w:type="dxa"/>
            <w:shd w:val="clear" w:color="auto" w:fill="auto"/>
            <w:noWrap/>
            <w:tcMar>
              <w:left w:w="57" w:type="dxa"/>
              <w:right w:w="57" w:type="dxa"/>
            </w:tcMar>
            <w:vAlign w:val="bottom"/>
            <w:hideMark/>
          </w:tcPr>
          <w:p w14:paraId="5CEB7D73" w14:textId="2D7CA4B3" w:rsidR="00437B1B" w:rsidRPr="00437B1B" w:rsidRDefault="00437B1B" w:rsidP="00437B1B">
            <w:pPr>
              <w:spacing w:after="0"/>
              <w:jc w:val="right"/>
              <w:rPr>
                <w:rStyle w:val="IntenseReference"/>
              </w:rPr>
            </w:pPr>
            <w:r w:rsidRPr="00437B1B">
              <w:rPr>
                <w:rStyle w:val="IntenseReference"/>
              </w:rPr>
              <w:t>0.56</w:t>
            </w:r>
          </w:p>
        </w:tc>
        <w:tc>
          <w:tcPr>
            <w:tcW w:w="625" w:type="dxa"/>
            <w:shd w:val="clear" w:color="auto" w:fill="E5B8B7" w:themeFill="accent2" w:themeFillTint="66"/>
            <w:noWrap/>
            <w:tcMar>
              <w:left w:w="57" w:type="dxa"/>
              <w:right w:w="57" w:type="dxa"/>
            </w:tcMar>
            <w:vAlign w:val="bottom"/>
            <w:hideMark/>
          </w:tcPr>
          <w:p w14:paraId="5138958B" w14:textId="7189936A" w:rsidR="00437B1B" w:rsidRPr="00437B1B" w:rsidRDefault="00437B1B" w:rsidP="00437B1B">
            <w:pPr>
              <w:spacing w:after="0"/>
              <w:jc w:val="right"/>
              <w:rPr>
                <w:rStyle w:val="IntenseReference"/>
              </w:rPr>
            </w:pPr>
            <w:r w:rsidRPr="00437B1B">
              <w:rPr>
                <w:rStyle w:val="IntenseReference"/>
              </w:rPr>
              <w:t>-0.25</w:t>
            </w:r>
          </w:p>
        </w:tc>
        <w:tc>
          <w:tcPr>
            <w:tcW w:w="626" w:type="dxa"/>
            <w:shd w:val="clear" w:color="auto" w:fill="E5B8B7" w:themeFill="accent2" w:themeFillTint="66"/>
            <w:noWrap/>
            <w:tcMar>
              <w:left w:w="57" w:type="dxa"/>
              <w:right w:w="57" w:type="dxa"/>
            </w:tcMar>
            <w:vAlign w:val="bottom"/>
            <w:hideMark/>
          </w:tcPr>
          <w:p w14:paraId="02CDDD80" w14:textId="22A67251" w:rsidR="00437B1B" w:rsidRPr="00437B1B" w:rsidRDefault="00437B1B" w:rsidP="00437B1B">
            <w:pPr>
              <w:spacing w:after="0"/>
              <w:jc w:val="right"/>
              <w:rPr>
                <w:rStyle w:val="IntenseReference"/>
              </w:rPr>
            </w:pPr>
            <w:r w:rsidRPr="00437B1B">
              <w:rPr>
                <w:rStyle w:val="IntenseReference"/>
              </w:rPr>
              <w:t>0.83</w:t>
            </w:r>
          </w:p>
        </w:tc>
        <w:tc>
          <w:tcPr>
            <w:tcW w:w="625" w:type="dxa"/>
            <w:shd w:val="clear" w:color="auto" w:fill="E5B8B7" w:themeFill="accent2" w:themeFillTint="66"/>
            <w:noWrap/>
            <w:tcMar>
              <w:left w:w="57" w:type="dxa"/>
              <w:right w:w="57" w:type="dxa"/>
            </w:tcMar>
            <w:vAlign w:val="bottom"/>
            <w:hideMark/>
          </w:tcPr>
          <w:p w14:paraId="2EB72F79" w14:textId="49793C94" w:rsidR="00437B1B" w:rsidRPr="00437B1B" w:rsidRDefault="00437B1B" w:rsidP="00437B1B">
            <w:pPr>
              <w:spacing w:after="0"/>
              <w:jc w:val="right"/>
              <w:rPr>
                <w:rStyle w:val="IntenseReference"/>
              </w:rPr>
            </w:pPr>
            <w:r w:rsidRPr="00437B1B">
              <w:rPr>
                <w:rStyle w:val="IntenseReference"/>
              </w:rPr>
              <w:t>-0.10</w:t>
            </w:r>
          </w:p>
        </w:tc>
        <w:tc>
          <w:tcPr>
            <w:tcW w:w="625" w:type="dxa"/>
            <w:shd w:val="clear" w:color="auto" w:fill="E5B8B7" w:themeFill="accent2" w:themeFillTint="66"/>
            <w:noWrap/>
            <w:tcMar>
              <w:left w:w="57" w:type="dxa"/>
              <w:right w:w="57" w:type="dxa"/>
            </w:tcMar>
            <w:vAlign w:val="bottom"/>
            <w:hideMark/>
          </w:tcPr>
          <w:p w14:paraId="44A502BC" w14:textId="208605EC" w:rsidR="00437B1B" w:rsidRPr="00437B1B" w:rsidRDefault="00437B1B" w:rsidP="00437B1B">
            <w:pPr>
              <w:spacing w:after="0"/>
              <w:jc w:val="right"/>
              <w:rPr>
                <w:rStyle w:val="IntenseReference"/>
              </w:rPr>
            </w:pPr>
            <w:r w:rsidRPr="00437B1B">
              <w:rPr>
                <w:rStyle w:val="IntenseReference"/>
              </w:rPr>
              <w:t>0.86</w:t>
            </w:r>
          </w:p>
        </w:tc>
        <w:tc>
          <w:tcPr>
            <w:tcW w:w="625" w:type="dxa"/>
            <w:shd w:val="clear" w:color="auto" w:fill="auto"/>
            <w:noWrap/>
            <w:tcMar>
              <w:left w:w="57" w:type="dxa"/>
              <w:right w:w="57" w:type="dxa"/>
            </w:tcMar>
            <w:vAlign w:val="bottom"/>
            <w:hideMark/>
          </w:tcPr>
          <w:p w14:paraId="0966C59C" w14:textId="54C81A1B" w:rsidR="00437B1B" w:rsidRPr="00437B1B" w:rsidRDefault="00437B1B" w:rsidP="00437B1B">
            <w:pPr>
              <w:spacing w:after="0"/>
              <w:jc w:val="right"/>
              <w:rPr>
                <w:rStyle w:val="IntenseReference"/>
              </w:rPr>
            </w:pPr>
            <w:r w:rsidRPr="00437B1B">
              <w:rPr>
                <w:rStyle w:val="IntenseReference"/>
              </w:rPr>
              <w:t>-0.03</w:t>
            </w:r>
          </w:p>
        </w:tc>
        <w:tc>
          <w:tcPr>
            <w:tcW w:w="625" w:type="dxa"/>
            <w:shd w:val="clear" w:color="auto" w:fill="auto"/>
            <w:noWrap/>
            <w:tcMar>
              <w:left w:w="57" w:type="dxa"/>
              <w:right w:w="57" w:type="dxa"/>
            </w:tcMar>
            <w:vAlign w:val="bottom"/>
            <w:hideMark/>
          </w:tcPr>
          <w:p w14:paraId="46B7A6F2" w14:textId="26A9150E" w:rsidR="00437B1B" w:rsidRPr="00437B1B" w:rsidRDefault="00437B1B" w:rsidP="00437B1B">
            <w:pPr>
              <w:spacing w:after="0"/>
              <w:jc w:val="right"/>
              <w:rPr>
                <w:rStyle w:val="IntenseReference"/>
              </w:rPr>
            </w:pPr>
            <w:r w:rsidRPr="00437B1B">
              <w:rPr>
                <w:rStyle w:val="IntenseReference"/>
              </w:rPr>
              <w:t>0.62</w:t>
            </w:r>
          </w:p>
        </w:tc>
        <w:tc>
          <w:tcPr>
            <w:tcW w:w="625" w:type="dxa"/>
            <w:shd w:val="clear" w:color="auto" w:fill="auto"/>
            <w:noWrap/>
            <w:tcMar>
              <w:left w:w="57" w:type="dxa"/>
              <w:right w:w="57" w:type="dxa"/>
            </w:tcMar>
            <w:vAlign w:val="bottom"/>
            <w:hideMark/>
          </w:tcPr>
          <w:p w14:paraId="0E8C7160" w14:textId="7CB6975A" w:rsidR="00437B1B" w:rsidRPr="00437B1B" w:rsidRDefault="00437B1B" w:rsidP="00437B1B">
            <w:pPr>
              <w:spacing w:after="0"/>
              <w:jc w:val="right"/>
              <w:rPr>
                <w:rStyle w:val="IntenseReference"/>
              </w:rPr>
            </w:pPr>
            <w:r w:rsidRPr="00437B1B">
              <w:rPr>
                <w:rStyle w:val="IntenseReference"/>
              </w:rPr>
              <w:t>0.00</w:t>
            </w:r>
          </w:p>
        </w:tc>
        <w:tc>
          <w:tcPr>
            <w:tcW w:w="626" w:type="dxa"/>
            <w:shd w:val="clear" w:color="auto" w:fill="auto"/>
            <w:noWrap/>
            <w:tcMar>
              <w:left w:w="57" w:type="dxa"/>
              <w:right w:w="57" w:type="dxa"/>
            </w:tcMar>
            <w:vAlign w:val="bottom"/>
            <w:hideMark/>
          </w:tcPr>
          <w:p w14:paraId="3CE63316" w14:textId="420B5B60" w:rsidR="00437B1B" w:rsidRPr="00437B1B" w:rsidRDefault="00437B1B" w:rsidP="00437B1B">
            <w:pPr>
              <w:spacing w:after="0"/>
              <w:jc w:val="right"/>
              <w:rPr>
                <w:rStyle w:val="IntenseReference"/>
              </w:rPr>
            </w:pPr>
            <w:r w:rsidRPr="00437B1B">
              <w:rPr>
                <w:rStyle w:val="IntenseReference"/>
              </w:rPr>
              <w:t>0.64</w:t>
            </w:r>
          </w:p>
        </w:tc>
      </w:tr>
      <w:tr w:rsidR="00437B1B" w:rsidRPr="007E151E" w14:paraId="7DB02765" w14:textId="77777777" w:rsidTr="00235B93">
        <w:trPr>
          <w:trHeight w:val="300"/>
        </w:trPr>
        <w:tc>
          <w:tcPr>
            <w:tcW w:w="1074" w:type="dxa"/>
            <w:vMerge w:val="restart"/>
            <w:shd w:val="clear" w:color="auto" w:fill="auto"/>
            <w:noWrap/>
            <w:tcMar>
              <w:left w:w="57" w:type="dxa"/>
              <w:right w:w="57" w:type="dxa"/>
            </w:tcMar>
            <w:vAlign w:val="center"/>
            <w:hideMark/>
          </w:tcPr>
          <w:p w14:paraId="26889D94" w14:textId="77777777" w:rsidR="00437B1B" w:rsidRPr="007E151E" w:rsidRDefault="00437B1B" w:rsidP="00437B1B">
            <w:pPr>
              <w:spacing w:after="0"/>
              <w:rPr>
                <w:rStyle w:val="IntenseReference"/>
              </w:rPr>
            </w:pPr>
            <w:r w:rsidRPr="007E151E">
              <w:rPr>
                <w:rStyle w:val="IntenseReference"/>
              </w:rPr>
              <w:t>2012 to 2016</w:t>
            </w:r>
          </w:p>
        </w:tc>
        <w:tc>
          <w:tcPr>
            <w:tcW w:w="350" w:type="dxa"/>
            <w:shd w:val="clear" w:color="auto" w:fill="auto"/>
            <w:noWrap/>
            <w:tcMar>
              <w:left w:w="57" w:type="dxa"/>
              <w:right w:w="57" w:type="dxa"/>
            </w:tcMar>
            <w:vAlign w:val="center"/>
            <w:hideMark/>
          </w:tcPr>
          <w:p w14:paraId="621206F0" w14:textId="77777777" w:rsidR="00437B1B" w:rsidRPr="007E151E" w:rsidRDefault="00437B1B" w:rsidP="00437B1B">
            <w:pPr>
              <w:spacing w:after="0"/>
              <w:jc w:val="center"/>
              <w:rPr>
                <w:rStyle w:val="IntenseReference"/>
              </w:rPr>
            </w:pPr>
            <w:r w:rsidRPr="007E151E">
              <w:rPr>
                <w:rStyle w:val="IntenseReference"/>
              </w:rPr>
              <w:t>2</w:t>
            </w:r>
          </w:p>
        </w:tc>
        <w:tc>
          <w:tcPr>
            <w:tcW w:w="625" w:type="dxa"/>
            <w:shd w:val="clear" w:color="auto" w:fill="548DD4" w:themeFill="text2" w:themeFillTint="99"/>
            <w:noWrap/>
            <w:tcMar>
              <w:left w:w="57" w:type="dxa"/>
              <w:right w:w="57" w:type="dxa"/>
            </w:tcMar>
            <w:vAlign w:val="bottom"/>
            <w:hideMark/>
          </w:tcPr>
          <w:p w14:paraId="68A10CA9" w14:textId="224D8ECD" w:rsidR="00437B1B" w:rsidRPr="00437B1B" w:rsidRDefault="00437B1B" w:rsidP="00437B1B">
            <w:pPr>
              <w:spacing w:after="0"/>
              <w:jc w:val="right"/>
              <w:rPr>
                <w:rStyle w:val="IntenseReference"/>
              </w:rPr>
            </w:pPr>
            <w:r w:rsidRPr="00437B1B">
              <w:rPr>
                <w:rStyle w:val="IntenseReference"/>
              </w:rPr>
              <w:t>0.16</w:t>
            </w:r>
          </w:p>
        </w:tc>
        <w:tc>
          <w:tcPr>
            <w:tcW w:w="625" w:type="dxa"/>
            <w:shd w:val="clear" w:color="auto" w:fill="548DD4" w:themeFill="text2" w:themeFillTint="99"/>
            <w:noWrap/>
            <w:tcMar>
              <w:left w:w="57" w:type="dxa"/>
              <w:right w:w="57" w:type="dxa"/>
            </w:tcMar>
            <w:vAlign w:val="bottom"/>
            <w:hideMark/>
          </w:tcPr>
          <w:p w14:paraId="056FA9AE" w14:textId="0EF274AF" w:rsidR="00437B1B" w:rsidRPr="00437B1B" w:rsidRDefault="00437B1B" w:rsidP="00437B1B">
            <w:pPr>
              <w:spacing w:after="0"/>
              <w:jc w:val="right"/>
              <w:rPr>
                <w:rStyle w:val="IntenseReference"/>
              </w:rPr>
            </w:pPr>
            <w:r w:rsidRPr="00437B1B">
              <w:rPr>
                <w:rStyle w:val="IntenseReference"/>
              </w:rPr>
              <w:t>0.99</w:t>
            </w:r>
          </w:p>
        </w:tc>
        <w:tc>
          <w:tcPr>
            <w:tcW w:w="625" w:type="dxa"/>
            <w:shd w:val="clear" w:color="auto" w:fill="C6D9F1" w:themeFill="text2" w:themeFillTint="33"/>
            <w:noWrap/>
            <w:tcMar>
              <w:left w:w="57" w:type="dxa"/>
              <w:right w:w="57" w:type="dxa"/>
            </w:tcMar>
            <w:vAlign w:val="bottom"/>
            <w:hideMark/>
          </w:tcPr>
          <w:p w14:paraId="27CD3C79" w14:textId="09EE740B" w:rsidR="00437B1B" w:rsidRPr="00437B1B" w:rsidRDefault="00437B1B" w:rsidP="00437B1B">
            <w:pPr>
              <w:spacing w:after="0"/>
              <w:jc w:val="right"/>
              <w:rPr>
                <w:rStyle w:val="IntenseReference"/>
              </w:rPr>
            </w:pPr>
            <w:r w:rsidRPr="00437B1B">
              <w:rPr>
                <w:rStyle w:val="IntenseReference"/>
              </w:rPr>
              <w:t>0.20</w:t>
            </w:r>
          </w:p>
        </w:tc>
        <w:tc>
          <w:tcPr>
            <w:tcW w:w="625" w:type="dxa"/>
            <w:shd w:val="clear" w:color="auto" w:fill="C6D9F1" w:themeFill="text2" w:themeFillTint="33"/>
            <w:noWrap/>
            <w:tcMar>
              <w:left w:w="57" w:type="dxa"/>
              <w:right w:w="57" w:type="dxa"/>
            </w:tcMar>
            <w:vAlign w:val="bottom"/>
            <w:hideMark/>
          </w:tcPr>
          <w:p w14:paraId="0795B3A5" w14:textId="7220D6E1" w:rsidR="00437B1B" w:rsidRPr="00437B1B" w:rsidRDefault="00437B1B" w:rsidP="00437B1B">
            <w:pPr>
              <w:spacing w:after="0"/>
              <w:jc w:val="right"/>
              <w:rPr>
                <w:rStyle w:val="IntenseReference"/>
              </w:rPr>
            </w:pPr>
            <w:r w:rsidRPr="00437B1B">
              <w:rPr>
                <w:rStyle w:val="IntenseReference"/>
              </w:rPr>
              <w:t>0.75</w:t>
            </w:r>
          </w:p>
        </w:tc>
        <w:tc>
          <w:tcPr>
            <w:tcW w:w="625" w:type="dxa"/>
            <w:shd w:val="clear" w:color="auto" w:fill="8DB3E2" w:themeFill="text2" w:themeFillTint="66"/>
            <w:noWrap/>
            <w:tcMar>
              <w:left w:w="57" w:type="dxa"/>
              <w:right w:w="57" w:type="dxa"/>
            </w:tcMar>
            <w:vAlign w:val="bottom"/>
            <w:hideMark/>
          </w:tcPr>
          <w:p w14:paraId="15197193" w14:textId="6CEB9DF3" w:rsidR="00437B1B" w:rsidRPr="00437B1B" w:rsidRDefault="00437B1B" w:rsidP="00437B1B">
            <w:pPr>
              <w:spacing w:after="0"/>
              <w:jc w:val="right"/>
              <w:rPr>
                <w:rStyle w:val="IntenseReference"/>
              </w:rPr>
            </w:pPr>
            <w:r w:rsidRPr="00437B1B">
              <w:rPr>
                <w:rStyle w:val="IntenseReference"/>
              </w:rPr>
              <w:t>0.29</w:t>
            </w:r>
          </w:p>
        </w:tc>
        <w:tc>
          <w:tcPr>
            <w:tcW w:w="626" w:type="dxa"/>
            <w:shd w:val="clear" w:color="auto" w:fill="8DB3E2" w:themeFill="text2" w:themeFillTint="66"/>
            <w:noWrap/>
            <w:tcMar>
              <w:left w:w="57" w:type="dxa"/>
              <w:right w:w="57" w:type="dxa"/>
            </w:tcMar>
            <w:vAlign w:val="bottom"/>
            <w:hideMark/>
          </w:tcPr>
          <w:p w14:paraId="0C26C376" w14:textId="6A999FBE" w:rsidR="00437B1B" w:rsidRPr="00437B1B" w:rsidRDefault="00437B1B" w:rsidP="00437B1B">
            <w:pPr>
              <w:spacing w:after="0"/>
              <w:jc w:val="right"/>
              <w:rPr>
                <w:rStyle w:val="IntenseReference"/>
              </w:rPr>
            </w:pPr>
            <w:r w:rsidRPr="00437B1B">
              <w:rPr>
                <w:rStyle w:val="IntenseReference"/>
              </w:rPr>
              <w:t>0.87</w:t>
            </w:r>
          </w:p>
        </w:tc>
        <w:tc>
          <w:tcPr>
            <w:tcW w:w="625" w:type="dxa"/>
            <w:shd w:val="clear" w:color="auto" w:fill="548DD4" w:themeFill="text2" w:themeFillTint="99"/>
            <w:noWrap/>
            <w:tcMar>
              <w:left w:w="57" w:type="dxa"/>
              <w:right w:w="57" w:type="dxa"/>
            </w:tcMar>
            <w:vAlign w:val="bottom"/>
            <w:hideMark/>
          </w:tcPr>
          <w:p w14:paraId="46253C0A" w14:textId="5B7718C6" w:rsidR="00437B1B" w:rsidRPr="00437B1B" w:rsidRDefault="00437B1B" w:rsidP="00437B1B">
            <w:pPr>
              <w:spacing w:after="0"/>
              <w:jc w:val="right"/>
              <w:rPr>
                <w:rStyle w:val="IntenseReference"/>
              </w:rPr>
            </w:pPr>
            <w:r w:rsidRPr="00437B1B">
              <w:rPr>
                <w:rStyle w:val="IntenseReference"/>
              </w:rPr>
              <w:t>0.15</w:t>
            </w:r>
          </w:p>
        </w:tc>
        <w:tc>
          <w:tcPr>
            <w:tcW w:w="625" w:type="dxa"/>
            <w:shd w:val="clear" w:color="auto" w:fill="548DD4" w:themeFill="text2" w:themeFillTint="99"/>
            <w:noWrap/>
            <w:tcMar>
              <w:left w:w="57" w:type="dxa"/>
              <w:right w:w="57" w:type="dxa"/>
            </w:tcMar>
            <w:vAlign w:val="bottom"/>
            <w:hideMark/>
          </w:tcPr>
          <w:p w14:paraId="1D7D31FD" w14:textId="6E01E6D5" w:rsidR="00437B1B" w:rsidRPr="00437B1B" w:rsidRDefault="00437B1B" w:rsidP="00437B1B">
            <w:pPr>
              <w:spacing w:after="0"/>
              <w:jc w:val="right"/>
              <w:rPr>
                <w:rStyle w:val="IntenseReference"/>
              </w:rPr>
            </w:pPr>
            <w:r w:rsidRPr="00437B1B">
              <w:rPr>
                <w:rStyle w:val="IntenseReference"/>
              </w:rPr>
              <w:t>0.94</w:t>
            </w:r>
          </w:p>
        </w:tc>
        <w:tc>
          <w:tcPr>
            <w:tcW w:w="625" w:type="dxa"/>
            <w:shd w:val="clear" w:color="auto" w:fill="8DB3E2" w:themeFill="text2" w:themeFillTint="66"/>
            <w:noWrap/>
            <w:tcMar>
              <w:left w:w="57" w:type="dxa"/>
              <w:right w:w="57" w:type="dxa"/>
            </w:tcMar>
            <w:vAlign w:val="bottom"/>
            <w:hideMark/>
          </w:tcPr>
          <w:p w14:paraId="66F36F08" w14:textId="02917530" w:rsidR="00437B1B" w:rsidRPr="00437B1B" w:rsidRDefault="00437B1B" w:rsidP="00437B1B">
            <w:pPr>
              <w:spacing w:after="0"/>
              <w:jc w:val="right"/>
              <w:rPr>
                <w:rStyle w:val="IntenseReference"/>
              </w:rPr>
            </w:pPr>
            <w:r w:rsidRPr="00437B1B">
              <w:rPr>
                <w:rStyle w:val="IntenseReference"/>
              </w:rPr>
              <w:t>0.18</w:t>
            </w:r>
          </w:p>
        </w:tc>
        <w:tc>
          <w:tcPr>
            <w:tcW w:w="625" w:type="dxa"/>
            <w:shd w:val="clear" w:color="auto" w:fill="8DB3E2" w:themeFill="text2" w:themeFillTint="66"/>
            <w:noWrap/>
            <w:tcMar>
              <w:left w:w="57" w:type="dxa"/>
              <w:right w:w="57" w:type="dxa"/>
            </w:tcMar>
            <w:vAlign w:val="bottom"/>
            <w:hideMark/>
          </w:tcPr>
          <w:p w14:paraId="23F7619F" w14:textId="1955E27C" w:rsidR="00437B1B" w:rsidRPr="00437B1B" w:rsidRDefault="00437B1B" w:rsidP="00437B1B">
            <w:pPr>
              <w:spacing w:after="0"/>
              <w:jc w:val="right"/>
              <w:rPr>
                <w:rStyle w:val="IntenseReference"/>
              </w:rPr>
            </w:pPr>
            <w:r w:rsidRPr="00437B1B">
              <w:rPr>
                <w:rStyle w:val="IntenseReference"/>
              </w:rPr>
              <w:t>0.83</w:t>
            </w:r>
          </w:p>
        </w:tc>
        <w:tc>
          <w:tcPr>
            <w:tcW w:w="625" w:type="dxa"/>
            <w:shd w:val="clear" w:color="auto" w:fill="auto"/>
            <w:noWrap/>
            <w:tcMar>
              <w:left w:w="57" w:type="dxa"/>
              <w:right w:w="57" w:type="dxa"/>
            </w:tcMar>
            <w:vAlign w:val="bottom"/>
            <w:hideMark/>
          </w:tcPr>
          <w:p w14:paraId="6468D0D3" w14:textId="06312C70" w:rsidR="00437B1B" w:rsidRPr="00437B1B" w:rsidRDefault="00437B1B" w:rsidP="00437B1B">
            <w:pPr>
              <w:spacing w:after="0"/>
              <w:jc w:val="right"/>
              <w:rPr>
                <w:rStyle w:val="IntenseReference"/>
              </w:rPr>
            </w:pPr>
            <w:r w:rsidRPr="00437B1B">
              <w:rPr>
                <w:rStyle w:val="IntenseReference"/>
              </w:rPr>
              <w:t>0.00</w:t>
            </w:r>
          </w:p>
        </w:tc>
        <w:tc>
          <w:tcPr>
            <w:tcW w:w="626" w:type="dxa"/>
            <w:shd w:val="clear" w:color="auto" w:fill="auto"/>
            <w:noWrap/>
            <w:tcMar>
              <w:left w:w="57" w:type="dxa"/>
              <w:right w:w="57" w:type="dxa"/>
            </w:tcMar>
            <w:vAlign w:val="bottom"/>
            <w:hideMark/>
          </w:tcPr>
          <w:p w14:paraId="2420141B" w14:textId="55D81771" w:rsidR="00437B1B" w:rsidRPr="00437B1B" w:rsidRDefault="00437B1B" w:rsidP="00437B1B">
            <w:pPr>
              <w:spacing w:after="0"/>
              <w:jc w:val="right"/>
              <w:rPr>
                <w:rStyle w:val="IntenseReference"/>
              </w:rPr>
            </w:pPr>
            <w:r w:rsidRPr="00437B1B">
              <w:rPr>
                <w:rStyle w:val="IntenseReference"/>
              </w:rPr>
              <w:t>0.00</w:t>
            </w:r>
          </w:p>
        </w:tc>
      </w:tr>
      <w:tr w:rsidR="00437B1B" w:rsidRPr="007E151E" w14:paraId="6308ED4E" w14:textId="77777777" w:rsidTr="00235B93">
        <w:trPr>
          <w:trHeight w:val="300"/>
        </w:trPr>
        <w:tc>
          <w:tcPr>
            <w:tcW w:w="1074" w:type="dxa"/>
            <w:vMerge/>
            <w:shd w:val="clear" w:color="auto" w:fill="auto"/>
            <w:noWrap/>
            <w:tcMar>
              <w:left w:w="57" w:type="dxa"/>
              <w:right w:w="57" w:type="dxa"/>
            </w:tcMar>
            <w:vAlign w:val="center"/>
            <w:hideMark/>
          </w:tcPr>
          <w:p w14:paraId="69E45ADB" w14:textId="77777777" w:rsidR="00437B1B" w:rsidRPr="007E151E" w:rsidRDefault="00437B1B" w:rsidP="00437B1B">
            <w:pPr>
              <w:spacing w:after="0"/>
              <w:jc w:val="right"/>
              <w:rPr>
                <w:rStyle w:val="IntenseReference"/>
              </w:rPr>
            </w:pPr>
          </w:p>
        </w:tc>
        <w:tc>
          <w:tcPr>
            <w:tcW w:w="350" w:type="dxa"/>
            <w:shd w:val="clear" w:color="auto" w:fill="auto"/>
            <w:noWrap/>
            <w:tcMar>
              <w:left w:w="57" w:type="dxa"/>
              <w:right w:w="57" w:type="dxa"/>
            </w:tcMar>
            <w:vAlign w:val="center"/>
            <w:hideMark/>
          </w:tcPr>
          <w:p w14:paraId="787E657D" w14:textId="77777777" w:rsidR="00437B1B" w:rsidRPr="007E151E" w:rsidRDefault="00437B1B" w:rsidP="00437B1B">
            <w:pPr>
              <w:spacing w:after="0"/>
              <w:jc w:val="center"/>
              <w:rPr>
                <w:rStyle w:val="IntenseReference"/>
              </w:rPr>
            </w:pPr>
            <w:r w:rsidRPr="007E151E">
              <w:rPr>
                <w:rStyle w:val="IntenseReference"/>
              </w:rPr>
              <w:t>5</w:t>
            </w:r>
          </w:p>
        </w:tc>
        <w:tc>
          <w:tcPr>
            <w:tcW w:w="625" w:type="dxa"/>
            <w:shd w:val="clear" w:color="auto" w:fill="C6D9F1" w:themeFill="text2" w:themeFillTint="33"/>
            <w:noWrap/>
            <w:tcMar>
              <w:left w:w="57" w:type="dxa"/>
              <w:right w:w="57" w:type="dxa"/>
            </w:tcMar>
            <w:vAlign w:val="bottom"/>
            <w:hideMark/>
          </w:tcPr>
          <w:p w14:paraId="240855C3" w14:textId="7C2FD2A6" w:rsidR="00437B1B" w:rsidRPr="00437B1B" w:rsidRDefault="00437B1B" w:rsidP="00437B1B">
            <w:pPr>
              <w:spacing w:after="0"/>
              <w:jc w:val="right"/>
              <w:rPr>
                <w:rStyle w:val="IntenseReference"/>
              </w:rPr>
            </w:pPr>
            <w:r w:rsidRPr="00437B1B">
              <w:rPr>
                <w:rStyle w:val="IntenseReference"/>
              </w:rPr>
              <w:t>0.09</w:t>
            </w:r>
          </w:p>
        </w:tc>
        <w:tc>
          <w:tcPr>
            <w:tcW w:w="625" w:type="dxa"/>
            <w:shd w:val="clear" w:color="auto" w:fill="C6D9F1" w:themeFill="text2" w:themeFillTint="33"/>
            <w:noWrap/>
            <w:tcMar>
              <w:left w:w="57" w:type="dxa"/>
              <w:right w:w="57" w:type="dxa"/>
            </w:tcMar>
            <w:vAlign w:val="bottom"/>
            <w:hideMark/>
          </w:tcPr>
          <w:p w14:paraId="6ECEDC4C" w14:textId="1303A2A2" w:rsidR="00437B1B" w:rsidRPr="00437B1B" w:rsidRDefault="00437B1B" w:rsidP="00437B1B">
            <w:pPr>
              <w:spacing w:after="0"/>
              <w:jc w:val="right"/>
              <w:rPr>
                <w:rStyle w:val="IntenseReference"/>
              </w:rPr>
            </w:pPr>
            <w:r w:rsidRPr="00437B1B">
              <w:rPr>
                <w:rStyle w:val="IntenseReference"/>
              </w:rPr>
              <w:t>0.75</w:t>
            </w:r>
          </w:p>
        </w:tc>
        <w:tc>
          <w:tcPr>
            <w:tcW w:w="625" w:type="dxa"/>
            <w:shd w:val="clear" w:color="auto" w:fill="auto"/>
            <w:noWrap/>
            <w:tcMar>
              <w:left w:w="57" w:type="dxa"/>
              <w:right w:w="57" w:type="dxa"/>
            </w:tcMar>
            <w:vAlign w:val="bottom"/>
            <w:hideMark/>
          </w:tcPr>
          <w:p w14:paraId="10E6543C" w14:textId="71F56B35" w:rsidR="00437B1B" w:rsidRPr="00437B1B" w:rsidRDefault="00437B1B" w:rsidP="00437B1B">
            <w:pPr>
              <w:spacing w:after="0"/>
              <w:jc w:val="right"/>
              <w:rPr>
                <w:rStyle w:val="IntenseReference"/>
              </w:rPr>
            </w:pPr>
            <w:r w:rsidRPr="00437B1B">
              <w:rPr>
                <w:rStyle w:val="IntenseReference"/>
              </w:rPr>
              <w:t>0.05</w:t>
            </w:r>
          </w:p>
        </w:tc>
        <w:tc>
          <w:tcPr>
            <w:tcW w:w="625" w:type="dxa"/>
            <w:shd w:val="clear" w:color="auto" w:fill="auto"/>
            <w:noWrap/>
            <w:tcMar>
              <w:left w:w="57" w:type="dxa"/>
              <w:right w:w="57" w:type="dxa"/>
            </w:tcMar>
            <w:vAlign w:val="bottom"/>
            <w:hideMark/>
          </w:tcPr>
          <w:p w14:paraId="6F3A48C0" w14:textId="09DCE4F3" w:rsidR="00437B1B" w:rsidRPr="00437B1B" w:rsidRDefault="00437B1B" w:rsidP="00437B1B">
            <w:pPr>
              <w:spacing w:after="0"/>
              <w:jc w:val="right"/>
              <w:rPr>
                <w:rStyle w:val="IntenseReference"/>
              </w:rPr>
            </w:pPr>
            <w:r w:rsidRPr="00437B1B">
              <w:rPr>
                <w:rStyle w:val="IntenseReference"/>
              </w:rPr>
              <w:t>0.55</w:t>
            </w:r>
          </w:p>
        </w:tc>
        <w:tc>
          <w:tcPr>
            <w:tcW w:w="625" w:type="dxa"/>
            <w:shd w:val="clear" w:color="auto" w:fill="C6D9F1" w:themeFill="text2" w:themeFillTint="33"/>
            <w:noWrap/>
            <w:tcMar>
              <w:left w:w="57" w:type="dxa"/>
              <w:right w:w="57" w:type="dxa"/>
            </w:tcMar>
            <w:vAlign w:val="bottom"/>
            <w:hideMark/>
          </w:tcPr>
          <w:p w14:paraId="2A05EE7A" w14:textId="365FBBC9" w:rsidR="00437B1B" w:rsidRPr="00437B1B" w:rsidRDefault="00437B1B" w:rsidP="00437B1B">
            <w:pPr>
              <w:spacing w:after="0"/>
              <w:jc w:val="right"/>
              <w:rPr>
                <w:rStyle w:val="IntenseReference"/>
              </w:rPr>
            </w:pPr>
            <w:r w:rsidRPr="00437B1B">
              <w:rPr>
                <w:rStyle w:val="IntenseReference"/>
              </w:rPr>
              <w:t>0.15</w:t>
            </w:r>
          </w:p>
        </w:tc>
        <w:tc>
          <w:tcPr>
            <w:tcW w:w="626" w:type="dxa"/>
            <w:shd w:val="clear" w:color="auto" w:fill="C6D9F1" w:themeFill="text2" w:themeFillTint="33"/>
            <w:noWrap/>
            <w:tcMar>
              <w:left w:w="57" w:type="dxa"/>
              <w:right w:w="57" w:type="dxa"/>
            </w:tcMar>
            <w:vAlign w:val="bottom"/>
            <w:hideMark/>
          </w:tcPr>
          <w:p w14:paraId="409A9A8F" w14:textId="3B20D3A2" w:rsidR="00437B1B" w:rsidRPr="00437B1B" w:rsidRDefault="00437B1B" w:rsidP="00437B1B">
            <w:pPr>
              <w:spacing w:after="0"/>
              <w:jc w:val="right"/>
              <w:rPr>
                <w:rStyle w:val="IntenseReference"/>
              </w:rPr>
            </w:pPr>
            <w:r w:rsidRPr="00437B1B">
              <w:rPr>
                <w:rStyle w:val="IntenseReference"/>
              </w:rPr>
              <w:t>0.70</w:t>
            </w:r>
          </w:p>
        </w:tc>
        <w:tc>
          <w:tcPr>
            <w:tcW w:w="625" w:type="dxa"/>
            <w:shd w:val="clear" w:color="auto" w:fill="auto"/>
            <w:noWrap/>
            <w:tcMar>
              <w:left w:w="57" w:type="dxa"/>
              <w:right w:w="57" w:type="dxa"/>
            </w:tcMar>
            <w:vAlign w:val="bottom"/>
            <w:hideMark/>
          </w:tcPr>
          <w:p w14:paraId="06282A6F" w14:textId="0E9D723D" w:rsidR="00437B1B" w:rsidRPr="00437B1B" w:rsidRDefault="00437B1B" w:rsidP="00437B1B">
            <w:pPr>
              <w:spacing w:after="0"/>
              <w:jc w:val="right"/>
              <w:rPr>
                <w:rStyle w:val="IntenseReference"/>
              </w:rPr>
            </w:pPr>
            <w:r w:rsidRPr="00437B1B">
              <w:rPr>
                <w:rStyle w:val="IntenseReference"/>
              </w:rPr>
              <w:t>0.06</w:t>
            </w:r>
          </w:p>
        </w:tc>
        <w:tc>
          <w:tcPr>
            <w:tcW w:w="625" w:type="dxa"/>
            <w:shd w:val="clear" w:color="auto" w:fill="auto"/>
            <w:noWrap/>
            <w:tcMar>
              <w:left w:w="57" w:type="dxa"/>
              <w:right w:w="57" w:type="dxa"/>
            </w:tcMar>
            <w:vAlign w:val="bottom"/>
            <w:hideMark/>
          </w:tcPr>
          <w:p w14:paraId="4DF08691" w14:textId="72D87221" w:rsidR="00437B1B" w:rsidRPr="00437B1B" w:rsidRDefault="00437B1B" w:rsidP="00437B1B">
            <w:pPr>
              <w:spacing w:after="0"/>
              <w:jc w:val="right"/>
              <w:rPr>
                <w:rStyle w:val="IntenseReference"/>
              </w:rPr>
            </w:pPr>
            <w:r w:rsidRPr="00437B1B">
              <w:rPr>
                <w:rStyle w:val="IntenseReference"/>
              </w:rPr>
              <w:t>0.69</w:t>
            </w:r>
          </w:p>
        </w:tc>
        <w:tc>
          <w:tcPr>
            <w:tcW w:w="625" w:type="dxa"/>
            <w:shd w:val="clear" w:color="auto" w:fill="C6D9F1" w:themeFill="text2" w:themeFillTint="33"/>
            <w:noWrap/>
            <w:tcMar>
              <w:left w:w="57" w:type="dxa"/>
              <w:right w:w="57" w:type="dxa"/>
            </w:tcMar>
            <w:vAlign w:val="bottom"/>
            <w:hideMark/>
          </w:tcPr>
          <w:p w14:paraId="1F6742E4" w14:textId="1D8CF8FC" w:rsidR="00437B1B" w:rsidRPr="00437B1B" w:rsidRDefault="00437B1B" w:rsidP="00437B1B">
            <w:pPr>
              <w:spacing w:after="0"/>
              <w:jc w:val="right"/>
              <w:rPr>
                <w:rStyle w:val="IntenseReference"/>
              </w:rPr>
            </w:pPr>
            <w:r w:rsidRPr="00437B1B">
              <w:rPr>
                <w:rStyle w:val="IntenseReference"/>
              </w:rPr>
              <w:t>0.17</w:t>
            </w:r>
          </w:p>
        </w:tc>
        <w:tc>
          <w:tcPr>
            <w:tcW w:w="625" w:type="dxa"/>
            <w:shd w:val="clear" w:color="auto" w:fill="C6D9F1" w:themeFill="text2" w:themeFillTint="33"/>
            <w:noWrap/>
            <w:tcMar>
              <w:left w:w="57" w:type="dxa"/>
              <w:right w:w="57" w:type="dxa"/>
            </w:tcMar>
            <w:vAlign w:val="bottom"/>
            <w:hideMark/>
          </w:tcPr>
          <w:p w14:paraId="577DF2FA" w14:textId="4C4EC2C3" w:rsidR="00437B1B" w:rsidRPr="00437B1B" w:rsidRDefault="00437B1B" w:rsidP="00437B1B">
            <w:pPr>
              <w:spacing w:after="0"/>
              <w:jc w:val="right"/>
              <w:rPr>
                <w:rStyle w:val="IntenseReference"/>
              </w:rPr>
            </w:pPr>
            <w:r w:rsidRPr="00437B1B">
              <w:rPr>
                <w:rStyle w:val="IntenseReference"/>
              </w:rPr>
              <w:t>0.71</w:t>
            </w:r>
          </w:p>
        </w:tc>
        <w:tc>
          <w:tcPr>
            <w:tcW w:w="625" w:type="dxa"/>
            <w:shd w:val="clear" w:color="auto" w:fill="auto"/>
            <w:noWrap/>
            <w:tcMar>
              <w:left w:w="57" w:type="dxa"/>
              <w:right w:w="57" w:type="dxa"/>
            </w:tcMar>
            <w:vAlign w:val="bottom"/>
            <w:hideMark/>
          </w:tcPr>
          <w:p w14:paraId="15DF4BF8" w14:textId="035FD594" w:rsidR="00437B1B" w:rsidRPr="00437B1B" w:rsidRDefault="00437B1B" w:rsidP="00437B1B">
            <w:pPr>
              <w:spacing w:after="0"/>
              <w:jc w:val="right"/>
              <w:rPr>
                <w:rStyle w:val="IntenseReference"/>
              </w:rPr>
            </w:pPr>
            <w:r w:rsidRPr="00437B1B">
              <w:rPr>
                <w:rStyle w:val="IntenseReference"/>
              </w:rPr>
              <w:t>-0.01</w:t>
            </w:r>
          </w:p>
        </w:tc>
        <w:tc>
          <w:tcPr>
            <w:tcW w:w="626" w:type="dxa"/>
            <w:shd w:val="clear" w:color="auto" w:fill="auto"/>
            <w:noWrap/>
            <w:tcMar>
              <w:left w:w="57" w:type="dxa"/>
              <w:right w:w="57" w:type="dxa"/>
            </w:tcMar>
            <w:vAlign w:val="bottom"/>
            <w:hideMark/>
          </w:tcPr>
          <w:p w14:paraId="32723931" w14:textId="76A9CA8E" w:rsidR="00437B1B" w:rsidRPr="00437B1B" w:rsidRDefault="00437B1B" w:rsidP="00437B1B">
            <w:pPr>
              <w:spacing w:after="0"/>
              <w:jc w:val="right"/>
              <w:rPr>
                <w:rStyle w:val="IntenseReference"/>
              </w:rPr>
            </w:pPr>
            <w:r w:rsidRPr="00437B1B">
              <w:rPr>
                <w:rStyle w:val="IntenseReference"/>
              </w:rPr>
              <w:t>0.63</w:t>
            </w:r>
          </w:p>
        </w:tc>
      </w:tr>
    </w:tbl>
    <w:p w14:paraId="11EA9096" w14:textId="4F4CB1F0" w:rsidR="00B36605" w:rsidRPr="008C0567" w:rsidRDefault="00B36605" w:rsidP="00B36605"/>
    <w:p w14:paraId="6A8449A8" w14:textId="7922C8D8" w:rsidR="00C93E38" w:rsidRDefault="00134DDC" w:rsidP="00C93E38">
      <w:pPr>
        <w:rPr>
          <w:color w:val="4F81BD" w:themeColor="accent1"/>
        </w:rPr>
      </w:pPr>
      <w:r>
        <w:t>The low point in the index in 2012 was not only a result of Cyclone Ului with the index trending down from 2008 (</w:t>
      </w:r>
      <w:r>
        <w:fldChar w:fldCharType="begin"/>
      </w:r>
      <w:r>
        <w:instrText xml:space="preserve"> REF _Ref491341033 \h </w:instrText>
      </w:r>
      <w:r>
        <w:fldChar w:fldCharType="separate"/>
      </w:r>
      <w:r w:rsidR="00D806F2">
        <w:t xml:space="preserve">Figure </w:t>
      </w:r>
      <w:r w:rsidR="00D806F2">
        <w:rPr>
          <w:noProof/>
        </w:rPr>
        <w:t>21</w:t>
      </w:r>
      <w:r>
        <w:fldChar w:fldCharType="end"/>
      </w:r>
      <w:r>
        <w:t xml:space="preserve">a). </w:t>
      </w:r>
      <w:r w:rsidR="00B36605" w:rsidRPr="00DE79AE">
        <w:t xml:space="preserve">Over the period 2007 to 2013, annual discharge from the </w:t>
      </w:r>
      <w:r w:rsidR="00B36605">
        <w:t>adjacent catchments</w:t>
      </w:r>
      <w:r w:rsidR="00B36605" w:rsidRPr="00DE79AE">
        <w:t xml:space="preserve"> was above median levels </w:t>
      </w:r>
      <w:r w:rsidR="00B36605" w:rsidRPr="00801326">
        <w:rPr>
          <w:color w:val="000000" w:themeColor="text1"/>
        </w:rPr>
        <w:t>(</w:t>
      </w:r>
      <w:r>
        <w:rPr>
          <w:color w:val="000000" w:themeColor="text1"/>
        </w:rPr>
        <w:fldChar w:fldCharType="begin"/>
      </w:r>
      <w:r>
        <w:rPr>
          <w:color w:val="000000" w:themeColor="text1"/>
        </w:rPr>
        <w:instrText xml:space="preserve"> REF _Ref491342894 \h </w:instrText>
      </w:r>
      <w:r>
        <w:rPr>
          <w:color w:val="000000" w:themeColor="text1"/>
        </w:rPr>
      </w:r>
      <w:r>
        <w:rPr>
          <w:color w:val="000000" w:themeColor="text1"/>
        </w:rPr>
        <w:fldChar w:fldCharType="separate"/>
      </w:r>
      <w:r w:rsidR="00D806F2">
        <w:t xml:space="preserve">Figure </w:t>
      </w:r>
      <w:r w:rsidR="00D806F2">
        <w:rPr>
          <w:noProof/>
        </w:rPr>
        <w:t>20</w:t>
      </w:r>
      <w:r>
        <w:rPr>
          <w:color w:val="000000" w:themeColor="text1"/>
        </w:rPr>
        <w:fldChar w:fldCharType="end"/>
      </w:r>
      <w:r>
        <w:rPr>
          <w:color w:val="000000" w:themeColor="text1"/>
        </w:rPr>
        <w:t>d</w:t>
      </w:r>
      <w:r w:rsidR="00B36605" w:rsidRPr="00801326">
        <w:rPr>
          <w:color w:val="000000" w:themeColor="text1"/>
        </w:rPr>
        <w:t>)</w:t>
      </w:r>
      <w:r>
        <w:rPr>
          <w:color w:val="000000" w:themeColor="text1"/>
        </w:rPr>
        <w:t>,</w:t>
      </w:r>
      <w:r>
        <w:rPr>
          <w:color w:val="4F81BD" w:themeColor="accent1"/>
        </w:rPr>
        <w:t xml:space="preserve"> </w:t>
      </w:r>
      <w:r w:rsidRPr="00134DDC">
        <w:t>supplying</w:t>
      </w:r>
      <w:r w:rsidR="00B36605" w:rsidRPr="00134DDC">
        <w:t xml:space="preserve"> </w:t>
      </w:r>
      <w:r w:rsidR="00B36605" w:rsidRPr="00DE79AE">
        <w:t xml:space="preserve">elevated loads of nutrients and sediments (Turner </w:t>
      </w:r>
      <w:r w:rsidR="00B36605" w:rsidRPr="00DE79AE">
        <w:rPr>
          <w:i/>
        </w:rPr>
        <w:t>et al.</w:t>
      </w:r>
      <w:r w:rsidR="00B36605" w:rsidRPr="00DE79AE">
        <w:t xml:space="preserve"> 2012, 2013, Wallace </w:t>
      </w:r>
      <w:r w:rsidR="00B36605" w:rsidRPr="00DE79AE">
        <w:rPr>
          <w:i/>
        </w:rPr>
        <w:t>et al</w:t>
      </w:r>
      <w:r w:rsidR="00B36605" w:rsidRPr="00DE79AE">
        <w:t>. 2014, 2015</w:t>
      </w:r>
      <w:r w:rsidR="00F24294">
        <w:t xml:space="preserve">, Waterhouse </w:t>
      </w:r>
      <w:r w:rsidR="00F24294" w:rsidRPr="005B52B1">
        <w:rPr>
          <w:i/>
        </w:rPr>
        <w:t>et al</w:t>
      </w:r>
      <w:r w:rsidR="00F24294">
        <w:t>. 2017</w:t>
      </w:r>
      <w:r w:rsidR="00B36605" w:rsidRPr="00DE79AE">
        <w:t>)</w:t>
      </w:r>
      <w:r>
        <w:t xml:space="preserve">. </w:t>
      </w:r>
      <w:r w:rsidR="00851C91" w:rsidRPr="00851C91">
        <w:t>Although, there is no strong evidence for changes in measured marine water quality (</w:t>
      </w:r>
      <w:r w:rsidR="00851C91" w:rsidRPr="00851C91">
        <w:fldChar w:fldCharType="begin"/>
      </w:r>
      <w:r w:rsidR="00851C91" w:rsidRPr="00851C91">
        <w:instrText xml:space="preserve"> REF _Ref491341033 \h </w:instrText>
      </w:r>
      <w:r w:rsidR="00851C91" w:rsidRPr="00851C91">
        <w:fldChar w:fldCharType="separate"/>
      </w:r>
      <w:r w:rsidR="00D806F2">
        <w:t xml:space="preserve">Figure </w:t>
      </w:r>
      <w:r w:rsidR="00D806F2">
        <w:rPr>
          <w:noProof/>
        </w:rPr>
        <w:t>21</w:t>
      </w:r>
      <w:r w:rsidR="00851C91" w:rsidRPr="00851C91">
        <w:fldChar w:fldCharType="end"/>
      </w:r>
      <w:r w:rsidR="00851C91" w:rsidRPr="00851C91">
        <w:t xml:space="preserve">g, h, </w:t>
      </w:r>
      <w:r w:rsidR="00BE20D6">
        <w:fldChar w:fldCharType="begin"/>
      </w:r>
      <w:r w:rsidR="00BE20D6">
        <w:instrText xml:space="preserve"> REF _Ref491344389 \h </w:instrText>
      </w:r>
      <w:r w:rsidR="00BE20D6">
        <w:fldChar w:fldCharType="separate"/>
      </w:r>
      <w:r w:rsidR="00D806F2">
        <w:t xml:space="preserve">Figure A1. </w:t>
      </w:r>
      <w:r w:rsidR="00D806F2">
        <w:rPr>
          <w:noProof/>
        </w:rPr>
        <w:t>13</w:t>
      </w:r>
      <w:r w:rsidR="00BE20D6">
        <w:fldChar w:fldCharType="end"/>
      </w:r>
      <w:r w:rsidR="00FC0E84">
        <w:t>,</w:t>
      </w:r>
      <w:r w:rsidR="00851C91" w:rsidRPr="00851C91">
        <w:t xml:space="preserve"> Waterhouse </w:t>
      </w:r>
      <w:r w:rsidR="00851C91" w:rsidRPr="00851C91">
        <w:rPr>
          <w:i/>
        </w:rPr>
        <w:t>et al</w:t>
      </w:r>
      <w:r w:rsidR="00851C91" w:rsidRPr="00851C91">
        <w:t xml:space="preserve">. 2017), the </w:t>
      </w:r>
      <w:r w:rsidRPr="00851C91">
        <w:t xml:space="preserve">onset </w:t>
      </w:r>
      <w:r>
        <w:t xml:space="preserve">of this increased </w:t>
      </w:r>
      <w:r w:rsidR="0042623E">
        <w:t>run-off</w:t>
      </w:r>
      <w:r>
        <w:t xml:space="preserve"> coincided with </w:t>
      </w:r>
      <w:r w:rsidR="00B36605" w:rsidRPr="00DE79AE">
        <w:t xml:space="preserve">elevated incidence of coral disease </w:t>
      </w:r>
      <w:r w:rsidR="00B36605">
        <w:t>(</w:t>
      </w:r>
      <w:r w:rsidR="00BE20D6">
        <w:fldChar w:fldCharType="begin"/>
      </w:r>
      <w:r w:rsidR="00BE20D6">
        <w:instrText xml:space="preserve"> REF _Ref491178664 \h </w:instrText>
      </w:r>
      <w:r w:rsidR="00BE20D6">
        <w:fldChar w:fldCharType="separate"/>
      </w:r>
      <w:r w:rsidR="00D806F2">
        <w:t xml:space="preserve">Figure A1. </w:t>
      </w:r>
      <w:r w:rsidR="00D806F2">
        <w:rPr>
          <w:noProof/>
        </w:rPr>
        <w:t>7</w:t>
      </w:r>
      <w:r w:rsidR="00BE20D6">
        <w:fldChar w:fldCharType="end"/>
      </w:r>
      <w:r>
        <w:t>)</w:t>
      </w:r>
      <w:r w:rsidR="00B36605">
        <w:t xml:space="preserve">. Direct impacts due to flooding were recorded only in </w:t>
      </w:r>
      <w:r w:rsidR="00B36605" w:rsidRPr="00801326">
        <w:rPr>
          <w:color w:val="000000" w:themeColor="text1"/>
        </w:rPr>
        <w:t xml:space="preserve">2009 </w:t>
      </w:r>
      <w:r w:rsidR="00851C91">
        <w:rPr>
          <w:color w:val="000000" w:themeColor="text1"/>
        </w:rPr>
        <w:t>(</w:t>
      </w:r>
      <w:r w:rsidR="00851C91">
        <w:rPr>
          <w:color w:val="000000" w:themeColor="text1"/>
        </w:rPr>
        <w:fldChar w:fldCharType="begin"/>
      </w:r>
      <w:r w:rsidR="00851C91">
        <w:rPr>
          <w:color w:val="000000" w:themeColor="text1"/>
        </w:rPr>
        <w:instrText xml:space="preserve"> REF _Ref491342894 \h </w:instrText>
      </w:r>
      <w:r w:rsidR="00851C91">
        <w:rPr>
          <w:color w:val="000000" w:themeColor="text1"/>
        </w:rPr>
      </w:r>
      <w:r w:rsidR="00851C91">
        <w:rPr>
          <w:color w:val="000000" w:themeColor="text1"/>
        </w:rPr>
        <w:fldChar w:fldCharType="separate"/>
      </w:r>
      <w:r w:rsidR="00D806F2">
        <w:t xml:space="preserve">Figure </w:t>
      </w:r>
      <w:r w:rsidR="00D806F2">
        <w:rPr>
          <w:noProof/>
        </w:rPr>
        <w:t>20</w:t>
      </w:r>
      <w:r w:rsidR="00851C91">
        <w:rPr>
          <w:color w:val="000000" w:themeColor="text1"/>
        </w:rPr>
        <w:fldChar w:fldCharType="end"/>
      </w:r>
      <w:r w:rsidR="00851C91">
        <w:rPr>
          <w:color w:val="000000" w:themeColor="text1"/>
        </w:rPr>
        <w:t>e</w:t>
      </w:r>
      <w:r w:rsidR="00B36605" w:rsidRPr="00801326">
        <w:rPr>
          <w:color w:val="000000" w:themeColor="text1"/>
        </w:rPr>
        <w:t>)</w:t>
      </w:r>
      <w:r w:rsidR="00851C91">
        <w:rPr>
          <w:color w:val="000000" w:themeColor="text1"/>
        </w:rPr>
        <w:t>,</w:t>
      </w:r>
      <w:r w:rsidR="00B36605" w:rsidRPr="00801326">
        <w:rPr>
          <w:color w:val="000000" w:themeColor="text1"/>
        </w:rPr>
        <w:t xml:space="preserve"> </w:t>
      </w:r>
      <w:r w:rsidR="00B36605">
        <w:t>attributed primarily to the</w:t>
      </w:r>
      <w:r w:rsidR="00B36605" w:rsidRPr="00DE79AE">
        <w:t xml:space="preserve"> high loads of sediments </w:t>
      </w:r>
      <w:r w:rsidR="00B36605">
        <w:t xml:space="preserve">observed </w:t>
      </w:r>
      <w:r w:rsidR="00B36605" w:rsidRPr="00DE79AE">
        <w:t xml:space="preserve">on corals during surveys. The source of these sediments is not clear as the local rivers did not experience extreme flooding over the preceding summer </w:t>
      </w:r>
      <w:r w:rsidR="00B36605" w:rsidRPr="00801326">
        <w:rPr>
          <w:color w:val="000000" w:themeColor="text1"/>
        </w:rPr>
        <w:t>(</w:t>
      </w:r>
      <w:r w:rsidR="00851C91">
        <w:rPr>
          <w:color w:val="000000" w:themeColor="text1"/>
        </w:rPr>
        <w:fldChar w:fldCharType="begin"/>
      </w:r>
      <w:r w:rsidR="00851C91">
        <w:rPr>
          <w:color w:val="000000" w:themeColor="text1"/>
        </w:rPr>
        <w:instrText xml:space="preserve"> REF _Ref491342894 \h </w:instrText>
      </w:r>
      <w:r w:rsidR="00851C91">
        <w:rPr>
          <w:color w:val="000000" w:themeColor="text1"/>
        </w:rPr>
      </w:r>
      <w:r w:rsidR="00851C91">
        <w:rPr>
          <w:color w:val="000000" w:themeColor="text1"/>
        </w:rPr>
        <w:fldChar w:fldCharType="separate"/>
      </w:r>
      <w:r w:rsidR="00D806F2">
        <w:t xml:space="preserve">Figure </w:t>
      </w:r>
      <w:r w:rsidR="00D806F2">
        <w:rPr>
          <w:noProof/>
        </w:rPr>
        <w:t>20</w:t>
      </w:r>
      <w:r w:rsidR="00851C91">
        <w:rPr>
          <w:color w:val="000000" w:themeColor="text1"/>
        </w:rPr>
        <w:fldChar w:fldCharType="end"/>
      </w:r>
      <w:r w:rsidR="00B36605" w:rsidRPr="00801326">
        <w:rPr>
          <w:color w:val="000000" w:themeColor="text1"/>
        </w:rPr>
        <w:t>d)</w:t>
      </w:r>
      <w:r w:rsidR="00851C91">
        <w:rPr>
          <w:color w:val="000000" w:themeColor="text1"/>
        </w:rPr>
        <w:t xml:space="preserve"> although local heavy rainfall di</w:t>
      </w:r>
      <w:r w:rsidR="003E7AA9">
        <w:rPr>
          <w:color w:val="000000" w:themeColor="text1"/>
        </w:rPr>
        <w:t>d</w:t>
      </w:r>
      <w:r w:rsidR="00851C91">
        <w:rPr>
          <w:color w:val="000000" w:themeColor="text1"/>
        </w:rPr>
        <w:t xml:space="preserve"> result in a number of land-slides along the adjacent ranges</w:t>
      </w:r>
      <w:r w:rsidR="00FC0E84">
        <w:rPr>
          <w:color w:val="000000" w:themeColor="text1"/>
        </w:rPr>
        <w:t>.</w:t>
      </w:r>
    </w:p>
    <w:p w14:paraId="11EA909A" w14:textId="467FF9A2" w:rsidR="00FC0E84" w:rsidRDefault="00FC0E84" w:rsidP="00187552">
      <w:r w:rsidRPr="00FC0E84">
        <w:t xml:space="preserve">Near guideline values for </w:t>
      </w:r>
      <w:r w:rsidR="00E33F0E" w:rsidRPr="00FC0E84">
        <w:t>TSS</w:t>
      </w:r>
      <w:r w:rsidRPr="00FC0E84">
        <w:t xml:space="preserve"> at most of the MMP reef sites (</w:t>
      </w:r>
      <w:r w:rsidRPr="00FC0E84">
        <w:fldChar w:fldCharType="begin"/>
      </w:r>
      <w:r w:rsidRPr="00FC0E84">
        <w:instrText xml:space="preserve"> REF _Ref491342894 \h </w:instrText>
      </w:r>
      <w:r w:rsidRPr="00FC0E84">
        <w:fldChar w:fldCharType="separate"/>
      </w:r>
      <w:r w:rsidR="00D806F2">
        <w:t xml:space="preserve">Figure </w:t>
      </w:r>
      <w:r w:rsidR="00D806F2">
        <w:rPr>
          <w:noProof/>
        </w:rPr>
        <w:t>20</w:t>
      </w:r>
      <w:r w:rsidRPr="00FC0E84">
        <w:fldChar w:fldCharType="end"/>
      </w:r>
      <w:r w:rsidRPr="00FC0E84">
        <w:t>b</w:t>
      </w:r>
      <w:r w:rsidR="00E33F0E" w:rsidRPr="00FC0E84">
        <w:t>,</w:t>
      </w:r>
      <w:r w:rsidRPr="00FC0E84">
        <w:t xml:space="preserve"> </w:t>
      </w:r>
      <w:r w:rsidRPr="00FC0E84">
        <w:fldChar w:fldCharType="begin"/>
      </w:r>
      <w:r w:rsidRPr="00FC0E84">
        <w:instrText xml:space="preserve"> REF _Ref491177799 \h </w:instrText>
      </w:r>
      <w:r w:rsidRPr="00FC0E84">
        <w:fldChar w:fldCharType="separate"/>
      </w:r>
      <w:r w:rsidR="00D806F2">
        <w:t xml:space="preserve">Table A1. </w:t>
      </w:r>
      <w:r w:rsidR="00D806F2">
        <w:rPr>
          <w:noProof/>
        </w:rPr>
        <w:t>6</w:t>
      </w:r>
      <w:r w:rsidRPr="00FC0E84">
        <w:fldChar w:fldCharType="end"/>
      </w:r>
      <w:r w:rsidR="00E33F0E" w:rsidRPr="00FC0E84">
        <w:t xml:space="preserve">) in combination with the limited exposure to wave energy among the Whitsunday </w:t>
      </w:r>
      <w:r w:rsidRPr="00FC0E84">
        <w:t>Islands, which results in accumulation of fine sediments,</w:t>
      </w:r>
      <w:r w:rsidR="00E33F0E" w:rsidRPr="00FC0E84">
        <w:t xml:space="preserve"> </w:t>
      </w:r>
      <w:r w:rsidR="00826E00" w:rsidRPr="00FC0E84">
        <w:t>ha</w:t>
      </w:r>
      <w:r w:rsidRPr="00FC0E84">
        <w:t>ve</w:t>
      </w:r>
      <w:r w:rsidR="00826E00" w:rsidRPr="00FC0E84">
        <w:t xml:space="preserve"> combined to select for coral communities tolerant of these conditions. </w:t>
      </w:r>
      <w:r w:rsidR="00187552" w:rsidRPr="00FC0E84">
        <w:rPr>
          <w:rFonts w:cs="Arial"/>
          <w:szCs w:val="22"/>
        </w:rPr>
        <w:t xml:space="preserve">Marked </w:t>
      </w:r>
      <w:r w:rsidR="00187552" w:rsidRPr="00534692">
        <w:rPr>
          <w:rFonts w:cs="Arial"/>
          <w:szCs w:val="22"/>
        </w:rPr>
        <w:t>differences in composition of coral communities between 2</w:t>
      </w:r>
      <w:r>
        <w:rPr>
          <w:rFonts w:cs="Arial"/>
          <w:szCs w:val="22"/>
        </w:rPr>
        <w:t xml:space="preserve"> </w:t>
      </w:r>
      <w:r w:rsidR="00187552" w:rsidRPr="00534692">
        <w:rPr>
          <w:rFonts w:cs="Arial"/>
          <w:szCs w:val="22"/>
        </w:rPr>
        <w:t>m and 5</w:t>
      </w:r>
      <w:r>
        <w:rPr>
          <w:rFonts w:cs="Arial"/>
          <w:szCs w:val="22"/>
        </w:rPr>
        <w:t xml:space="preserve"> </w:t>
      </w:r>
      <w:r w:rsidR="00187552" w:rsidRPr="00534692">
        <w:rPr>
          <w:rFonts w:cs="Arial"/>
          <w:szCs w:val="22"/>
        </w:rPr>
        <w:t xml:space="preserve">m </w:t>
      </w:r>
      <w:r>
        <w:rPr>
          <w:rFonts w:cs="Arial"/>
          <w:szCs w:val="22"/>
        </w:rPr>
        <w:t xml:space="preserve">depths </w:t>
      </w:r>
      <w:r w:rsidR="00187552" w:rsidRPr="00534692">
        <w:rPr>
          <w:rFonts w:cs="Arial"/>
          <w:szCs w:val="22"/>
        </w:rPr>
        <w:t>indicates a steep gradient in environmental conditions; there is a clear predominance of corals tolerant to low light and high rates of sedimentation at 5</w:t>
      </w:r>
      <w:r>
        <w:rPr>
          <w:rFonts w:cs="Arial"/>
          <w:szCs w:val="22"/>
        </w:rPr>
        <w:t xml:space="preserve"> </w:t>
      </w:r>
      <w:r w:rsidR="00187552" w:rsidRPr="00534692">
        <w:rPr>
          <w:rFonts w:cs="Arial"/>
          <w:szCs w:val="22"/>
        </w:rPr>
        <w:t>m (e.g. families Oculinidae, Pectini</w:t>
      </w:r>
      <w:r w:rsidR="00187552">
        <w:rPr>
          <w:rFonts w:cs="Arial"/>
          <w:szCs w:val="22"/>
        </w:rPr>
        <w:t>i</w:t>
      </w:r>
      <w:r w:rsidR="00187552" w:rsidRPr="00534692">
        <w:rPr>
          <w:rFonts w:cs="Arial"/>
          <w:szCs w:val="22"/>
        </w:rPr>
        <w:t xml:space="preserve">dae, Agariciidae, genus </w:t>
      </w:r>
      <w:r w:rsidR="00187552" w:rsidRPr="00534692">
        <w:rPr>
          <w:rFonts w:cs="Arial"/>
          <w:i/>
          <w:szCs w:val="22"/>
        </w:rPr>
        <w:t>Goniopora</w:t>
      </w:r>
      <w:r w:rsidR="00187552" w:rsidRPr="00534692">
        <w:rPr>
          <w:rFonts w:cs="Arial"/>
          <w:szCs w:val="22"/>
        </w:rPr>
        <w:t xml:space="preserve">) compared to </w:t>
      </w:r>
      <w:r>
        <w:rPr>
          <w:rFonts w:cs="Arial"/>
          <w:szCs w:val="22"/>
        </w:rPr>
        <w:t xml:space="preserve">at </w:t>
      </w:r>
      <w:r w:rsidR="00187552" w:rsidRPr="00534692">
        <w:rPr>
          <w:rFonts w:cs="Arial"/>
          <w:szCs w:val="22"/>
        </w:rPr>
        <w:t>2</w:t>
      </w:r>
      <w:r>
        <w:rPr>
          <w:rFonts w:cs="Arial"/>
          <w:szCs w:val="22"/>
        </w:rPr>
        <w:t xml:space="preserve"> </w:t>
      </w:r>
      <w:r w:rsidR="00187552">
        <w:rPr>
          <w:rFonts w:cs="Arial"/>
          <w:szCs w:val="22"/>
        </w:rPr>
        <w:t xml:space="preserve">m </w:t>
      </w:r>
      <w:r w:rsidR="00187552" w:rsidRPr="00534692">
        <w:rPr>
          <w:rFonts w:cs="Arial"/>
          <w:szCs w:val="22"/>
        </w:rPr>
        <w:t>depth</w:t>
      </w:r>
      <w:r>
        <w:rPr>
          <w:rFonts w:cs="Arial"/>
          <w:szCs w:val="22"/>
        </w:rPr>
        <w:t>s</w:t>
      </w:r>
      <w:r w:rsidR="00187552" w:rsidRPr="00534692">
        <w:rPr>
          <w:rFonts w:cs="Arial"/>
          <w:szCs w:val="22"/>
        </w:rPr>
        <w:t xml:space="preserve"> where Acroporidae and </w:t>
      </w:r>
      <w:r w:rsidR="00187552" w:rsidRPr="00534692">
        <w:rPr>
          <w:rFonts w:cs="Arial"/>
          <w:i/>
          <w:szCs w:val="22"/>
        </w:rPr>
        <w:t>Porites</w:t>
      </w:r>
      <w:r w:rsidR="00187552" w:rsidRPr="00534692">
        <w:rPr>
          <w:rFonts w:cs="Arial"/>
          <w:szCs w:val="22"/>
        </w:rPr>
        <w:t xml:space="preserve"> are most represented </w:t>
      </w:r>
      <w:r w:rsidR="00187552" w:rsidRPr="00BE20D6">
        <w:rPr>
          <w:rFonts w:cs="Arial"/>
          <w:szCs w:val="22"/>
        </w:rPr>
        <w:t>(</w:t>
      </w:r>
      <w:r w:rsidR="00BE20D6">
        <w:rPr>
          <w:rFonts w:cs="Arial"/>
          <w:szCs w:val="22"/>
        </w:rPr>
        <w:fldChar w:fldCharType="begin"/>
      </w:r>
      <w:r w:rsidR="00BE20D6">
        <w:rPr>
          <w:rFonts w:cs="Arial"/>
          <w:szCs w:val="22"/>
        </w:rPr>
        <w:instrText xml:space="preserve"> REF _Ref492390261 \h </w:instrText>
      </w:r>
      <w:r w:rsidR="00BE20D6">
        <w:rPr>
          <w:rFonts w:cs="Arial"/>
          <w:szCs w:val="22"/>
        </w:rPr>
      </w:r>
      <w:r w:rsidR="00BE20D6">
        <w:rPr>
          <w:rFonts w:cs="Arial"/>
          <w:szCs w:val="22"/>
        </w:rPr>
        <w:fldChar w:fldCharType="separate"/>
      </w:r>
      <w:r w:rsidR="00D806F2">
        <w:t xml:space="preserve">Figure A1. </w:t>
      </w:r>
      <w:r w:rsidR="00D806F2">
        <w:rPr>
          <w:noProof/>
        </w:rPr>
        <w:t>5</w:t>
      </w:r>
      <w:r w:rsidR="00BE20D6">
        <w:rPr>
          <w:rFonts w:cs="Arial"/>
          <w:szCs w:val="22"/>
        </w:rPr>
        <w:fldChar w:fldCharType="end"/>
      </w:r>
      <w:r w:rsidR="00187552" w:rsidRPr="00BE20D6">
        <w:rPr>
          <w:rFonts w:cs="Arial"/>
          <w:szCs w:val="22"/>
        </w:rPr>
        <w:t>).</w:t>
      </w:r>
      <w:r w:rsidR="00187552" w:rsidRPr="00E252CD">
        <w:t xml:space="preserve"> This predominance of corals tolerant of low light sets the baseline location of communities to low values for the </w:t>
      </w:r>
      <w:r>
        <w:t>C</w:t>
      </w:r>
      <w:r w:rsidR="00187552" w:rsidRPr="00E252CD">
        <w:t>omposition metric (</w:t>
      </w:r>
      <w:r>
        <w:fldChar w:fldCharType="begin"/>
      </w:r>
      <w:r>
        <w:instrText xml:space="preserve"> REF _Ref491341033 \h </w:instrText>
      </w:r>
      <w:r>
        <w:fldChar w:fldCharType="separate"/>
      </w:r>
      <w:r w:rsidR="00D806F2">
        <w:t xml:space="preserve">Figure </w:t>
      </w:r>
      <w:r w:rsidR="00D806F2">
        <w:rPr>
          <w:noProof/>
        </w:rPr>
        <w:t>21</w:t>
      </w:r>
      <w:r>
        <w:fldChar w:fldCharType="end"/>
      </w:r>
      <w:r w:rsidR="00187552" w:rsidRPr="00E252CD">
        <w:t>f).</w:t>
      </w:r>
    </w:p>
    <w:p w14:paraId="132FD237" w14:textId="77777777" w:rsidR="00FC0E84" w:rsidRDefault="00FC0E84">
      <w:pPr>
        <w:jc w:val="left"/>
      </w:pPr>
      <w:r>
        <w:br w:type="page"/>
      </w:r>
    </w:p>
    <w:p w14:paraId="11EA90A3" w14:textId="2DD55561" w:rsidR="005E7FC8" w:rsidRPr="00F439FB" w:rsidRDefault="001E1E73" w:rsidP="009155F8">
      <w:pPr>
        <w:spacing w:before="5"/>
        <w:ind w:left="5" w:right="5"/>
        <w:jc w:val="center"/>
        <w:rPr>
          <w:color w:val="4F81BD" w:themeColor="accent1"/>
        </w:rPr>
      </w:pPr>
      <w:r>
        <w:rPr>
          <w:noProof/>
          <w:color w:val="4F81BD" w:themeColor="accent1"/>
          <w:lang w:val="en-AU" w:eastAsia="en-AU"/>
        </w:rPr>
        <w:drawing>
          <wp:inline distT="0" distB="0" distL="0" distR="0" wp14:anchorId="6C3942CE" wp14:editId="2FF1CFF1">
            <wp:extent cx="6120765" cy="6591300"/>
            <wp:effectExtent l="0" t="0" r="0" b="0"/>
            <wp:docPr id="27" name="Picture 27" descr="A panel of five plots. Plots a and b present maps of sampling locations with the sea areas colour by a, mean Chl concentration and b, mean total suspended solids concentration. Plot c presents daily deviations from seasonal temperature profiles, includes markers for cyclones and annual degree heating estimates for the region. Plot d presents daily discharge from the regions rivers since 2005 along with annual total discharge relative to a 1986-2016 baseline median. Plot e presents the regional loss of coral observed in each year and the identified cause." title="Figure 20 Whitsunday Mackay Region environmental press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Env_Whitsunday.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6120765" cy="6591300"/>
                    </a:xfrm>
                    <a:prstGeom prst="rect">
                      <a:avLst/>
                    </a:prstGeom>
                  </pic:spPr>
                </pic:pic>
              </a:graphicData>
            </a:graphic>
          </wp:inline>
        </w:drawing>
      </w:r>
    </w:p>
    <w:p w14:paraId="11EA90A5" w14:textId="24C842B9" w:rsidR="008550DE" w:rsidRDefault="007A50AB" w:rsidP="00F872DF">
      <w:pPr>
        <w:pStyle w:val="Caption"/>
        <w:rPr>
          <w:rStyle w:val="IntenseReference"/>
          <w:rFonts w:eastAsia="SimSun"/>
        </w:rPr>
      </w:pPr>
      <w:bookmarkStart w:id="243" w:name="_Ref491342894"/>
      <w:bookmarkStart w:id="244" w:name="_Ref438121092"/>
      <w:bookmarkStart w:id="245" w:name="_Toc437597639"/>
      <w:bookmarkStart w:id="246" w:name="_Toc437423857"/>
      <w:bookmarkStart w:id="247" w:name="_Toc437424036"/>
      <w:bookmarkStart w:id="248" w:name="_Toc437424305"/>
      <w:bookmarkStart w:id="249" w:name="_Toc491846846"/>
      <w:r>
        <w:t xml:space="preserve">Figure </w:t>
      </w:r>
      <w:r>
        <w:fldChar w:fldCharType="begin"/>
      </w:r>
      <w:r>
        <w:instrText xml:space="preserve"> SEQ Figure \* ARABIC </w:instrText>
      </w:r>
      <w:r>
        <w:fldChar w:fldCharType="separate"/>
      </w:r>
      <w:r w:rsidR="00D806F2">
        <w:rPr>
          <w:noProof/>
        </w:rPr>
        <w:t>20</w:t>
      </w:r>
      <w:r>
        <w:fldChar w:fldCharType="end"/>
      </w:r>
      <w:bookmarkEnd w:id="243"/>
      <w:r>
        <w:t xml:space="preserve"> </w:t>
      </w:r>
      <w:r w:rsidRPr="00203411">
        <w:t>Whitsunda</w:t>
      </w:r>
      <w:r w:rsidR="009D02B0">
        <w:t xml:space="preserve">y Mackay Region </w:t>
      </w:r>
      <w:r w:rsidRPr="00203411">
        <w:t xml:space="preserve">environmental </w:t>
      </w:r>
      <w:r w:rsidR="009D02B0">
        <w:t>pressures</w:t>
      </w:r>
      <w:r w:rsidRPr="00203411">
        <w:t>.</w:t>
      </w:r>
      <w:bookmarkStart w:id="250" w:name="_Toc437597640"/>
      <w:bookmarkEnd w:id="244"/>
      <w:bookmarkEnd w:id="245"/>
      <w:bookmarkEnd w:id="246"/>
      <w:bookmarkEnd w:id="247"/>
      <w:bookmarkEnd w:id="248"/>
      <w:r w:rsidR="005E7FC8" w:rsidRPr="008550DE">
        <w:t xml:space="preserve"> </w:t>
      </w:r>
      <w:bookmarkEnd w:id="250"/>
      <w:r w:rsidR="008550DE" w:rsidRPr="008550DE">
        <w:rPr>
          <w:rStyle w:val="IntenseReference"/>
          <w:rFonts w:eastAsia="SimSun"/>
        </w:rPr>
        <w:t xml:space="preserve">Maps show location of monitoring sites, red symbols MMP, yellow symbols LTMP along with a) mean </w:t>
      </w:r>
      <w:r w:rsidR="00663F7B">
        <w:rPr>
          <w:rStyle w:val="IntenseReference"/>
          <w:rFonts w:eastAsia="SimSun"/>
        </w:rPr>
        <w:t>c</w:t>
      </w:r>
      <w:r w:rsidR="008550DE" w:rsidRPr="008550DE">
        <w:rPr>
          <w:rStyle w:val="IntenseReference"/>
          <w:rFonts w:eastAsia="SimSun"/>
        </w:rPr>
        <w:t>hlorophyll</w:t>
      </w:r>
      <w:r w:rsidR="00663F7B">
        <w:rPr>
          <w:rStyle w:val="IntenseReference"/>
          <w:rFonts w:eastAsia="SimSun"/>
        </w:rPr>
        <w:t xml:space="preserve"> </w:t>
      </w:r>
      <w:r w:rsidR="00663F7B" w:rsidRPr="00663F7B">
        <w:rPr>
          <w:rStyle w:val="IntenseReference"/>
          <w:rFonts w:eastAsia="SimSun"/>
          <w:i/>
        </w:rPr>
        <w:t>a</w:t>
      </w:r>
      <w:r w:rsidR="008550DE" w:rsidRPr="008550DE">
        <w:rPr>
          <w:rStyle w:val="IntenseReference"/>
          <w:rFonts w:eastAsia="SimSun"/>
        </w:rPr>
        <w:t xml:space="preserve"> concentration </w:t>
      </w:r>
      <w:r w:rsidR="008550DE" w:rsidRPr="001C36F4">
        <w:rPr>
          <w:rStyle w:val="IntenseReference"/>
          <w:rFonts w:eastAsia="SimSun"/>
        </w:rPr>
        <w:t xml:space="preserve">and b) mean Non algal particulate concentrations. Water quality data are mean levels over the period 2003-2016. c) Seasonally adjusted temperature deviation, timing of cyclones and storms indicated by black arrows, accumulated degree heating days over the summer period (1st of December - 31st March) indicated by black symbols d) Combined daily (blue) and annual (red) discharge for the </w:t>
      </w:r>
      <w:r w:rsidR="001E1E73">
        <w:rPr>
          <w:rStyle w:val="IntenseReference"/>
          <w:rFonts w:eastAsia="SimSun"/>
        </w:rPr>
        <w:t xml:space="preserve">Carmila and Sandy creeks, Gregory, </w:t>
      </w:r>
      <w:r w:rsidR="001C3EFB">
        <w:rPr>
          <w:rStyle w:val="IntenseReference"/>
          <w:rFonts w:eastAsia="SimSun"/>
        </w:rPr>
        <w:t>O</w:t>
      </w:r>
      <w:r w:rsidR="00C27DA5">
        <w:rPr>
          <w:rStyle w:val="IntenseReference"/>
          <w:rFonts w:eastAsia="SimSun"/>
        </w:rPr>
        <w:t>’</w:t>
      </w:r>
      <w:r w:rsidR="001C3EFB">
        <w:rPr>
          <w:rStyle w:val="IntenseReference"/>
          <w:rFonts w:eastAsia="SimSun"/>
        </w:rPr>
        <w:t>Connell</w:t>
      </w:r>
      <w:r w:rsidR="00C27DA5">
        <w:rPr>
          <w:rStyle w:val="IntenseReference"/>
          <w:rFonts w:eastAsia="SimSun"/>
        </w:rPr>
        <w:t xml:space="preserve"> and Pioneer</w:t>
      </w:r>
      <w:r w:rsidR="00E75F5C">
        <w:rPr>
          <w:rStyle w:val="IntenseReference"/>
          <w:rFonts w:eastAsia="SimSun"/>
        </w:rPr>
        <w:t xml:space="preserve"> </w:t>
      </w:r>
      <w:r w:rsidR="008550DE" w:rsidRPr="001C36F4">
        <w:rPr>
          <w:rStyle w:val="IntenseReference"/>
          <w:rFonts w:eastAsia="SimSun"/>
        </w:rPr>
        <w:t>rivers, red dashed line represents long-term median discharge (1986-2016). e) break-down of hard coral cover loss by disturbance type; length of bars represent the mean loss of cover across all reefs (see methods section for further detail).</w:t>
      </w:r>
      <w:bookmarkEnd w:id="249"/>
    </w:p>
    <w:p w14:paraId="11EA90A6" w14:textId="77777777" w:rsidR="00B36605" w:rsidRDefault="00B36605">
      <w:pPr>
        <w:jc w:val="left"/>
        <w:rPr>
          <w:rFonts w:ascii="Arial Narrow" w:eastAsia="SimSun" w:hAnsi="Arial Narrow"/>
          <w:sz w:val="20"/>
          <w:szCs w:val="24"/>
        </w:rPr>
      </w:pPr>
      <w:r>
        <w:br w:type="page"/>
      </w:r>
    </w:p>
    <w:p w14:paraId="11EA90A7" w14:textId="371D6477" w:rsidR="00D60FB4" w:rsidRPr="00F439FB" w:rsidRDefault="001C3EFB" w:rsidP="00AD5099">
      <w:pPr>
        <w:rPr>
          <w:rFonts w:asciiTheme="minorHAnsi" w:eastAsiaTheme="minorHAnsi" w:hAnsiTheme="minorHAnsi" w:cstheme="minorBidi"/>
          <w:color w:val="4F81BD" w:themeColor="accent1"/>
          <w:szCs w:val="22"/>
          <w:lang w:val="en-AU"/>
        </w:rPr>
      </w:pPr>
      <w:r>
        <w:rPr>
          <w:rFonts w:asciiTheme="minorHAnsi" w:eastAsiaTheme="minorHAnsi" w:hAnsiTheme="minorHAnsi" w:cstheme="minorBidi"/>
          <w:noProof/>
          <w:color w:val="4F81BD" w:themeColor="accent1"/>
          <w:szCs w:val="22"/>
          <w:lang w:val="en-AU" w:eastAsia="en-AU"/>
        </w:rPr>
        <w:drawing>
          <wp:inline distT="0" distB="0" distL="0" distR="0" wp14:anchorId="7DA406BD" wp14:editId="3D7860D5">
            <wp:extent cx="6120765" cy="7138035"/>
            <wp:effectExtent l="0" t="0" r="0" b="5715"/>
            <wp:docPr id="22" name="Picture 22" descr="A panel of eight plots showing trends in coral index scores, coral cover, macroalgae proportion, juvenile density, coral change, coral composition, chlorophyll a and turbidity" title="Figure 21 Mackay Whitsunday Region index and indicator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Mackay_plots.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6120765" cy="7138035"/>
                    </a:xfrm>
                    <a:prstGeom prst="rect">
                      <a:avLst/>
                    </a:prstGeom>
                  </pic:spPr>
                </pic:pic>
              </a:graphicData>
            </a:graphic>
          </wp:inline>
        </w:drawing>
      </w:r>
    </w:p>
    <w:p w14:paraId="11EA90A9" w14:textId="2D0C06AF" w:rsidR="006B3B22" w:rsidRPr="002C5422" w:rsidRDefault="007A50AB" w:rsidP="007A50AB">
      <w:pPr>
        <w:pStyle w:val="Caption"/>
        <w:rPr>
          <w:vanish/>
        </w:rPr>
      </w:pPr>
      <w:bookmarkStart w:id="251" w:name="_Ref491341033"/>
      <w:bookmarkStart w:id="252" w:name="_Toc392930507"/>
      <w:bookmarkStart w:id="253" w:name="_Toc491846847"/>
      <w:r>
        <w:t xml:space="preserve">Figure </w:t>
      </w:r>
      <w:r>
        <w:fldChar w:fldCharType="begin"/>
      </w:r>
      <w:r>
        <w:instrText xml:space="preserve"> SEQ Figure \* ARABIC </w:instrText>
      </w:r>
      <w:r>
        <w:fldChar w:fldCharType="separate"/>
      </w:r>
      <w:r w:rsidR="00D806F2">
        <w:rPr>
          <w:noProof/>
        </w:rPr>
        <w:t>21</w:t>
      </w:r>
      <w:r>
        <w:fldChar w:fldCharType="end"/>
      </w:r>
      <w:bookmarkEnd w:id="251"/>
      <w:r>
        <w:t xml:space="preserve"> </w:t>
      </w:r>
      <w:r w:rsidR="009D02B0">
        <w:t>Mackay Whitsunday R</w:t>
      </w:r>
      <w:r w:rsidRPr="00D941BA">
        <w:t>egion</w:t>
      </w:r>
      <w:r w:rsidR="00A416E6">
        <w:t xml:space="preserve"> index and indicator trends</w:t>
      </w:r>
      <w:r w:rsidRPr="00D941BA">
        <w:t>.</w:t>
      </w:r>
      <w:bookmarkEnd w:id="252"/>
      <w:bookmarkEnd w:id="253"/>
      <w:r w:rsidRPr="002C5422">
        <w:rPr>
          <w:vanish/>
        </w:rPr>
        <w:t xml:space="preserve"> </w:t>
      </w:r>
    </w:p>
    <w:p w14:paraId="1961A810" w14:textId="77777777" w:rsidR="007A50AB" w:rsidRPr="001A3582" w:rsidRDefault="00D60FB4" w:rsidP="007A50AB">
      <w:pPr>
        <w:pStyle w:val="Caption"/>
        <w:rPr>
          <w:vanish/>
        </w:rPr>
      </w:pPr>
      <w:r w:rsidRPr="002C5422">
        <w:t xml:space="preserve"> </w:t>
      </w:r>
      <w:r w:rsidR="007A50AB">
        <w:t xml:space="preserve">a) </w:t>
      </w:r>
    </w:p>
    <w:p w14:paraId="52792A94" w14:textId="77777777" w:rsidR="007A50AB" w:rsidRPr="001A3582" w:rsidRDefault="007A50AB" w:rsidP="007A50AB">
      <w:pPr>
        <w:pStyle w:val="Caption"/>
        <w:rPr>
          <w:rStyle w:val="IntenseReference"/>
          <w:rFonts w:eastAsia="SimSun"/>
          <w:color w:val="auto"/>
        </w:rPr>
      </w:pPr>
      <w:r w:rsidRPr="001A3582">
        <w:rPr>
          <w:rStyle w:val="IntenseReference"/>
          <w:rFonts w:eastAsia="SimSun"/>
          <w:color w:val="auto"/>
        </w:rPr>
        <w:t>Coral index</w:t>
      </w:r>
      <w:r>
        <w:rPr>
          <w:rStyle w:val="IntenseReference"/>
          <w:rFonts w:eastAsia="SimSun"/>
          <w:color w:val="auto"/>
        </w:rPr>
        <w:t>,</w:t>
      </w:r>
      <w:r w:rsidRPr="001A3582">
        <w:rPr>
          <w:rStyle w:val="IntenseReference"/>
          <w:rFonts w:eastAsia="SimSun"/>
          <w:color w:val="auto"/>
        </w:rPr>
        <w:t xml:space="preserve"> colour coding: dark green- ‘very good’; light green-‘good’; yellow – ‘moderate; orange – ‘poor’; red – ‘very poor’. </w:t>
      </w:r>
      <w:r>
        <w:rPr>
          <w:rStyle w:val="IntenseReference"/>
          <w:rFonts w:eastAsia="SimSun"/>
          <w:color w:val="auto"/>
        </w:rPr>
        <w:t xml:space="preserve">b – </w:t>
      </w:r>
      <w:r w:rsidRPr="001A3582">
        <w:rPr>
          <w:rStyle w:val="IntenseReference"/>
          <w:rFonts w:eastAsia="SimSun"/>
          <w:color w:val="auto"/>
        </w:rPr>
        <w:t>f</w:t>
      </w:r>
      <w:r>
        <w:rPr>
          <w:rStyle w:val="IntenseReference"/>
          <w:rFonts w:eastAsia="SimSun"/>
          <w:color w:val="auto"/>
        </w:rPr>
        <w:t>) trends in individual indicators, (</w:t>
      </w:r>
      <w:r w:rsidRPr="001A3582">
        <w:rPr>
          <w:rStyle w:val="IntenseReference"/>
          <w:rFonts w:eastAsia="SimSun"/>
          <w:color w:val="auto"/>
        </w:rPr>
        <w:t>blue lines</w:t>
      </w:r>
      <w:r>
        <w:rPr>
          <w:rStyle w:val="IntenseReference"/>
          <w:rFonts w:eastAsia="SimSun"/>
          <w:color w:val="auto"/>
        </w:rPr>
        <w:t xml:space="preserve">) bound by </w:t>
      </w:r>
      <w:r w:rsidRPr="001A3582">
        <w:rPr>
          <w:rStyle w:val="IntenseReference"/>
          <w:rFonts w:eastAsia="SimSun"/>
          <w:color w:val="auto"/>
        </w:rPr>
        <w:t>95% confidence intervals of those trends</w:t>
      </w:r>
      <w:r>
        <w:rPr>
          <w:rStyle w:val="IntenseReference"/>
          <w:rFonts w:eastAsia="SimSun"/>
          <w:color w:val="auto"/>
        </w:rPr>
        <w:t xml:space="preserve"> (shading)</w:t>
      </w:r>
      <w:r w:rsidRPr="001A3582">
        <w:rPr>
          <w:rStyle w:val="IntenseReference"/>
          <w:rFonts w:eastAsia="SimSun"/>
          <w:color w:val="auto"/>
        </w:rPr>
        <w:t xml:space="preserve">, grey lines represent observed profiles </w:t>
      </w:r>
      <w:r>
        <w:rPr>
          <w:rStyle w:val="IntenseReference"/>
          <w:rFonts w:eastAsia="SimSun"/>
          <w:color w:val="auto"/>
        </w:rPr>
        <w:t>at 5 m (dashed) and 2 m (solid) depths</w:t>
      </w:r>
      <w:r w:rsidRPr="001A3582">
        <w:rPr>
          <w:rStyle w:val="IntenseReference"/>
          <w:rFonts w:eastAsia="SimSun"/>
          <w:color w:val="auto"/>
        </w:rPr>
        <w:t xml:space="preserve"> </w:t>
      </w:r>
      <w:r>
        <w:rPr>
          <w:rStyle w:val="IntenseReference"/>
          <w:rFonts w:eastAsia="SimSun"/>
          <w:color w:val="auto"/>
        </w:rPr>
        <w:t>for</w:t>
      </w:r>
      <w:r w:rsidRPr="001A3582">
        <w:rPr>
          <w:rStyle w:val="IntenseReference"/>
          <w:rFonts w:eastAsia="SimSun"/>
          <w:color w:val="auto"/>
        </w:rPr>
        <w:t xml:space="preserve"> individual reefs</w:t>
      </w:r>
      <w:r>
        <w:rPr>
          <w:rStyle w:val="IntenseReference"/>
          <w:rFonts w:eastAsia="SimSun"/>
          <w:color w:val="auto"/>
        </w:rPr>
        <w:t>,</w:t>
      </w:r>
      <w:r w:rsidRPr="001A3582">
        <w:rPr>
          <w:rStyle w:val="IntenseReference"/>
          <w:rFonts w:eastAsia="SimSun"/>
          <w:color w:val="auto"/>
        </w:rPr>
        <w:t xml:space="preserve"> </w:t>
      </w:r>
      <w:r>
        <w:rPr>
          <w:rStyle w:val="IntenseReference"/>
          <w:rFonts w:eastAsia="SimSun"/>
          <w:color w:val="auto"/>
        </w:rPr>
        <w:t>g) trend</w:t>
      </w:r>
      <w:r w:rsidRPr="001A3582">
        <w:rPr>
          <w:rStyle w:val="IntenseReference"/>
          <w:rFonts w:eastAsia="SimSun"/>
          <w:color w:val="auto"/>
        </w:rPr>
        <w:t xml:space="preserve"> in chlorophyll </w:t>
      </w:r>
      <w:r w:rsidRPr="00663F7B">
        <w:rPr>
          <w:rStyle w:val="IntenseReference"/>
          <w:rFonts w:eastAsia="SimSun"/>
          <w:i/>
          <w:color w:val="auto"/>
        </w:rPr>
        <w:t>a</w:t>
      </w:r>
      <w:r w:rsidRPr="001A3582">
        <w:rPr>
          <w:rStyle w:val="IntenseReference"/>
          <w:rFonts w:eastAsia="SimSun"/>
          <w:color w:val="auto"/>
        </w:rPr>
        <w:t xml:space="preserve"> </w:t>
      </w:r>
      <w:r>
        <w:rPr>
          <w:rStyle w:val="IntenseReference"/>
          <w:rFonts w:eastAsia="SimSun"/>
          <w:color w:val="auto"/>
        </w:rPr>
        <w:t xml:space="preserve">and, h) total suspended solids, shading </w:t>
      </w:r>
      <w:r w:rsidRPr="001A3582">
        <w:rPr>
          <w:rStyle w:val="IntenseReference"/>
          <w:rFonts w:eastAsia="SimSun"/>
          <w:color w:val="auto"/>
        </w:rPr>
        <w:t>defin</w:t>
      </w:r>
      <w:r>
        <w:rPr>
          <w:rStyle w:val="IntenseReference"/>
          <w:rFonts w:eastAsia="SimSun"/>
          <w:color w:val="auto"/>
        </w:rPr>
        <w:t>es</w:t>
      </w:r>
      <w:r w:rsidRPr="001A3582">
        <w:rPr>
          <w:rStyle w:val="IntenseReference"/>
          <w:rFonts w:eastAsia="SimSun"/>
          <w:color w:val="auto"/>
        </w:rPr>
        <w:t xml:space="preserve"> 95% confidence intervals of </w:t>
      </w:r>
      <w:r>
        <w:rPr>
          <w:rStyle w:val="IntenseReference"/>
          <w:rFonts w:eastAsia="SimSun"/>
          <w:color w:val="auto"/>
        </w:rPr>
        <w:t>water quality t</w:t>
      </w:r>
      <w:r w:rsidRPr="001A3582">
        <w:rPr>
          <w:rStyle w:val="IntenseReference"/>
          <w:rFonts w:eastAsia="SimSun"/>
          <w:color w:val="auto"/>
        </w:rPr>
        <w:t>rends</w:t>
      </w:r>
      <w:r>
        <w:rPr>
          <w:rStyle w:val="IntenseReference"/>
          <w:rFonts w:eastAsia="SimSun"/>
          <w:color w:val="auto"/>
        </w:rPr>
        <w:t xml:space="preserve"> for hand sampled data (blue) or estimates derived from </w:t>
      </w:r>
      <w:r w:rsidRPr="001A3582">
        <w:rPr>
          <w:rStyle w:val="IntenseReference"/>
          <w:rFonts w:eastAsiaTheme="minorHAnsi"/>
          <w:color w:val="auto"/>
        </w:rPr>
        <w:t>ECO FLNTUSB instruments</w:t>
      </w:r>
      <w:r>
        <w:rPr>
          <w:rStyle w:val="IntenseReference"/>
          <w:rFonts w:eastAsiaTheme="minorHAnsi"/>
          <w:color w:val="auto"/>
        </w:rPr>
        <w:t xml:space="preserve"> (red)</w:t>
      </w:r>
      <w:r w:rsidRPr="001A3582">
        <w:rPr>
          <w:rStyle w:val="IntenseReference"/>
          <w:rFonts w:eastAsia="SimSun"/>
          <w:color w:val="auto"/>
        </w:rPr>
        <w:t>, black dots represent observed data. Dashed reference lines indicate GBRMPA (2010) guideline values.</w:t>
      </w:r>
    </w:p>
    <w:p w14:paraId="11EA90AB" w14:textId="0593FD1B" w:rsidR="000C6FCB" w:rsidRPr="00F439FB" w:rsidRDefault="000C6FCB" w:rsidP="007A50AB">
      <w:pPr>
        <w:pStyle w:val="Caption"/>
        <w:rPr>
          <w:rFonts w:eastAsiaTheme="minorHAnsi"/>
          <w:color w:val="4F81BD" w:themeColor="accent1"/>
        </w:rPr>
      </w:pPr>
      <w:r w:rsidRPr="00F439FB">
        <w:rPr>
          <w:rFonts w:eastAsiaTheme="minorHAnsi"/>
          <w:color w:val="4F81BD" w:themeColor="accent1"/>
        </w:rPr>
        <w:br w:type="page"/>
      </w:r>
    </w:p>
    <w:p w14:paraId="11EA90AC" w14:textId="678E56EA" w:rsidR="00315285" w:rsidRPr="00FF1F90" w:rsidRDefault="00F352CD" w:rsidP="00B9528B">
      <w:pPr>
        <w:pStyle w:val="Heading3"/>
      </w:pPr>
      <w:bookmarkStart w:id="254" w:name="_Toc437424411"/>
      <w:bookmarkStart w:id="255" w:name="_Toc437424535"/>
      <w:bookmarkStart w:id="256" w:name="_Toc437432466"/>
      <w:bookmarkStart w:id="257" w:name="_Toc437432539"/>
      <w:bookmarkStart w:id="258" w:name="_Toc493153333"/>
      <w:r w:rsidRPr="00FF1F90">
        <w:t>5</w:t>
      </w:r>
      <w:r w:rsidR="002A28EE" w:rsidRPr="00FF1F90">
        <w:t>.</w:t>
      </w:r>
      <w:r w:rsidR="00BD49B5">
        <w:t>2.6</w:t>
      </w:r>
      <w:r w:rsidR="00A803D4">
        <w:t xml:space="preserve"> </w:t>
      </w:r>
      <w:r w:rsidR="00DB0747" w:rsidRPr="00FF1F90">
        <w:t>Fitzroy Region</w:t>
      </w:r>
      <w:bookmarkEnd w:id="254"/>
      <w:bookmarkEnd w:id="255"/>
      <w:bookmarkEnd w:id="256"/>
      <w:bookmarkEnd w:id="257"/>
      <w:bookmarkEnd w:id="258"/>
      <w:r w:rsidR="00DB0747" w:rsidRPr="00FF1F90">
        <w:t xml:space="preserve"> </w:t>
      </w:r>
    </w:p>
    <w:p w14:paraId="11EA90AD" w14:textId="7F02E31D" w:rsidR="00437C5A" w:rsidRDefault="00437C5A" w:rsidP="00D93815">
      <w:pPr>
        <w:rPr>
          <w:rFonts w:cs="Arial"/>
        </w:rPr>
      </w:pPr>
      <w:r w:rsidRPr="00677BF0">
        <w:rPr>
          <w:rFonts w:cs="Arial"/>
        </w:rPr>
        <w:t>In 2016</w:t>
      </w:r>
      <w:r>
        <w:rPr>
          <w:rFonts w:cs="Arial"/>
        </w:rPr>
        <w:t xml:space="preserve"> the coral index </w:t>
      </w:r>
      <w:r w:rsidR="005E3632">
        <w:rPr>
          <w:rFonts w:cs="Arial"/>
        </w:rPr>
        <w:t>remained</w:t>
      </w:r>
      <w:r>
        <w:rPr>
          <w:rFonts w:cs="Arial"/>
        </w:rPr>
        <w:t xml:space="preserve"> ‘poor’</w:t>
      </w:r>
      <w:r w:rsidRPr="00677BF0">
        <w:rPr>
          <w:rFonts w:cs="Arial"/>
        </w:rPr>
        <w:t xml:space="preserve"> </w:t>
      </w:r>
      <w:r>
        <w:rPr>
          <w:rFonts w:cs="Arial"/>
        </w:rPr>
        <w:t>having</w:t>
      </w:r>
      <w:r w:rsidRPr="00677BF0">
        <w:rPr>
          <w:rFonts w:cs="Arial"/>
        </w:rPr>
        <w:t xml:space="preserve"> improved from ‘very poor’</w:t>
      </w:r>
      <w:r w:rsidR="007C55EA" w:rsidRPr="007C55EA">
        <w:rPr>
          <w:rFonts w:cs="Arial"/>
        </w:rPr>
        <w:t xml:space="preserve"> </w:t>
      </w:r>
      <w:r w:rsidR="007C55EA" w:rsidRPr="00677BF0">
        <w:rPr>
          <w:rFonts w:cs="Arial"/>
        </w:rPr>
        <w:t>in 201</w:t>
      </w:r>
      <w:r w:rsidR="00423595">
        <w:rPr>
          <w:rFonts w:cs="Arial"/>
        </w:rPr>
        <w:t>4</w:t>
      </w:r>
      <w:r w:rsidR="005E3632">
        <w:rPr>
          <w:rFonts w:cs="Arial"/>
        </w:rPr>
        <w:t xml:space="preserve"> (</w:t>
      </w:r>
      <w:r w:rsidR="00FC0E84">
        <w:rPr>
          <w:rFonts w:cs="Arial"/>
        </w:rPr>
        <w:fldChar w:fldCharType="begin"/>
      </w:r>
      <w:r w:rsidR="00FC0E84">
        <w:rPr>
          <w:rFonts w:cs="Arial"/>
        </w:rPr>
        <w:instrText xml:space="preserve"> REF _Ref491345107 \h </w:instrText>
      </w:r>
      <w:r w:rsidR="00FC0E84">
        <w:rPr>
          <w:rFonts w:cs="Arial"/>
        </w:rPr>
      </w:r>
      <w:r w:rsidR="00FC0E84">
        <w:rPr>
          <w:rFonts w:cs="Arial"/>
        </w:rPr>
        <w:fldChar w:fldCharType="separate"/>
      </w:r>
      <w:r w:rsidR="00D806F2">
        <w:t xml:space="preserve">Table </w:t>
      </w:r>
      <w:r w:rsidR="00D806F2">
        <w:rPr>
          <w:noProof/>
        </w:rPr>
        <w:t>15</w:t>
      </w:r>
      <w:r w:rsidR="00FC0E84">
        <w:rPr>
          <w:rFonts w:cs="Arial"/>
        </w:rPr>
        <w:fldChar w:fldCharType="end"/>
      </w:r>
      <w:r w:rsidR="00FC0E84">
        <w:rPr>
          <w:rFonts w:cs="Arial"/>
        </w:rPr>
        <w:t xml:space="preserve">, </w:t>
      </w:r>
      <w:r w:rsidR="00FC0E84">
        <w:rPr>
          <w:rFonts w:cs="Arial"/>
        </w:rPr>
        <w:fldChar w:fldCharType="begin"/>
      </w:r>
      <w:r w:rsidR="00FC0E84">
        <w:rPr>
          <w:rFonts w:cs="Arial"/>
        </w:rPr>
        <w:instrText xml:space="preserve"> REF _Ref491345128 \h </w:instrText>
      </w:r>
      <w:r w:rsidR="00FC0E84">
        <w:rPr>
          <w:rFonts w:cs="Arial"/>
        </w:rPr>
      </w:r>
      <w:r w:rsidR="00FC0E84">
        <w:rPr>
          <w:rFonts w:cs="Arial"/>
        </w:rPr>
        <w:fldChar w:fldCharType="separate"/>
      </w:r>
      <w:r w:rsidR="00D806F2">
        <w:t xml:space="preserve">Figure </w:t>
      </w:r>
      <w:r w:rsidR="00D806F2">
        <w:rPr>
          <w:noProof/>
        </w:rPr>
        <w:t>23</w:t>
      </w:r>
      <w:r w:rsidR="00FC0E84">
        <w:rPr>
          <w:rFonts w:cs="Arial"/>
        </w:rPr>
        <w:fldChar w:fldCharType="end"/>
      </w:r>
      <w:r w:rsidR="00FC0E84">
        <w:rPr>
          <w:rFonts w:cs="Arial"/>
        </w:rPr>
        <w:t>a</w:t>
      </w:r>
      <w:r w:rsidR="005E3632">
        <w:rPr>
          <w:rFonts w:cs="Arial"/>
        </w:rPr>
        <w:t>)</w:t>
      </w:r>
      <w:r w:rsidR="00423595">
        <w:rPr>
          <w:rFonts w:cs="Arial"/>
        </w:rPr>
        <w:t xml:space="preserve">. </w:t>
      </w:r>
      <w:r w:rsidR="005E3632">
        <w:rPr>
          <w:rFonts w:cs="Arial"/>
        </w:rPr>
        <w:t>Improvement in the index score was most evident at 2</w:t>
      </w:r>
      <w:r w:rsidR="00FC0E84">
        <w:rPr>
          <w:rFonts w:cs="Arial"/>
        </w:rPr>
        <w:t xml:space="preserve"> </w:t>
      </w:r>
      <w:r w:rsidR="005E3632">
        <w:rPr>
          <w:rFonts w:cs="Arial"/>
        </w:rPr>
        <w:t>m depth where</w:t>
      </w:r>
      <w:r w:rsidR="00377445">
        <w:rPr>
          <w:rFonts w:cs="Arial"/>
        </w:rPr>
        <w:t>,</w:t>
      </w:r>
      <w:r w:rsidR="005E3632">
        <w:rPr>
          <w:rFonts w:cs="Arial"/>
        </w:rPr>
        <w:t xml:space="preserve"> in addition to improved scores for the Cover Change metric</w:t>
      </w:r>
      <w:r w:rsidR="008F1BE2">
        <w:rPr>
          <w:rFonts w:cs="Arial"/>
        </w:rPr>
        <w:t xml:space="preserve"> </w:t>
      </w:r>
      <w:r w:rsidR="005E3632">
        <w:rPr>
          <w:rFonts w:cs="Arial"/>
        </w:rPr>
        <w:t>at both 2</w:t>
      </w:r>
      <w:r w:rsidR="00FC0E84">
        <w:rPr>
          <w:rFonts w:cs="Arial"/>
        </w:rPr>
        <w:t xml:space="preserve"> </w:t>
      </w:r>
      <w:r w:rsidR="005E3632">
        <w:rPr>
          <w:rFonts w:cs="Arial"/>
        </w:rPr>
        <w:t>m and 5</w:t>
      </w:r>
      <w:r w:rsidR="00FC0E84">
        <w:rPr>
          <w:rFonts w:cs="Arial"/>
        </w:rPr>
        <w:t xml:space="preserve"> </w:t>
      </w:r>
      <w:r w:rsidR="005E3632">
        <w:rPr>
          <w:rFonts w:cs="Arial"/>
        </w:rPr>
        <w:t xml:space="preserve">m depths, the </w:t>
      </w:r>
      <w:r w:rsidR="00FC0E84">
        <w:rPr>
          <w:rFonts w:cs="Arial"/>
        </w:rPr>
        <w:t>Juvenile metric also improved</w:t>
      </w:r>
      <w:r w:rsidR="005E3632">
        <w:rPr>
          <w:rFonts w:cs="Arial"/>
        </w:rPr>
        <w:t xml:space="preserve"> (</w:t>
      </w:r>
      <w:r w:rsidR="00FC0E84">
        <w:rPr>
          <w:rFonts w:cs="Arial"/>
        </w:rPr>
        <w:fldChar w:fldCharType="begin"/>
      </w:r>
      <w:r w:rsidR="00FC0E84">
        <w:rPr>
          <w:rFonts w:cs="Arial"/>
        </w:rPr>
        <w:instrText xml:space="preserve"> REF _Ref491345107 \h </w:instrText>
      </w:r>
      <w:r w:rsidR="00FC0E84">
        <w:rPr>
          <w:rFonts w:cs="Arial"/>
        </w:rPr>
      </w:r>
      <w:r w:rsidR="00FC0E84">
        <w:rPr>
          <w:rFonts w:cs="Arial"/>
        </w:rPr>
        <w:fldChar w:fldCharType="separate"/>
      </w:r>
      <w:r w:rsidR="00D806F2">
        <w:t xml:space="preserve">Table </w:t>
      </w:r>
      <w:r w:rsidR="00D806F2">
        <w:rPr>
          <w:noProof/>
        </w:rPr>
        <w:t>15</w:t>
      </w:r>
      <w:r w:rsidR="00FC0E84">
        <w:rPr>
          <w:rFonts w:cs="Arial"/>
        </w:rPr>
        <w:fldChar w:fldCharType="end"/>
      </w:r>
      <w:r w:rsidR="005E3632">
        <w:rPr>
          <w:rFonts w:cs="Arial"/>
        </w:rPr>
        <w:t>)</w:t>
      </w:r>
      <w:r w:rsidR="00377445">
        <w:rPr>
          <w:rFonts w:cs="Arial"/>
        </w:rPr>
        <w:t>. The improvement in the coral index</w:t>
      </w:r>
      <w:r w:rsidR="00613FCC">
        <w:rPr>
          <w:rFonts w:cs="Arial"/>
        </w:rPr>
        <w:t xml:space="preserve"> is</w:t>
      </w:r>
      <w:r w:rsidRPr="00677BF0">
        <w:rPr>
          <w:rFonts w:cs="Arial"/>
        </w:rPr>
        <w:t xml:space="preserve"> the first indication that </w:t>
      </w:r>
      <w:r w:rsidR="00613FCC">
        <w:rPr>
          <w:rFonts w:cs="Arial"/>
        </w:rPr>
        <w:t xml:space="preserve">coral communities are </w:t>
      </w:r>
      <w:r w:rsidRPr="00677BF0">
        <w:rPr>
          <w:rFonts w:cs="Arial"/>
        </w:rPr>
        <w:t>recover</w:t>
      </w:r>
      <w:r w:rsidR="00613FCC">
        <w:rPr>
          <w:rFonts w:cs="Arial"/>
        </w:rPr>
        <w:t xml:space="preserve">ing </w:t>
      </w:r>
      <w:r w:rsidRPr="00677BF0">
        <w:rPr>
          <w:rFonts w:cs="Arial"/>
        </w:rPr>
        <w:t>following an</w:t>
      </w:r>
      <w:r>
        <w:rPr>
          <w:rFonts w:cs="Arial"/>
        </w:rPr>
        <w:t xml:space="preserve"> extended period of</w:t>
      </w:r>
      <w:r w:rsidRPr="00677BF0">
        <w:rPr>
          <w:rFonts w:cs="Arial"/>
        </w:rPr>
        <w:t xml:space="preserve"> </w:t>
      </w:r>
      <w:r w:rsidR="00FC0E84">
        <w:rPr>
          <w:rFonts w:cs="Arial"/>
        </w:rPr>
        <w:t xml:space="preserve">cumulative pressures associated with acute </w:t>
      </w:r>
      <w:r w:rsidRPr="00677BF0">
        <w:rPr>
          <w:rFonts w:cs="Arial"/>
        </w:rPr>
        <w:t>disturbances</w:t>
      </w:r>
      <w:r>
        <w:rPr>
          <w:rFonts w:cs="Arial"/>
        </w:rPr>
        <w:t xml:space="preserve"> and high discharge from the adjacent catchment </w:t>
      </w:r>
      <w:r w:rsidR="00FC0E84">
        <w:rPr>
          <w:rFonts w:cs="Arial"/>
        </w:rPr>
        <w:t>(</w:t>
      </w:r>
      <w:r w:rsidR="00FC0E84">
        <w:rPr>
          <w:rFonts w:cs="Arial"/>
        </w:rPr>
        <w:fldChar w:fldCharType="begin"/>
      </w:r>
      <w:r w:rsidR="00FC0E84">
        <w:rPr>
          <w:rFonts w:cs="Arial"/>
        </w:rPr>
        <w:instrText xml:space="preserve"> REF _Ref491345321 \h </w:instrText>
      </w:r>
      <w:r w:rsidR="00FC0E84">
        <w:rPr>
          <w:rFonts w:cs="Arial"/>
        </w:rPr>
      </w:r>
      <w:r w:rsidR="00FC0E84">
        <w:rPr>
          <w:rFonts w:cs="Arial"/>
        </w:rPr>
        <w:fldChar w:fldCharType="separate"/>
      </w:r>
      <w:r w:rsidR="00D806F2">
        <w:t xml:space="preserve">Figure </w:t>
      </w:r>
      <w:r w:rsidR="00D806F2">
        <w:rPr>
          <w:noProof/>
        </w:rPr>
        <w:t>22</w:t>
      </w:r>
      <w:r w:rsidR="00FC0E84">
        <w:rPr>
          <w:rFonts w:cs="Arial"/>
        </w:rPr>
        <w:fldChar w:fldCharType="end"/>
      </w:r>
      <w:r w:rsidR="00FC0E84">
        <w:rPr>
          <w:rFonts w:cs="Arial"/>
        </w:rPr>
        <w:t>c-e</w:t>
      </w:r>
      <w:r>
        <w:rPr>
          <w:rFonts w:cs="Arial"/>
        </w:rPr>
        <w:t>)</w:t>
      </w:r>
      <w:r w:rsidRPr="00677BF0">
        <w:rPr>
          <w:rFonts w:cs="Arial"/>
        </w:rPr>
        <w:t xml:space="preserve">. </w:t>
      </w:r>
      <w:r w:rsidR="00613FCC">
        <w:rPr>
          <w:rFonts w:cs="Arial"/>
        </w:rPr>
        <w:t>The discrepancy between improved scores for the Coral Change metric and no change in Coral Cover scores (</w:t>
      </w:r>
      <w:r w:rsidR="008E3627">
        <w:rPr>
          <w:rFonts w:cs="Arial"/>
        </w:rPr>
        <w:fldChar w:fldCharType="begin"/>
      </w:r>
      <w:r w:rsidR="008E3627">
        <w:rPr>
          <w:rFonts w:cs="Arial"/>
        </w:rPr>
        <w:instrText xml:space="preserve"> REF _Ref491345107 \h </w:instrText>
      </w:r>
      <w:r w:rsidR="008E3627">
        <w:rPr>
          <w:rFonts w:cs="Arial"/>
        </w:rPr>
      </w:r>
      <w:r w:rsidR="008E3627">
        <w:rPr>
          <w:rFonts w:cs="Arial"/>
        </w:rPr>
        <w:fldChar w:fldCharType="separate"/>
      </w:r>
      <w:r w:rsidR="00D806F2">
        <w:t xml:space="preserve">Table </w:t>
      </w:r>
      <w:r w:rsidR="00D806F2">
        <w:rPr>
          <w:noProof/>
        </w:rPr>
        <w:t>15</w:t>
      </w:r>
      <w:r w:rsidR="008E3627">
        <w:rPr>
          <w:rFonts w:cs="Arial"/>
        </w:rPr>
        <w:fldChar w:fldCharType="end"/>
      </w:r>
      <w:r w:rsidR="00613FCC">
        <w:rPr>
          <w:rFonts w:cs="Arial"/>
        </w:rPr>
        <w:t xml:space="preserve">) occurs as a result of the </w:t>
      </w:r>
      <w:r w:rsidR="008E3627">
        <w:rPr>
          <w:rFonts w:cs="Arial"/>
        </w:rPr>
        <w:t>variable r</w:t>
      </w:r>
      <w:r w:rsidR="004A0FD4">
        <w:rPr>
          <w:rFonts w:cs="Arial"/>
        </w:rPr>
        <w:t xml:space="preserve">eductions in coral cover that occurred in 2015 as a result of </w:t>
      </w:r>
      <w:r w:rsidR="00613FCC">
        <w:rPr>
          <w:rFonts w:cs="Arial"/>
        </w:rPr>
        <w:t>Cyclone Marcia (</w:t>
      </w:r>
      <w:r w:rsidR="008E3627">
        <w:rPr>
          <w:rFonts w:cs="Arial"/>
        </w:rPr>
        <w:fldChar w:fldCharType="begin"/>
      </w:r>
      <w:r w:rsidR="008E3627">
        <w:rPr>
          <w:rFonts w:cs="Arial"/>
        </w:rPr>
        <w:instrText xml:space="preserve"> REF _Ref491345321 \h </w:instrText>
      </w:r>
      <w:r w:rsidR="008E3627">
        <w:rPr>
          <w:rFonts w:cs="Arial"/>
        </w:rPr>
      </w:r>
      <w:r w:rsidR="008E3627">
        <w:rPr>
          <w:rFonts w:cs="Arial"/>
        </w:rPr>
        <w:fldChar w:fldCharType="separate"/>
      </w:r>
      <w:r w:rsidR="00D806F2">
        <w:t xml:space="preserve">Figure </w:t>
      </w:r>
      <w:r w:rsidR="00D806F2">
        <w:rPr>
          <w:noProof/>
        </w:rPr>
        <w:t>22</w:t>
      </w:r>
      <w:r w:rsidR="008E3627">
        <w:rPr>
          <w:rFonts w:cs="Arial"/>
        </w:rPr>
        <w:fldChar w:fldCharType="end"/>
      </w:r>
      <w:r w:rsidR="004A0FD4">
        <w:rPr>
          <w:rFonts w:cs="Arial"/>
        </w:rPr>
        <w:t xml:space="preserve">e, </w:t>
      </w:r>
      <w:r w:rsidR="008E3627">
        <w:rPr>
          <w:rFonts w:cs="Arial"/>
        </w:rPr>
        <w:fldChar w:fldCharType="begin"/>
      </w:r>
      <w:r w:rsidR="008E3627">
        <w:rPr>
          <w:rFonts w:cs="Arial"/>
        </w:rPr>
        <w:instrText xml:space="preserve"> REF _Ref491345128 \h </w:instrText>
      </w:r>
      <w:r w:rsidR="008E3627">
        <w:rPr>
          <w:rFonts w:cs="Arial"/>
        </w:rPr>
      </w:r>
      <w:r w:rsidR="008E3627">
        <w:rPr>
          <w:rFonts w:cs="Arial"/>
        </w:rPr>
        <w:fldChar w:fldCharType="separate"/>
      </w:r>
      <w:r w:rsidR="00D806F2">
        <w:t xml:space="preserve">Figure </w:t>
      </w:r>
      <w:r w:rsidR="00D806F2">
        <w:rPr>
          <w:noProof/>
        </w:rPr>
        <w:t>23</w:t>
      </w:r>
      <w:r w:rsidR="008E3627">
        <w:rPr>
          <w:rFonts w:cs="Arial"/>
        </w:rPr>
        <w:fldChar w:fldCharType="end"/>
      </w:r>
      <w:r w:rsidR="004A0FD4">
        <w:rPr>
          <w:rFonts w:cs="Arial"/>
        </w:rPr>
        <w:t>b)</w:t>
      </w:r>
      <w:r w:rsidR="00457F7A">
        <w:rPr>
          <w:rFonts w:cs="Arial"/>
        </w:rPr>
        <w:t xml:space="preserve">. </w:t>
      </w:r>
      <w:r w:rsidR="00571A81">
        <w:rPr>
          <w:rFonts w:cs="Arial"/>
        </w:rPr>
        <w:t xml:space="preserve">A high proportion </w:t>
      </w:r>
      <w:r w:rsidR="008E3627">
        <w:rPr>
          <w:rFonts w:cs="Arial"/>
        </w:rPr>
        <w:t>o</w:t>
      </w:r>
      <w:r w:rsidR="00571A81">
        <w:rPr>
          <w:rFonts w:cs="Arial"/>
        </w:rPr>
        <w:t xml:space="preserve">f macroalgae amongst </w:t>
      </w:r>
      <w:r w:rsidR="008E3627">
        <w:rPr>
          <w:rFonts w:cs="Arial"/>
        </w:rPr>
        <w:t>t</w:t>
      </w:r>
      <w:r w:rsidR="00571A81">
        <w:rPr>
          <w:rFonts w:cs="Arial"/>
        </w:rPr>
        <w:t>he algal community continues to suppress the coral index</w:t>
      </w:r>
      <w:r w:rsidR="008E3627">
        <w:rPr>
          <w:rFonts w:cs="Arial"/>
        </w:rPr>
        <w:t>. With the exception of Barren 2 m,</w:t>
      </w:r>
      <w:r w:rsidR="00571A81">
        <w:rPr>
          <w:rFonts w:cs="Arial"/>
        </w:rPr>
        <w:t xml:space="preserve"> all reef and depth combinations </w:t>
      </w:r>
      <w:r w:rsidR="008E3627">
        <w:rPr>
          <w:rFonts w:cs="Arial"/>
        </w:rPr>
        <w:t xml:space="preserve">returned Macroalgae metric scores of zero </w:t>
      </w:r>
      <w:r w:rsidR="00571A81">
        <w:rPr>
          <w:rFonts w:cs="Arial"/>
        </w:rPr>
        <w:t>in 2016 (</w:t>
      </w:r>
      <w:r w:rsidR="008E3627">
        <w:rPr>
          <w:rFonts w:cs="Arial"/>
        </w:rPr>
        <w:fldChar w:fldCharType="begin"/>
      </w:r>
      <w:r w:rsidR="008E3627">
        <w:rPr>
          <w:rFonts w:cs="Arial"/>
        </w:rPr>
        <w:instrText xml:space="preserve"> REF _Ref491182085 \h </w:instrText>
      </w:r>
      <w:r w:rsidR="008E3627">
        <w:rPr>
          <w:rFonts w:cs="Arial"/>
        </w:rPr>
      </w:r>
      <w:r w:rsidR="008E3627">
        <w:rPr>
          <w:rFonts w:cs="Arial"/>
        </w:rPr>
        <w:fldChar w:fldCharType="separate"/>
      </w:r>
      <w:r w:rsidR="00D806F2">
        <w:t xml:space="preserve">Table A1. </w:t>
      </w:r>
      <w:r w:rsidR="00D806F2">
        <w:rPr>
          <w:noProof/>
        </w:rPr>
        <w:t>5</w:t>
      </w:r>
      <w:r w:rsidR="008E3627">
        <w:rPr>
          <w:rFonts w:cs="Arial"/>
        </w:rPr>
        <w:fldChar w:fldCharType="end"/>
      </w:r>
      <w:r w:rsidR="00571A81">
        <w:rPr>
          <w:rFonts w:cs="Arial"/>
        </w:rPr>
        <w:t>)</w:t>
      </w:r>
    </w:p>
    <w:p w14:paraId="1003A487" w14:textId="23D04EA8" w:rsidR="0000691A" w:rsidRDefault="007A50AB" w:rsidP="007A50AB">
      <w:pPr>
        <w:pStyle w:val="Caption"/>
      </w:pPr>
      <w:bookmarkStart w:id="259" w:name="_Ref491345107"/>
      <w:bookmarkStart w:id="260" w:name="_Toc491847034"/>
      <w:r>
        <w:t xml:space="preserve">Table </w:t>
      </w:r>
      <w:r>
        <w:fldChar w:fldCharType="begin"/>
      </w:r>
      <w:r>
        <w:instrText xml:space="preserve"> SEQ Table \* ARABIC </w:instrText>
      </w:r>
      <w:r>
        <w:fldChar w:fldCharType="separate"/>
      </w:r>
      <w:r w:rsidR="00D806F2">
        <w:rPr>
          <w:noProof/>
        </w:rPr>
        <w:t>15</w:t>
      </w:r>
      <w:r>
        <w:fldChar w:fldCharType="end"/>
      </w:r>
      <w:bookmarkEnd w:id="259"/>
      <w:r>
        <w:t xml:space="preserve"> </w:t>
      </w:r>
      <w:r w:rsidRPr="00E1013D">
        <w:t>Pair-wise comparison between index and metric scores in the Fitzroy Region.</w:t>
      </w:r>
      <w:r w:rsidR="0000691A">
        <w:t xml:space="preserve"> Data compare the changes in scores between local maxima and minima in the index time-series. For the index, and each metric,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260"/>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4"/>
        <w:gridCol w:w="350"/>
        <w:gridCol w:w="625"/>
        <w:gridCol w:w="625"/>
        <w:gridCol w:w="625"/>
        <w:gridCol w:w="625"/>
        <w:gridCol w:w="625"/>
        <w:gridCol w:w="626"/>
        <w:gridCol w:w="625"/>
        <w:gridCol w:w="625"/>
        <w:gridCol w:w="625"/>
        <w:gridCol w:w="625"/>
        <w:gridCol w:w="625"/>
        <w:gridCol w:w="626"/>
      </w:tblGrid>
      <w:tr w:rsidR="002A3B0E" w:rsidRPr="000E340E" w14:paraId="4139DC9B" w14:textId="77777777" w:rsidTr="00084D7B">
        <w:trPr>
          <w:trHeight w:val="300"/>
        </w:trPr>
        <w:tc>
          <w:tcPr>
            <w:tcW w:w="1074" w:type="dxa"/>
            <w:vMerge w:val="restart"/>
            <w:shd w:val="clear" w:color="auto" w:fill="auto"/>
            <w:noWrap/>
            <w:tcMar>
              <w:left w:w="57" w:type="dxa"/>
              <w:right w:w="57" w:type="dxa"/>
            </w:tcMar>
            <w:vAlign w:val="bottom"/>
            <w:hideMark/>
          </w:tcPr>
          <w:p w14:paraId="72ED10C6" w14:textId="77777777" w:rsidR="002A3B0E" w:rsidRPr="000E340E" w:rsidRDefault="002A3B0E" w:rsidP="00084D7B">
            <w:pPr>
              <w:spacing w:after="0"/>
              <w:jc w:val="left"/>
              <w:rPr>
                <w:rFonts w:ascii="Arial Narrow" w:hAnsi="Arial Narrow"/>
                <w:sz w:val="20"/>
                <w:lang w:eastAsia="en-AU"/>
              </w:rPr>
            </w:pPr>
            <w:r w:rsidRPr="000E340E">
              <w:rPr>
                <w:rFonts w:ascii="Arial Narrow" w:hAnsi="Arial Narrow"/>
                <w:color w:val="000000"/>
                <w:sz w:val="20"/>
                <w:lang w:eastAsia="en-AU"/>
              </w:rPr>
              <w:t>Period</w:t>
            </w:r>
          </w:p>
        </w:tc>
        <w:tc>
          <w:tcPr>
            <w:tcW w:w="350" w:type="dxa"/>
            <w:vMerge w:val="restart"/>
            <w:shd w:val="clear" w:color="auto" w:fill="auto"/>
            <w:noWrap/>
            <w:tcMar>
              <w:left w:w="57" w:type="dxa"/>
              <w:right w:w="57" w:type="dxa"/>
            </w:tcMar>
            <w:textDirection w:val="btLr"/>
            <w:vAlign w:val="bottom"/>
            <w:hideMark/>
          </w:tcPr>
          <w:p w14:paraId="0BA983DA" w14:textId="77777777" w:rsidR="002A3B0E" w:rsidRPr="000E340E" w:rsidRDefault="002A3B0E" w:rsidP="00084D7B">
            <w:pPr>
              <w:spacing w:after="0"/>
              <w:ind w:left="113" w:right="113"/>
              <w:jc w:val="center"/>
              <w:rPr>
                <w:rFonts w:ascii="Arial Narrow" w:hAnsi="Arial Narrow"/>
                <w:sz w:val="20"/>
                <w:lang w:eastAsia="en-AU"/>
              </w:rPr>
            </w:pPr>
            <w:r w:rsidRPr="000E340E">
              <w:rPr>
                <w:rFonts w:ascii="Arial Narrow" w:hAnsi="Arial Narrow"/>
                <w:color w:val="000000"/>
                <w:sz w:val="20"/>
                <w:lang w:eastAsia="en-AU"/>
              </w:rPr>
              <w:t>Depth</w:t>
            </w:r>
          </w:p>
        </w:tc>
        <w:tc>
          <w:tcPr>
            <w:tcW w:w="1250" w:type="dxa"/>
            <w:gridSpan w:val="2"/>
            <w:shd w:val="clear" w:color="auto" w:fill="auto"/>
            <w:noWrap/>
            <w:tcMar>
              <w:left w:w="57" w:type="dxa"/>
              <w:right w:w="57" w:type="dxa"/>
            </w:tcMar>
            <w:vAlign w:val="bottom"/>
            <w:hideMark/>
          </w:tcPr>
          <w:p w14:paraId="013408DB" w14:textId="77777777" w:rsidR="002A3B0E" w:rsidRPr="000E340E" w:rsidRDefault="002A3B0E"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Index</w:t>
            </w:r>
          </w:p>
        </w:tc>
        <w:tc>
          <w:tcPr>
            <w:tcW w:w="1250" w:type="dxa"/>
            <w:gridSpan w:val="2"/>
            <w:shd w:val="clear" w:color="auto" w:fill="auto"/>
            <w:noWrap/>
            <w:tcMar>
              <w:left w:w="57" w:type="dxa"/>
              <w:right w:w="57" w:type="dxa"/>
            </w:tcMar>
            <w:vAlign w:val="bottom"/>
            <w:hideMark/>
          </w:tcPr>
          <w:p w14:paraId="4444780D" w14:textId="77777777" w:rsidR="002A3B0E" w:rsidRPr="000E340E" w:rsidRDefault="002A3B0E"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Cover Change</w:t>
            </w:r>
          </w:p>
        </w:tc>
        <w:tc>
          <w:tcPr>
            <w:tcW w:w="1251" w:type="dxa"/>
            <w:gridSpan w:val="2"/>
            <w:shd w:val="clear" w:color="auto" w:fill="auto"/>
            <w:noWrap/>
            <w:tcMar>
              <w:left w:w="57" w:type="dxa"/>
              <w:right w:w="57" w:type="dxa"/>
            </w:tcMar>
            <w:vAlign w:val="bottom"/>
            <w:hideMark/>
          </w:tcPr>
          <w:p w14:paraId="11BE50EF" w14:textId="77777777" w:rsidR="002A3B0E" w:rsidRPr="000E340E" w:rsidRDefault="002A3B0E"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Composition</w:t>
            </w:r>
          </w:p>
        </w:tc>
        <w:tc>
          <w:tcPr>
            <w:tcW w:w="1250" w:type="dxa"/>
            <w:gridSpan w:val="2"/>
            <w:shd w:val="clear" w:color="auto" w:fill="auto"/>
            <w:noWrap/>
            <w:tcMar>
              <w:left w:w="57" w:type="dxa"/>
              <w:right w:w="57" w:type="dxa"/>
            </w:tcMar>
            <w:vAlign w:val="bottom"/>
            <w:hideMark/>
          </w:tcPr>
          <w:p w14:paraId="4D33A755" w14:textId="77777777" w:rsidR="002A3B0E" w:rsidRPr="000E340E" w:rsidRDefault="002A3B0E"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Coral Cover</w:t>
            </w:r>
          </w:p>
        </w:tc>
        <w:tc>
          <w:tcPr>
            <w:tcW w:w="1250" w:type="dxa"/>
            <w:gridSpan w:val="2"/>
            <w:shd w:val="clear" w:color="auto" w:fill="auto"/>
            <w:noWrap/>
            <w:tcMar>
              <w:left w:w="57" w:type="dxa"/>
              <w:right w:w="57" w:type="dxa"/>
            </w:tcMar>
            <w:vAlign w:val="bottom"/>
            <w:hideMark/>
          </w:tcPr>
          <w:p w14:paraId="51A73ECC" w14:textId="099B5B5C" w:rsidR="002A3B0E" w:rsidRPr="000E340E" w:rsidRDefault="002A3B0E"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Juvenile</w:t>
            </w:r>
          </w:p>
        </w:tc>
        <w:tc>
          <w:tcPr>
            <w:tcW w:w="1251" w:type="dxa"/>
            <w:gridSpan w:val="2"/>
            <w:shd w:val="clear" w:color="auto" w:fill="auto"/>
            <w:noWrap/>
            <w:tcMar>
              <w:left w:w="57" w:type="dxa"/>
              <w:right w:w="57" w:type="dxa"/>
            </w:tcMar>
            <w:vAlign w:val="bottom"/>
            <w:hideMark/>
          </w:tcPr>
          <w:p w14:paraId="1820E690" w14:textId="77777777" w:rsidR="002A3B0E" w:rsidRPr="000E340E" w:rsidRDefault="002A3B0E" w:rsidP="00C31328">
            <w:pPr>
              <w:spacing w:after="0"/>
              <w:jc w:val="center"/>
              <w:rPr>
                <w:rFonts w:ascii="Arial Narrow" w:hAnsi="Arial Narrow"/>
                <w:color w:val="000000"/>
                <w:sz w:val="20"/>
                <w:lang w:eastAsia="en-AU"/>
              </w:rPr>
            </w:pPr>
            <w:r w:rsidRPr="000E340E">
              <w:rPr>
                <w:rFonts w:ascii="Arial Narrow" w:hAnsi="Arial Narrow"/>
                <w:color w:val="000000"/>
                <w:sz w:val="20"/>
                <w:lang w:eastAsia="en-AU"/>
              </w:rPr>
              <w:t>Macroalgae</w:t>
            </w:r>
          </w:p>
        </w:tc>
      </w:tr>
      <w:tr w:rsidR="002A3B0E" w:rsidRPr="000E340E" w14:paraId="0AA769AA" w14:textId="77777777" w:rsidTr="00826E00">
        <w:trPr>
          <w:trHeight w:val="520"/>
        </w:trPr>
        <w:tc>
          <w:tcPr>
            <w:tcW w:w="1074" w:type="dxa"/>
            <w:vMerge/>
            <w:shd w:val="clear" w:color="auto" w:fill="auto"/>
            <w:noWrap/>
            <w:tcMar>
              <w:left w:w="57" w:type="dxa"/>
              <w:right w:w="57" w:type="dxa"/>
            </w:tcMar>
            <w:vAlign w:val="bottom"/>
            <w:hideMark/>
          </w:tcPr>
          <w:p w14:paraId="63D10C49" w14:textId="77777777" w:rsidR="002A3B0E" w:rsidRPr="000E340E" w:rsidRDefault="002A3B0E" w:rsidP="00084D7B">
            <w:pPr>
              <w:spacing w:after="0"/>
              <w:rPr>
                <w:rFonts w:ascii="Arial Narrow" w:hAnsi="Arial Narrow"/>
                <w:color w:val="000000"/>
                <w:sz w:val="20"/>
                <w:lang w:eastAsia="en-AU"/>
              </w:rPr>
            </w:pPr>
          </w:p>
        </w:tc>
        <w:tc>
          <w:tcPr>
            <w:tcW w:w="350" w:type="dxa"/>
            <w:vMerge/>
            <w:shd w:val="clear" w:color="auto" w:fill="auto"/>
            <w:noWrap/>
            <w:tcMar>
              <w:left w:w="57" w:type="dxa"/>
              <w:right w:w="57" w:type="dxa"/>
            </w:tcMar>
            <w:vAlign w:val="bottom"/>
            <w:hideMark/>
          </w:tcPr>
          <w:p w14:paraId="65D12E86" w14:textId="77777777" w:rsidR="002A3B0E" w:rsidRPr="000E340E" w:rsidRDefault="002A3B0E" w:rsidP="00084D7B">
            <w:pPr>
              <w:spacing w:after="0"/>
              <w:jc w:val="center"/>
              <w:rPr>
                <w:rFonts w:ascii="Arial Narrow" w:hAnsi="Arial Narrow"/>
                <w:color w:val="000000"/>
                <w:sz w:val="20"/>
                <w:lang w:eastAsia="en-AU"/>
              </w:rPr>
            </w:pPr>
          </w:p>
        </w:tc>
        <w:tc>
          <w:tcPr>
            <w:tcW w:w="625" w:type="dxa"/>
            <w:tcBorders>
              <w:bottom w:val="single" w:sz="4" w:space="0" w:color="auto"/>
            </w:tcBorders>
            <w:shd w:val="clear" w:color="auto" w:fill="auto"/>
            <w:noWrap/>
            <w:tcMar>
              <w:left w:w="57" w:type="dxa"/>
              <w:right w:w="57" w:type="dxa"/>
            </w:tcMar>
            <w:vAlign w:val="bottom"/>
            <w:hideMark/>
          </w:tcPr>
          <w:p w14:paraId="24F2BB00" w14:textId="77777777" w:rsidR="002A3B0E" w:rsidRPr="000E340E" w:rsidRDefault="002A3B0E" w:rsidP="00084D7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tcBorders>
              <w:bottom w:val="single" w:sz="4" w:space="0" w:color="auto"/>
            </w:tcBorders>
            <w:shd w:val="clear" w:color="auto" w:fill="auto"/>
            <w:noWrap/>
            <w:tcMar>
              <w:left w:w="57" w:type="dxa"/>
              <w:right w:w="57" w:type="dxa"/>
            </w:tcMar>
            <w:vAlign w:val="bottom"/>
            <w:hideMark/>
          </w:tcPr>
          <w:p w14:paraId="0EFCAD32" w14:textId="77777777" w:rsidR="002A3B0E" w:rsidRPr="000E340E" w:rsidRDefault="002A3B0E" w:rsidP="00084D7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tcBorders>
              <w:bottom w:val="single" w:sz="4" w:space="0" w:color="auto"/>
            </w:tcBorders>
            <w:shd w:val="clear" w:color="auto" w:fill="auto"/>
            <w:noWrap/>
            <w:tcMar>
              <w:left w:w="57" w:type="dxa"/>
              <w:right w:w="57" w:type="dxa"/>
            </w:tcMar>
            <w:vAlign w:val="bottom"/>
            <w:hideMark/>
          </w:tcPr>
          <w:p w14:paraId="0E8D0180" w14:textId="77777777" w:rsidR="002A3B0E" w:rsidRPr="000E340E" w:rsidRDefault="002A3B0E" w:rsidP="00084D7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tcBorders>
              <w:bottom w:val="single" w:sz="4" w:space="0" w:color="auto"/>
            </w:tcBorders>
            <w:shd w:val="clear" w:color="auto" w:fill="auto"/>
            <w:noWrap/>
            <w:tcMar>
              <w:left w:w="57" w:type="dxa"/>
              <w:right w:w="57" w:type="dxa"/>
            </w:tcMar>
            <w:vAlign w:val="bottom"/>
            <w:hideMark/>
          </w:tcPr>
          <w:p w14:paraId="527F5707" w14:textId="77777777" w:rsidR="002A3B0E" w:rsidRPr="000E340E" w:rsidRDefault="002A3B0E" w:rsidP="00084D7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tcBorders>
              <w:bottom w:val="single" w:sz="4" w:space="0" w:color="auto"/>
            </w:tcBorders>
            <w:shd w:val="clear" w:color="auto" w:fill="auto"/>
            <w:noWrap/>
            <w:tcMar>
              <w:left w:w="57" w:type="dxa"/>
              <w:right w:w="57" w:type="dxa"/>
            </w:tcMar>
            <w:vAlign w:val="bottom"/>
            <w:hideMark/>
          </w:tcPr>
          <w:p w14:paraId="7A3A84FA" w14:textId="77777777" w:rsidR="002A3B0E" w:rsidRPr="000E340E" w:rsidRDefault="002A3B0E" w:rsidP="00084D7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6" w:type="dxa"/>
            <w:tcBorders>
              <w:bottom w:val="single" w:sz="4" w:space="0" w:color="auto"/>
            </w:tcBorders>
            <w:shd w:val="clear" w:color="auto" w:fill="auto"/>
            <w:noWrap/>
            <w:tcMar>
              <w:left w:w="57" w:type="dxa"/>
              <w:right w:w="57" w:type="dxa"/>
            </w:tcMar>
            <w:vAlign w:val="bottom"/>
            <w:hideMark/>
          </w:tcPr>
          <w:p w14:paraId="320C5811" w14:textId="77777777" w:rsidR="002A3B0E" w:rsidRPr="000E340E" w:rsidRDefault="002A3B0E" w:rsidP="00084D7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tcBorders>
              <w:bottom w:val="single" w:sz="4" w:space="0" w:color="auto"/>
            </w:tcBorders>
            <w:shd w:val="clear" w:color="auto" w:fill="auto"/>
            <w:noWrap/>
            <w:tcMar>
              <w:left w:w="57" w:type="dxa"/>
              <w:right w:w="57" w:type="dxa"/>
            </w:tcMar>
            <w:vAlign w:val="bottom"/>
            <w:hideMark/>
          </w:tcPr>
          <w:p w14:paraId="1E9B57B9" w14:textId="77777777" w:rsidR="002A3B0E" w:rsidRPr="000E340E" w:rsidRDefault="002A3B0E" w:rsidP="00084D7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tcBorders>
              <w:bottom w:val="single" w:sz="4" w:space="0" w:color="auto"/>
            </w:tcBorders>
            <w:shd w:val="clear" w:color="auto" w:fill="auto"/>
            <w:noWrap/>
            <w:tcMar>
              <w:left w:w="57" w:type="dxa"/>
              <w:right w:w="57" w:type="dxa"/>
            </w:tcMar>
            <w:vAlign w:val="bottom"/>
            <w:hideMark/>
          </w:tcPr>
          <w:p w14:paraId="48811BFD" w14:textId="77777777" w:rsidR="002A3B0E" w:rsidRPr="000E340E" w:rsidRDefault="002A3B0E" w:rsidP="00084D7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tcBorders>
              <w:bottom w:val="single" w:sz="4" w:space="0" w:color="auto"/>
            </w:tcBorders>
            <w:shd w:val="clear" w:color="auto" w:fill="auto"/>
            <w:noWrap/>
            <w:tcMar>
              <w:left w:w="57" w:type="dxa"/>
              <w:right w:w="57" w:type="dxa"/>
            </w:tcMar>
            <w:vAlign w:val="bottom"/>
            <w:hideMark/>
          </w:tcPr>
          <w:p w14:paraId="1C1B9334" w14:textId="77777777" w:rsidR="002A3B0E" w:rsidRPr="000E340E" w:rsidRDefault="002A3B0E" w:rsidP="00084D7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tcBorders>
              <w:bottom w:val="single" w:sz="4" w:space="0" w:color="auto"/>
            </w:tcBorders>
            <w:shd w:val="clear" w:color="auto" w:fill="auto"/>
            <w:noWrap/>
            <w:tcMar>
              <w:left w:w="57" w:type="dxa"/>
              <w:right w:w="57" w:type="dxa"/>
            </w:tcMar>
            <w:vAlign w:val="bottom"/>
            <w:hideMark/>
          </w:tcPr>
          <w:p w14:paraId="68EAE0A5" w14:textId="77777777" w:rsidR="002A3B0E" w:rsidRPr="000E340E" w:rsidRDefault="002A3B0E" w:rsidP="00084D7B">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tcBorders>
              <w:bottom w:val="single" w:sz="4" w:space="0" w:color="auto"/>
            </w:tcBorders>
            <w:shd w:val="clear" w:color="auto" w:fill="auto"/>
            <w:noWrap/>
            <w:tcMar>
              <w:left w:w="57" w:type="dxa"/>
              <w:right w:w="57" w:type="dxa"/>
            </w:tcMar>
            <w:vAlign w:val="bottom"/>
            <w:hideMark/>
          </w:tcPr>
          <w:p w14:paraId="15B900F9" w14:textId="77777777" w:rsidR="002A3B0E" w:rsidRPr="000E340E" w:rsidRDefault="002A3B0E" w:rsidP="00084D7B">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6" w:type="dxa"/>
            <w:tcBorders>
              <w:bottom w:val="single" w:sz="4" w:space="0" w:color="auto"/>
            </w:tcBorders>
            <w:shd w:val="clear" w:color="auto" w:fill="auto"/>
            <w:noWrap/>
            <w:tcMar>
              <w:left w:w="57" w:type="dxa"/>
              <w:right w:w="57" w:type="dxa"/>
            </w:tcMar>
            <w:vAlign w:val="bottom"/>
            <w:hideMark/>
          </w:tcPr>
          <w:p w14:paraId="7566FA90" w14:textId="77777777" w:rsidR="002A3B0E" w:rsidRPr="000E340E" w:rsidRDefault="002A3B0E" w:rsidP="00084D7B">
            <w:pPr>
              <w:spacing w:after="0"/>
              <w:rPr>
                <w:rFonts w:ascii="Arial Narrow" w:hAnsi="Arial Narrow"/>
                <w:color w:val="000000"/>
                <w:sz w:val="20"/>
                <w:lang w:eastAsia="en-AU"/>
              </w:rPr>
            </w:pPr>
            <w:r w:rsidRPr="000E340E">
              <w:rPr>
                <w:rFonts w:ascii="Arial Narrow" w:hAnsi="Arial Narrow"/>
                <w:color w:val="000000"/>
                <w:sz w:val="20"/>
                <w:lang w:eastAsia="en-AU"/>
              </w:rPr>
              <w:t>P</w:t>
            </w:r>
          </w:p>
        </w:tc>
      </w:tr>
      <w:tr w:rsidR="00826E00" w:rsidRPr="002A3B0E" w14:paraId="1C8C1B61" w14:textId="77777777" w:rsidTr="00826E00">
        <w:trPr>
          <w:trHeight w:val="300"/>
        </w:trPr>
        <w:tc>
          <w:tcPr>
            <w:tcW w:w="1074" w:type="dxa"/>
            <w:vMerge w:val="restart"/>
            <w:shd w:val="clear" w:color="auto" w:fill="auto"/>
            <w:noWrap/>
            <w:tcMar>
              <w:left w:w="57" w:type="dxa"/>
              <w:right w:w="57" w:type="dxa"/>
            </w:tcMar>
            <w:vAlign w:val="center"/>
            <w:hideMark/>
          </w:tcPr>
          <w:p w14:paraId="538D6244" w14:textId="00297F68" w:rsidR="00826E00" w:rsidRPr="002A3B0E" w:rsidRDefault="00826E00" w:rsidP="00826E00">
            <w:pPr>
              <w:spacing w:after="0"/>
              <w:rPr>
                <w:rStyle w:val="IntenseReference"/>
              </w:rPr>
            </w:pPr>
            <w:r w:rsidRPr="002A3B0E">
              <w:rPr>
                <w:rStyle w:val="IntenseReference"/>
              </w:rPr>
              <w:t>200</w:t>
            </w:r>
            <w:r>
              <w:rPr>
                <w:rStyle w:val="IntenseReference"/>
              </w:rPr>
              <w:t>6</w:t>
            </w:r>
            <w:r w:rsidRPr="002A3B0E">
              <w:rPr>
                <w:rStyle w:val="IntenseReference"/>
              </w:rPr>
              <w:t xml:space="preserve"> to 201</w:t>
            </w:r>
            <w:r>
              <w:rPr>
                <w:rStyle w:val="IntenseReference"/>
              </w:rPr>
              <w:t>4</w:t>
            </w:r>
          </w:p>
        </w:tc>
        <w:tc>
          <w:tcPr>
            <w:tcW w:w="350" w:type="dxa"/>
            <w:shd w:val="clear" w:color="auto" w:fill="auto"/>
            <w:noWrap/>
            <w:tcMar>
              <w:left w:w="57" w:type="dxa"/>
              <w:right w:w="57" w:type="dxa"/>
            </w:tcMar>
            <w:vAlign w:val="center"/>
            <w:hideMark/>
          </w:tcPr>
          <w:p w14:paraId="71FFBDCA" w14:textId="77777777" w:rsidR="00826E00" w:rsidRPr="002A3B0E" w:rsidRDefault="00826E00" w:rsidP="00826E00">
            <w:pPr>
              <w:spacing w:after="0"/>
              <w:jc w:val="center"/>
              <w:rPr>
                <w:rStyle w:val="IntenseReference"/>
              </w:rPr>
            </w:pPr>
            <w:r w:rsidRPr="002A3B0E">
              <w:rPr>
                <w:rStyle w:val="IntenseReference"/>
              </w:rPr>
              <w:t>2</w:t>
            </w:r>
          </w:p>
        </w:tc>
        <w:tc>
          <w:tcPr>
            <w:tcW w:w="625" w:type="dxa"/>
            <w:tcBorders>
              <w:top w:val="single" w:sz="4" w:space="0" w:color="auto"/>
              <w:left w:val="nil"/>
              <w:bottom w:val="single" w:sz="4" w:space="0" w:color="auto"/>
              <w:right w:val="single" w:sz="4" w:space="0" w:color="auto"/>
            </w:tcBorders>
            <w:shd w:val="clear" w:color="000000" w:fill="DA9694"/>
            <w:noWrap/>
            <w:tcMar>
              <w:left w:w="57" w:type="dxa"/>
              <w:right w:w="57" w:type="dxa"/>
            </w:tcMar>
            <w:vAlign w:val="bottom"/>
            <w:hideMark/>
          </w:tcPr>
          <w:p w14:paraId="7B20EE95" w14:textId="03B6C90E" w:rsidR="00826E00" w:rsidRPr="00826E00" w:rsidRDefault="00826E00" w:rsidP="00826E00">
            <w:pPr>
              <w:spacing w:after="0"/>
              <w:jc w:val="right"/>
              <w:rPr>
                <w:rStyle w:val="IntenseReference"/>
              </w:rPr>
            </w:pPr>
            <w:r w:rsidRPr="00826E00">
              <w:rPr>
                <w:rFonts w:ascii="Arial Narrow" w:hAnsi="Arial Narrow"/>
                <w:color w:val="000000"/>
                <w:sz w:val="20"/>
              </w:rPr>
              <w:t>-0.20</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bottom"/>
            <w:hideMark/>
          </w:tcPr>
          <w:p w14:paraId="396DC23D" w14:textId="164BD0E4" w:rsidR="00826E00" w:rsidRPr="00826E00" w:rsidRDefault="00826E00" w:rsidP="00826E00">
            <w:pPr>
              <w:spacing w:after="0"/>
              <w:jc w:val="right"/>
              <w:rPr>
                <w:rStyle w:val="IntenseReference"/>
              </w:rPr>
            </w:pPr>
            <w:r w:rsidRPr="00826E00">
              <w:rPr>
                <w:rFonts w:ascii="Arial Narrow" w:hAnsi="Arial Narrow"/>
                <w:color w:val="000000"/>
                <w:sz w:val="20"/>
              </w:rPr>
              <w:t>0.96</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bottom"/>
            <w:hideMark/>
          </w:tcPr>
          <w:p w14:paraId="42C17E98" w14:textId="75997425" w:rsidR="00826E00" w:rsidRPr="00826E00" w:rsidRDefault="00826E00" w:rsidP="00826E00">
            <w:pPr>
              <w:spacing w:after="0"/>
              <w:jc w:val="right"/>
              <w:rPr>
                <w:rStyle w:val="IntenseReference"/>
              </w:rPr>
            </w:pPr>
            <w:r w:rsidRPr="00826E00">
              <w:rPr>
                <w:rFonts w:ascii="Arial Narrow" w:hAnsi="Arial Narrow"/>
                <w:color w:val="000000"/>
                <w:sz w:val="20"/>
              </w:rPr>
              <w:t>-0.52</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bottom"/>
            <w:hideMark/>
          </w:tcPr>
          <w:p w14:paraId="14225E4B" w14:textId="1B09ADEC" w:rsidR="00826E00" w:rsidRPr="00826E00" w:rsidRDefault="00826E00" w:rsidP="00826E00">
            <w:pPr>
              <w:spacing w:after="0"/>
              <w:jc w:val="right"/>
              <w:rPr>
                <w:rStyle w:val="IntenseReference"/>
              </w:rPr>
            </w:pPr>
            <w:r w:rsidRPr="00826E00">
              <w:rPr>
                <w:rFonts w:ascii="Arial Narrow" w:hAnsi="Arial Narrow"/>
                <w:color w:val="000000"/>
                <w:sz w:val="20"/>
              </w:rPr>
              <w:t>0.99</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bottom"/>
            <w:hideMark/>
          </w:tcPr>
          <w:p w14:paraId="05882B42" w14:textId="5D620196" w:rsidR="00826E00" w:rsidRPr="00826E00" w:rsidRDefault="00826E00" w:rsidP="00826E00">
            <w:pPr>
              <w:spacing w:after="0"/>
              <w:jc w:val="right"/>
              <w:rPr>
                <w:rStyle w:val="IntenseReference"/>
              </w:rPr>
            </w:pPr>
            <w:r w:rsidRPr="00826E00">
              <w:rPr>
                <w:rFonts w:ascii="Arial Narrow" w:hAnsi="Arial Narrow"/>
                <w:color w:val="000000"/>
                <w:sz w:val="20"/>
              </w:rPr>
              <w:t>-0.42</w:t>
            </w:r>
          </w:p>
        </w:tc>
        <w:tc>
          <w:tcPr>
            <w:tcW w:w="626"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bottom"/>
            <w:hideMark/>
          </w:tcPr>
          <w:p w14:paraId="53F02571" w14:textId="13E3C2F1" w:rsidR="00826E00" w:rsidRPr="00826E00" w:rsidRDefault="00826E00" w:rsidP="00826E00">
            <w:pPr>
              <w:spacing w:after="0"/>
              <w:jc w:val="right"/>
              <w:rPr>
                <w:rStyle w:val="IntenseReference"/>
              </w:rPr>
            </w:pPr>
            <w:r w:rsidRPr="00826E00">
              <w:rPr>
                <w:rFonts w:ascii="Arial Narrow" w:hAnsi="Arial Narrow"/>
                <w:color w:val="000000"/>
                <w:sz w:val="20"/>
              </w:rPr>
              <w:t>0.97</w:t>
            </w:r>
          </w:p>
        </w:tc>
        <w:tc>
          <w:tcPr>
            <w:tcW w:w="625" w:type="dxa"/>
            <w:tcBorders>
              <w:top w:val="single" w:sz="4" w:space="0" w:color="auto"/>
              <w:left w:val="single" w:sz="4" w:space="0" w:color="auto"/>
              <w:bottom w:val="single" w:sz="4" w:space="0" w:color="auto"/>
              <w:right w:val="single" w:sz="4" w:space="0" w:color="auto"/>
            </w:tcBorders>
            <w:shd w:val="clear" w:color="000000" w:fill="E6B8B7"/>
            <w:noWrap/>
            <w:tcMar>
              <w:left w:w="57" w:type="dxa"/>
              <w:right w:w="57" w:type="dxa"/>
            </w:tcMar>
            <w:vAlign w:val="bottom"/>
            <w:hideMark/>
          </w:tcPr>
          <w:p w14:paraId="3ED94F2B" w14:textId="23BA5D29" w:rsidR="00826E00" w:rsidRPr="00826E00" w:rsidRDefault="00826E00" w:rsidP="00826E00">
            <w:pPr>
              <w:spacing w:after="0"/>
              <w:jc w:val="right"/>
              <w:rPr>
                <w:rStyle w:val="IntenseReference"/>
              </w:rPr>
            </w:pPr>
            <w:r w:rsidRPr="00826E00">
              <w:rPr>
                <w:rFonts w:ascii="Arial Narrow" w:hAnsi="Arial Narrow"/>
                <w:color w:val="000000"/>
                <w:sz w:val="20"/>
              </w:rPr>
              <w:t>-0.30</w:t>
            </w:r>
          </w:p>
        </w:tc>
        <w:tc>
          <w:tcPr>
            <w:tcW w:w="625" w:type="dxa"/>
            <w:tcBorders>
              <w:top w:val="single" w:sz="4" w:space="0" w:color="auto"/>
              <w:left w:val="single" w:sz="4" w:space="0" w:color="auto"/>
              <w:bottom w:val="single" w:sz="4" w:space="0" w:color="auto"/>
              <w:right w:val="single" w:sz="4" w:space="0" w:color="auto"/>
            </w:tcBorders>
            <w:shd w:val="clear" w:color="000000" w:fill="E6B8B7"/>
            <w:noWrap/>
            <w:tcMar>
              <w:left w:w="57" w:type="dxa"/>
              <w:right w:w="57" w:type="dxa"/>
            </w:tcMar>
            <w:vAlign w:val="bottom"/>
            <w:hideMark/>
          </w:tcPr>
          <w:p w14:paraId="31BF0CC6" w14:textId="3F94BDEB" w:rsidR="00826E00" w:rsidRPr="00826E00" w:rsidRDefault="00826E00" w:rsidP="00826E00">
            <w:pPr>
              <w:spacing w:after="0"/>
              <w:jc w:val="right"/>
              <w:rPr>
                <w:rStyle w:val="IntenseReference"/>
              </w:rPr>
            </w:pPr>
            <w:r w:rsidRPr="00826E00">
              <w:rPr>
                <w:rFonts w:ascii="Arial Narrow" w:hAnsi="Arial Narrow"/>
                <w:color w:val="000000"/>
                <w:sz w:val="20"/>
              </w:rPr>
              <w:t>0.88</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0959CDD7" w14:textId="4846B9E9" w:rsidR="00826E00" w:rsidRPr="00826E00" w:rsidRDefault="00826E00" w:rsidP="00826E00">
            <w:pPr>
              <w:spacing w:after="0"/>
              <w:jc w:val="right"/>
              <w:rPr>
                <w:rStyle w:val="IntenseReference"/>
              </w:rPr>
            </w:pPr>
            <w:r w:rsidRPr="00826E00">
              <w:rPr>
                <w:rFonts w:ascii="Arial Narrow" w:hAnsi="Arial Narrow"/>
                <w:color w:val="000000"/>
                <w:sz w:val="20"/>
              </w:rPr>
              <w:t>0.02</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553A76A3" w14:textId="5C56FBCE" w:rsidR="00826E00" w:rsidRPr="00826E00" w:rsidRDefault="00826E00" w:rsidP="00826E00">
            <w:pPr>
              <w:spacing w:after="0"/>
              <w:jc w:val="right"/>
              <w:rPr>
                <w:rStyle w:val="IntenseReference"/>
              </w:rPr>
            </w:pPr>
            <w:r w:rsidRPr="00826E00">
              <w:rPr>
                <w:rFonts w:ascii="Arial Narrow" w:hAnsi="Arial Narrow"/>
                <w:color w:val="000000"/>
                <w:sz w:val="20"/>
              </w:rPr>
              <w:t>0.54</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3EE63AA2" w14:textId="1006F7B6" w:rsidR="00826E00" w:rsidRPr="00826E00" w:rsidRDefault="00826E00" w:rsidP="00826E00">
            <w:pPr>
              <w:spacing w:after="0"/>
              <w:jc w:val="right"/>
              <w:rPr>
                <w:rStyle w:val="IntenseReference"/>
              </w:rPr>
            </w:pPr>
            <w:r w:rsidRPr="00826E00">
              <w:rPr>
                <w:rFonts w:ascii="Arial Narrow" w:hAnsi="Arial Narrow"/>
                <w:color w:val="000000"/>
                <w:sz w:val="20"/>
              </w:rPr>
              <w:t>-0.06</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21643684" w14:textId="7659CDD7" w:rsidR="00826E00" w:rsidRPr="00826E00" w:rsidRDefault="00826E00" w:rsidP="00826E00">
            <w:pPr>
              <w:spacing w:after="0"/>
              <w:jc w:val="right"/>
              <w:rPr>
                <w:rStyle w:val="IntenseReference"/>
              </w:rPr>
            </w:pPr>
            <w:r w:rsidRPr="00826E00">
              <w:rPr>
                <w:rFonts w:ascii="Arial Narrow" w:hAnsi="Arial Narrow"/>
                <w:color w:val="000000"/>
                <w:sz w:val="20"/>
              </w:rPr>
              <w:t>0.65</w:t>
            </w:r>
          </w:p>
        </w:tc>
      </w:tr>
      <w:tr w:rsidR="00826E00" w:rsidRPr="002A3B0E" w14:paraId="4269888C" w14:textId="77777777" w:rsidTr="00826E00">
        <w:trPr>
          <w:trHeight w:val="300"/>
        </w:trPr>
        <w:tc>
          <w:tcPr>
            <w:tcW w:w="1074" w:type="dxa"/>
            <w:vMerge/>
            <w:shd w:val="clear" w:color="auto" w:fill="auto"/>
            <w:noWrap/>
            <w:tcMar>
              <w:left w:w="57" w:type="dxa"/>
              <w:right w:w="57" w:type="dxa"/>
            </w:tcMar>
            <w:vAlign w:val="center"/>
            <w:hideMark/>
          </w:tcPr>
          <w:p w14:paraId="46031F45" w14:textId="77777777" w:rsidR="00826E00" w:rsidRPr="002A3B0E" w:rsidRDefault="00826E00" w:rsidP="00826E00">
            <w:pPr>
              <w:spacing w:after="0"/>
              <w:jc w:val="right"/>
              <w:rPr>
                <w:rStyle w:val="IntenseReference"/>
              </w:rPr>
            </w:pPr>
          </w:p>
        </w:tc>
        <w:tc>
          <w:tcPr>
            <w:tcW w:w="350" w:type="dxa"/>
            <w:shd w:val="clear" w:color="auto" w:fill="auto"/>
            <w:noWrap/>
            <w:tcMar>
              <w:left w:w="57" w:type="dxa"/>
              <w:right w:w="57" w:type="dxa"/>
            </w:tcMar>
            <w:vAlign w:val="center"/>
            <w:hideMark/>
          </w:tcPr>
          <w:p w14:paraId="00D37B67" w14:textId="77777777" w:rsidR="00826E00" w:rsidRPr="002A3B0E" w:rsidRDefault="00826E00" w:rsidP="00826E00">
            <w:pPr>
              <w:spacing w:after="0"/>
              <w:jc w:val="center"/>
              <w:rPr>
                <w:rStyle w:val="IntenseReference"/>
              </w:rPr>
            </w:pPr>
            <w:r w:rsidRPr="002A3B0E">
              <w:rPr>
                <w:rStyle w:val="IntenseReference"/>
              </w:rPr>
              <w:t>5</w:t>
            </w:r>
          </w:p>
        </w:tc>
        <w:tc>
          <w:tcPr>
            <w:tcW w:w="625" w:type="dxa"/>
            <w:tcBorders>
              <w:top w:val="single" w:sz="4" w:space="0" w:color="auto"/>
              <w:left w:val="nil"/>
              <w:bottom w:val="single" w:sz="4" w:space="0" w:color="auto"/>
              <w:right w:val="single" w:sz="4" w:space="0" w:color="auto"/>
            </w:tcBorders>
            <w:shd w:val="clear" w:color="000000" w:fill="E6B8B7"/>
            <w:noWrap/>
            <w:tcMar>
              <w:left w:w="57" w:type="dxa"/>
              <w:right w:w="57" w:type="dxa"/>
            </w:tcMar>
            <w:vAlign w:val="bottom"/>
            <w:hideMark/>
          </w:tcPr>
          <w:p w14:paraId="4C31D005" w14:textId="6E3AB14E" w:rsidR="00826E00" w:rsidRPr="00826E00" w:rsidRDefault="00826E00" w:rsidP="00826E00">
            <w:pPr>
              <w:spacing w:after="0"/>
              <w:jc w:val="right"/>
              <w:rPr>
                <w:rStyle w:val="IntenseReference"/>
              </w:rPr>
            </w:pPr>
            <w:r w:rsidRPr="00826E00">
              <w:rPr>
                <w:rFonts w:ascii="Arial Narrow" w:hAnsi="Arial Narrow"/>
                <w:color w:val="000000"/>
                <w:sz w:val="20"/>
              </w:rPr>
              <w:t>-0.17</w:t>
            </w:r>
          </w:p>
        </w:tc>
        <w:tc>
          <w:tcPr>
            <w:tcW w:w="625" w:type="dxa"/>
            <w:tcBorders>
              <w:top w:val="single" w:sz="4" w:space="0" w:color="auto"/>
              <w:left w:val="single" w:sz="4" w:space="0" w:color="auto"/>
              <w:bottom w:val="single" w:sz="4" w:space="0" w:color="auto"/>
              <w:right w:val="single" w:sz="4" w:space="0" w:color="auto"/>
            </w:tcBorders>
            <w:shd w:val="clear" w:color="000000" w:fill="E6B8B7"/>
            <w:noWrap/>
            <w:tcMar>
              <w:left w:w="57" w:type="dxa"/>
              <w:right w:w="57" w:type="dxa"/>
            </w:tcMar>
            <w:vAlign w:val="bottom"/>
            <w:hideMark/>
          </w:tcPr>
          <w:p w14:paraId="2E063319" w14:textId="5CB0F572" w:rsidR="00826E00" w:rsidRPr="00826E00" w:rsidRDefault="00826E00" w:rsidP="00826E00">
            <w:pPr>
              <w:spacing w:after="0"/>
              <w:jc w:val="right"/>
              <w:rPr>
                <w:rStyle w:val="IntenseReference"/>
              </w:rPr>
            </w:pPr>
            <w:r w:rsidRPr="00826E00">
              <w:rPr>
                <w:rFonts w:ascii="Arial Narrow" w:hAnsi="Arial Narrow"/>
                <w:color w:val="000000"/>
                <w:sz w:val="20"/>
              </w:rPr>
              <w:t>0.89</w:t>
            </w:r>
          </w:p>
        </w:tc>
        <w:tc>
          <w:tcPr>
            <w:tcW w:w="625" w:type="dxa"/>
            <w:tcBorders>
              <w:top w:val="single" w:sz="4" w:space="0" w:color="auto"/>
              <w:left w:val="single" w:sz="4" w:space="0" w:color="auto"/>
              <w:bottom w:val="single" w:sz="4" w:space="0" w:color="auto"/>
              <w:right w:val="single" w:sz="4" w:space="0" w:color="auto"/>
            </w:tcBorders>
            <w:shd w:val="clear" w:color="000000" w:fill="C5D9F1"/>
            <w:noWrap/>
            <w:tcMar>
              <w:left w:w="57" w:type="dxa"/>
              <w:right w:w="57" w:type="dxa"/>
            </w:tcMar>
            <w:vAlign w:val="bottom"/>
            <w:hideMark/>
          </w:tcPr>
          <w:p w14:paraId="3EE31EDF" w14:textId="0BC4F6DA" w:rsidR="00826E00" w:rsidRPr="00826E00" w:rsidRDefault="00826E00" w:rsidP="00826E00">
            <w:pPr>
              <w:spacing w:after="0"/>
              <w:jc w:val="right"/>
              <w:rPr>
                <w:rStyle w:val="IntenseReference"/>
              </w:rPr>
            </w:pPr>
            <w:r w:rsidRPr="00826E00">
              <w:rPr>
                <w:rFonts w:ascii="Arial Narrow" w:hAnsi="Arial Narrow"/>
                <w:color w:val="000000"/>
                <w:sz w:val="20"/>
              </w:rPr>
              <w:t>0.16</w:t>
            </w:r>
          </w:p>
        </w:tc>
        <w:tc>
          <w:tcPr>
            <w:tcW w:w="625" w:type="dxa"/>
            <w:tcBorders>
              <w:top w:val="single" w:sz="4" w:space="0" w:color="auto"/>
              <w:left w:val="single" w:sz="4" w:space="0" w:color="auto"/>
              <w:bottom w:val="single" w:sz="4" w:space="0" w:color="auto"/>
              <w:right w:val="single" w:sz="4" w:space="0" w:color="auto"/>
            </w:tcBorders>
            <w:shd w:val="clear" w:color="000000" w:fill="C5D9F1"/>
            <w:noWrap/>
            <w:tcMar>
              <w:left w:w="57" w:type="dxa"/>
              <w:right w:w="57" w:type="dxa"/>
            </w:tcMar>
            <w:vAlign w:val="bottom"/>
            <w:hideMark/>
          </w:tcPr>
          <w:p w14:paraId="2A243438" w14:textId="1E3EB3E8" w:rsidR="00826E00" w:rsidRPr="00826E00" w:rsidRDefault="00826E00" w:rsidP="00826E00">
            <w:pPr>
              <w:spacing w:after="0"/>
              <w:jc w:val="right"/>
              <w:rPr>
                <w:rStyle w:val="IntenseReference"/>
              </w:rPr>
            </w:pPr>
            <w:r w:rsidRPr="00826E00">
              <w:rPr>
                <w:rFonts w:ascii="Arial Narrow" w:hAnsi="Arial Narrow"/>
                <w:color w:val="000000"/>
                <w:sz w:val="20"/>
              </w:rPr>
              <w:t>0.77</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bottom"/>
            <w:hideMark/>
          </w:tcPr>
          <w:p w14:paraId="49F40EB3" w14:textId="66889349" w:rsidR="00826E00" w:rsidRPr="00826E00" w:rsidRDefault="00826E00" w:rsidP="00826E00">
            <w:pPr>
              <w:spacing w:after="0"/>
              <w:jc w:val="right"/>
              <w:rPr>
                <w:rStyle w:val="IntenseReference"/>
              </w:rPr>
            </w:pPr>
            <w:r w:rsidRPr="00826E00">
              <w:rPr>
                <w:rFonts w:ascii="Arial Narrow" w:hAnsi="Arial Narrow"/>
                <w:color w:val="000000"/>
                <w:sz w:val="20"/>
              </w:rPr>
              <w:t>-0.42</w:t>
            </w:r>
          </w:p>
        </w:tc>
        <w:tc>
          <w:tcPr>
            <w:tcW w:w="626"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bottom"/>
            <w:hideMark/>
          </w:tcPr>
          <w:p w14:paraId="32E4D85F" w14:textId="208746B7" w:rsidR="00826E00" w:rsidRPr="00826E00" w:rsidRDefault="00826E00" w:rsidP="00826E00">
            <w:pPr>
              <w:spacing w:after="0"/>
              <w:jc w:val="right"/>
              <w:rPr>
                <w:rStyle w:val="IntenseReference"/>
              </w:rPr>
            </w:pPr>
            <w:r w:rsidRPr="00826E00">
              <w:rPr>
                <w:rFonts w:ascii="Arial Narrow" w:hAnsi="Arial Narrow"/>
                <w:color w:val="000000"/>
                <w:sz w:val="20"/>
              </w:rPr>
              <w:t>0.97</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bottom"/>
            <w:hideMark/>
          </w:tcPr>
          <w:p w14:paraId="104D8B35" w14:textId="00B0A33D" w:rsidR="00826E00" w:rsidRPr="00826E00" w:rsidRDefault="00826E00" w:rsidP="00826E00">
            <w:pPr>
              <w:spacing w:after="0"/>
              <w:jc w:val="right"/>
              <w:rPr>
                <w:rStyle w:val="IntenseReference"/>
              </w:rPr>
            </w:pPr>
            <w:r w:rsidRPr="00826E00">
              <w:rPr>
                <w:rFonts w:ascii="Arial Narrow" w:hAnsi="Arial Narrow"/>
                <w:color w:val="000000"/>
                <w:sz w:val="20"/>
              </w:rPr>
              <w:t>-0.27</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bottom"/>
            <w:hideMark/>
          </w:tcPr>
          <w:p w14:paraId="09E229CD" w14:textId="13731CF3" w:rsidR="00826E00" w:rsidRPr="00826E00" w:rsidRDefault="00826E00" w:rsidP="00826E00">
            <w:pPr>
              <w:spacing w:after="0"/>
              <w:jc w:val="right"/>
              <w:rPr>
                <w:rStyle w:val="IntenseReference"/>
              </w:rPr>
            </w:pPr>
            <w:r w:rsidRPr="00826E00">
              <w:rPr>
                <w:rFonts w:ascii="Arial Narrow" w:hAnsi="Arial Narrow"/>
                <w:color w:val="000000"/>
                <w:sz w:val="20"/>
              </w:rPr>
              <w:t>0.96</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446A6421" w14:textId="422A5C30" w:rsidR="00826E00" w:rsidRPr="00826E00" w:rsidRDefault="00826E00" w:rsidP="00826E00">
            <w:pPr>
              <w:spacing w:after="0"/>
              <w:jc w:val="right"/>
              <w:rPr>
                <w:rStyle w:val="IntenseReference"/>
              </w:rPr>
            </w:pPr>
            <w:r w:rsidRPr="00826E00">
              <w:rPr>
                <w:rFonts w:ascii="Arial Narrow" w:hAnsi="Arial Narrow"/>
                <w:color w:val="000000"/>
                <w:sz w:val="20"/>
              </w:rPr>
              <w:t>0.03</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40902AD8" w14:textId="6E1F6E78" w:rsidR="00826E00" w:rsidRPr="00826E00" w:rsidRDefault="00826E00" w:rsidP="00826E00">
            <w:pPr>
              <w:spacing w:after="0"/>
              <w:jc w:val="right"/>
              <w:rPr>
                <w:rStyle w:val="IntenseReference"/>
              </w:rPr>
            </w:pPr>
            <w:r w:rsidRPr="00826E00">
              <w:rPr>
                <w:rFonts w:ascii="Arial Narrow" w:hAnsi="Arial Narrow"/>
                <w:color w:val="000000"/>
                <w:sz w:val="20"/>
              </w:rPr>
              <w:t>0.56</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75C866AC" w14:textId="46DDEFA0" w:rsidR="00826E00" w:rsidRPr="00826E00" w:rsidRDefault="00826E00" w:rsidP="00826E00">
            <w:pPr>
              <w:spacing w:after="0"/>
              <w:jc w:val="right"/>
              <w:rPr>
                <w:rStyle w:val="IntenseReference"/>
              </w:rPr>
            </w:pPr>
            <w:r w:rsidRPr="00826E00">
              <w:rPr>
                <w:rFonts w:ascii="Arial Narrow" w:hAnsi="Arial Narrow"/>
                <w:color w:val="000000"/>
                <w:sz w:val="20"/>
              </w:rPr>
              <w:t>-0.10</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2417DC42" w14:textId="4B3E94AE" w:rsidR="00826E00" w:rsidRPr="00826E00" w:rsidRDefault="00826E00" w:rsidP="00826E00">
            <w:pPr>
              <w:spacing w:after="0"/>
              <w:jc w:val="right"/>
              <w:rPr>
                <w:rStyle w:val="IntenseReference"/>
              </w:rPr>
            </w:pPr>
            <w:r w:rsidRPr="00826E00">
              <w:rPr>
                <w:rFonts w:ascii="Arial Narrow" w:hAnsi="Arial Narrow"/>
                <w:color w:val="000000"/>
                <w:sz w:val="20"/>
              </w:rPr>
              <w:t>0.66</w:t>
            </w:r>
          </w:p>
        </w:tc>
      </w:tr>
      <w:tr w:rsidR="00826E00" w:rsidRPr="002A3B0E" w14:paraId="25CF3A6D" w14:textId="77777777" w:rsidTr="00826E00">
        <w:trPr>
          <w:trHeight w:val="300"/>
        </w:trPr>
        <w:tc>
          <w:tcPr>
            <w:tcW w:w="1074" w:type="dxa"/>
            <w:vMerge w:val="restart"/>
            <w:shd w:val="clear" w:color="auto" w:fill="auto"/>
            <w:noWrap/>
            <w:tcMar>
              <w:left w:w="57" w:type="dxa"/>
              <w:right w:w="57" w:type="dxa"/>
            </w:tcMar>
            <w:vAlign w:val="center"/>
            <w:hideMark/>
          </w:tcPr>
          <w:p w14:paraId="65A84204" w14:textId="53097506" w:rsidR="00826E00" w:rsidRPr="002A3B0E" w:rsidRDefault="00826E00" w:rsidP="00826E00">
            <w:pPr>
              <w:spacing w:after="0"/>
              <w:rPr>
                <w:rStyle w:val="IntenseReference"/>
              </w:rPr>
            </w:pPr>
            <w:r w:rsidRPr="002A3B0E">
              <w:rPr>
                <w:rStyle w:val="IntenseReference"/>
              </w:rPr>
              <w:t>201</w:t>
            </w:r>
            <w:r>
              <w:rPr>
                <w:rStyle w:val="IntenseReference"/>
              </w:rPr>
              <w:t>4</w:t>
            </w:r>
            <w:r w:rsidRPr="002A3B0E">
              <w:rPr>
                <w:rStyle w:val="IntenseReference"/>
              </w:rPr>
              <w:t xml:space="preserve"> to 2016</w:t>
            </w:r>
          </w:p>
        </w:tc>
        <w:tc>
          <w:tcPr>
            <w:tcW w:w="350" w:type="dxa"/>
            <w:shd w:val="clear" w:color="auto" w:fill="auto"/>
            <w:noWrap/>
            <w:tcMar>
              <w:left w:w="57" w:type="dxa"/>
              <w:right w:w="57" w:type="dxa"/>
            </w:tcMar>
            <w:vAlign w:val="center"/>
            <w:hideMark/>
          </w:tcPr>
          <w:p w14:paraId="02F98785" w14:textId="77777777" w:rsidR="00826E00" w:rsidRPr="002A3B0E" w:rsidRDefault="00826E00" w:rsidP="00826E00">
            <w:pPr>
              <w:spacing w:after="0"/>
              <w:jc w:val="center"/>
              <w:rPr>
                <w:rStyle w:val="IntenseReference"/>
              </w:rPr>
            </w:pPr>
            <w:r w:rsidRPr="002A3B0E">
              <w:rPr>
                <w:rStyle w:val="IntenseReference"/>
              </w:rPr>
              <w:t>2</w:t>
            </w:r>
          </w:p>
        </w:tc>
        <w:tc>
          <w:tcPr>
            <w:tcW w:w="625" w:type="dxa"/>
            <w:tcBorders>
              <w:top w:val="single" w:sz="4" w:space="0" w:color="auto"/>
              <w:left w:val="nil"/>
              <w:bottom w:val="single" w:sz="4" w:space="0" w:color="auto"/>
              <w:right w:val="single" w:sz="4" w:space="0" w:color="auto"/>
            </w:tcBorders>
            <w:shd w:val="clear" w:color="000000" w:fill="538DD5"/>
            <w:noWrap/>
            <w:tcMar>
              <w:left w:w="57" w:type="dxa"/>
              <w:right w:w="57" w:type="dxa"/>
            </w:tcMar>
            <w:vAlign w:val="bottom"/>
            <w:hideMark/>
          </w:tcPr>
          <w:p w14:paraId="39D0BAA8" w14:textId="3ADAC2F5" w:rsidR="00826E00" w:rsidRPr="00826E00" w:rsidRDefault="00826E00" w:rsidP="00826E00">
            <w:pPr>
              <w:spacing w:after="0"/>
              <w:jc w:val="right"/>
              <w:rPr>
                <w:rStyle w:val="IntenseReference"/>
              </w:rPr>
            </w:pPr>
            <w:r w:rsidRPr="00826E00">
              <w:rPr>
                <w:rFonts w:ascii="Arial Narrow" w:hAnsi="Arial Narrow"/>
                <w:color w:val="000000"/>
                <w:sz w:val="20"/>
              </w:rPr>
              <w:t>0.07</w:t>
            </w:r>
          </w:p>
        </w:tc>
        <w:tc>
          <w:tcPr>
            <w:tcW w:w="625" w:type="dxa"/>
            <w:tcBorders>
              <w:top w:val="single" w:sz="4" w:space="0" w:color="auto"/>
              <w:left w:val="single" w:sz="4" w:space="0" w:color="auto"/>
              <w:bottom w:val="single" w:sz="4" w:space="0" w:color="auto"/>
              <w:right w:val="single" w:sz="4" w:space="0" w:color="auto"/>
            </w:tcBorders>
            <w:shd w:val="clear" w:color="000000" w:fill="538DD5"/>
            <w:noWrap/>
            <w:tcMar>
              <w:left w:w="57" w:type="dxa"/>
              <w:right w:w="57" w:type="dxa"/>
            </w:tcMar>
            <w:vAlign w:val="bottom"/>
            <w:hideMark/>
          </w:tcPr>
          <w:p w14:paraId="1795817F" w14:textId="7576127C" w:rsidR="00826E00" w:rsidRPr="00826E00" w:rsidRDefault="00826E00" w:rsidP="00826E00">
            <w:pPr>
              <w:spacing w:after="0"/>
              <w:jc w:val="right"/>
              <w:rPr>
                <w:rStyle w:val="IntenseReference"/>
              </w:rPr>
            </w:pPr>
            <w:r w:rsidRPr="00826E00">
              <w:rPr>
                <w:rFonts w:ascii="Arial Narrow" w:hAnsi="Arial Narrow"/>
                <w:color w:val="000000"/>
                <w:sz w:val="20"/>
              </w:rPr>
              <w:t>0.93</w:t>
            </w:r>
          </w:p>
        </w:tc>
        <w:tc>
          <w:tcPr>
            <w:tcW w:w="625" w:type="dxa"/>
            <w:tcBorders>
              <w:top w:val="single" w:sz="4" w:space="0" w:color="auto"/>
              <w:left w:val="single" w:sz="4" w:space="0" w:color="auto"/>
              <w:bottom w:val="single" w:sz="4" w:space="0" w:color="auto"/>
              <w:right w:val="single" w:sz="4" w:space="0" w:color="auto"/>
            </w:tcBorders>
            <w:shd w:val="clear" w:color="000000" w:fill="538DD5"/>
            <w:noWrap/>
            <w:tcMar>
              <w:left w:w="57" w:type="dxa"/>
              <w:right w:w="57" w:type="dxa"/>
            </w:tcMar>
            <w:vAlign w:val="bottom"/>
            <w:hideMark/>
          </w:tcPr>
          <w:p w14:paraId="5D95B409" w14:textId="4DB004F3" w:rsidR="00826E00" w:rsidRPr="00826E00" w:rsidRDefault="00826E00" w:rsidP="00826E00">
            <w:pPr>
              <w:spacing w:after="0"/>
              <w:jc w:val="right"/>
              <w:rPr>
                <w:rStyle w:val="IntenseReference"/>
              </w:rPr>
            </w:pPr>
            <w:r w:rsidRPr="00826E00">
              <w:rPr>
                <w:rFonts w:ascii="Arial Narrow" w:hAnsi="Arial Narrow"/>
                <w:color w:val="000000"/>
                <w:sz w:val="20"/>
              </w:rPr>
              <w:t>0.16</w:t>
            </w:r>
          </w:p>
        </w:tc>
        <w:tc>
          <w:tcPr>
            <w:tcW w:w="625" w:type="dxa"/>
            <w:tcBorders>
              <w:top w:val="single" w:sz="4" w:space="0" w:color="auto"/>
              <w:left w:val="single" w:sz="4" w:space="0" w:color="auto"/>
              <w:bottom w:val="single" w:sz="4" w:space="0" w:color="auto"/>
              <w:right w:val="single" w:sz="4" w:space="0" w:color="auto"/>
            </w:tcBorders>
            <w:shd w:val="clear" w:color="000000" w:fill="538DD5"/>
            <w:noWrap/>
            <w:tcMar>
              <w:left w:w="57" w:type="dxa"/>
              <w:right w:w="57" w:type="dxa"/>
            </w:tcMar>
            <w:vAlign w:val="bottom"/>
            <w:hideMark/>
          </w:tcPr>
          <w:p w14:paraId="5328A15F" w14:textId="74BAB950" w:rsidR="00826E00" w:rsidRPr="00826E00" w:rsidRDefault="00826E00" w:rsidP="00826E00">
            <w:pPr>
              <w:spacing w:after="0"/>
              <w:jc w:val="right"/>
              <w:rPr>
                <w:rStyle w:val="IntenseReference"/>
              </w:rPr>
            </w:pPr>
            <w:r w:rsidRPr="00826E00">
              <w:rPr>
                <w:rFonts w:ascii="Arial Narrow" w:hAnsi="Arial Narrow"/>
                <w:color w:val="000000"/>
                <w:sz w:val="20"/>
              </w:rPr>
              <w:t>0.95</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58C3AD20" w14:textId="3A642680" w:rsidR="00826E00" w:rsidRPr="00826E00" w:rsidRDefault="00826E00" w:rsidP="00826E00">
            <w:pPr>
              <w:spacing w:after="0"/>
              <w:jc w:val="right"/>
              <w:rPr>
                <w:rStyle w:val="IntenseReference"/>
              </w:rPr>
            </w:pPr>
            <w:r w:rsidRPr="00826E00">
              <w:rPr>
                <w:rFonts w:ascii="Arial Narrow" w:hAnsi="Arial Narrow"/>
                <w:color w:val="000000"/>
                <w:sz w:val="20"/>
              </w:rPr>
              <w:t>0.08</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65D588E1" w14:textId="2F25E0D5" w:rsidR="00826E00" w:rsidRPr="00826E00" w:rsidRDefault="00826E00" w:rsidP="00826E00">
            <w:pPr>
              <w:spacing w:after="0"/>
              <w:jc w:val="right"/>
              <w:rPr>
                <w:rStyle w:val="IntenseReference"/>
              </w:rPr>
            </w:pPr>
            <w:r w:rsidRPr="00826E00">
              <w:rPr>
                <w:rFonts w:ascii="Arial Narrow" w:hAnsi="Arial Narrow"/>
                <w:color w:val="000000"/>
                <w:sz w:val="20"/>
              </w:rPr>
              <w:t>0.68</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4BF0FAED" w14:textId="5B2F072C" w:rsidR="00826E00" w:rsidRPr="00826E00" w:rsidRDefault="00826E00" w:rsidP="00826E00">
            <w:pPr>
              <w:spacing w:after="0"/>
              <w:jc w:val="right"/>
              <w:rPr>
                <w:rStyle w:val="IntenseReference"/>
              </w:rPr>
            </w:pPr>
            <w:r w:rsidRPr="00826E00">
              <w:rPr>
                <w:rFonts w:ascii="Arial Narrow" w:hAnsi="Arial Narrow"/>
                <w:color w:val="000000"/>
                <w:sz w:val="20"/>
              </w:rPr>
              <w:t>0.01</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76D7321B" w14:textId="3632FAE0" w:rsidR="00826E00" w:rsidRPr="00826E00" w:rsidRDefault="00826E00" w:rsidP="00826E00">
            <w:pPr>
              <w:spacing w:after="0"/>
              <w:jc w:val="right"/>
              <w:rPr>
                <w:rStyle w:val="IntenseReference"/>
              </w:rPr>
            </w:pPr>
            <w:r w:rsidRPr="00826E00">
              <w:rPr>
                <w:rFonts w:ascii="Arial Narrow" w:hAnsi="Arial Narrow"/>
                <w:color w:val="000000"/>
                <w:sz w:val="20"/>
              </w:rPr>
              <w:t>0.51</w:t>
            </w:r>
          </w:p>
        </w:tc>
        <w:tc>
          <w:tcPr>
            <w:tcW w:w="625" w:type="dxa"/>
            <w:tcBorders>
              <w:top w:val="single" w:sz="4" w:space="0" w:color="auto"/>
              <w:left w:val="single" w:sz="4" w:space="0" w:color="auto"/>
              <w:bottom w:val="single" w:sz="4" w:space="0" w:color="auto"/>
              <w:right w:val="single" w:sz="4" w:space="0" w:color="auto"/>
            </w:tcBorders>
            <w:shd w:val="clear" w:color="000000" w:fill="8DB4E2"/>
            <w:noWrap/>
            <w:tcMar>
              <w:left w:w="57" w:type="dxa"/>
              <w:right w:w="57" w:type="dxa"/>
            </w:tcMar>
            <w:vAlign w:val="bottom"/>
            <w:hideMark/>
          </w:tcPr>
          <w:p w14:paraId="38AA381C" w14:textId="5CCF3FAF" w:rsidR="00826E00" w:rsidRPr="00826E00" w:rsidRDefault="00826E00" w:rsidP="00826E00">
            <w:pPr>
              <w:spacing w:after="0"/>
              <w:jc w:val="right"/>
              <w:rPr>
                <w:rStyle w:val="IntenseReference"/>
              </w:rPr>
            </w:pPr>
            <w:r w:rsidRPr="00826E00">
              <w:rPr>
                <w:rFonts w:ascii="Arial Narrow" w:hAnsi="Arial Narrow"/>
                <w:color w:val="000000"/>
                <w:sz w:val="20"/>
              </w:rPr>
              <w:t>0.08</w:t>
            </w:r>
          </w:p>
        </w:tc>
        <w:tc>
          <w:tcPr>
            <w:tcW w:w="625" w:type="dxa"/>
            <w:tcBorders>
              <w:top w:val="single" w:sz="4" w:space="0" w:color="auto"/>
              <w:left w:val="single" w:sz="4" w:space="0" w:color="auto"/>
              <w:bottom w:val="single" w:sz="4" w:space="0" w:color="auto"/>
              <w:right w:val="single" w:sz="4" w:space="0" w:color="auto"/>
            </w:tcBorders>
            <w:shd w:val="clear" w:color="000000" w:fill="8DB4E2"/>
            <w:noWrap/>
            <w:tcMar>
              <w:left w:w="57" w:type="dxa"/>
              <w:right w:w="57" w:type="dxa"/>
            </w:tcMar>
            <w:vAlign w:val="bottom"/>
            <w:hideMark/>
          </w:tcPr>
          <w:p w14:paraId="75375F36" w14:textId="15CB1463" w:rsidR="00826E00" w:rsidRPr="00826E00" w:rsidRDefault="00826E00" w:rsidP="00826E00">
            <w:pPr>
              <w:spacing w:after="0"/>
              <w:jc w:val="right"/>
              <w:rPr>
                <w:rStyle w:val="IntenseReference"/>
              </w:rPr>
            </w:pPr>
            <w:r w:rsidRPr="00826E00">
              <w:rPr>
                <w:rFonts w:ascii="Arial Narrow" w:hAnsi="Arial Narrow"/>
                <w:color w:val="000000"/>
                <w:sz w:val="20"/>
              </w:rPr>
              <w:t>0.87</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684CA109" w14:textId="0337BC5F" w:rsidR="00826E00" w:rsidRPr="00826E00" w:rsidRDefault="00826E00" w:rsidP="00826E00">
            <w:pPr>
              <w:spacing w:after="0"/>
              <w:jc w:val="right"/>
              <w:rPr>
                <w:rStyle w:val="IntenseReference"/>
              </w:rPr>
            </w:pPr>
            <w:r w:rsidRPr="00826E00">
              <w:rPr>
                <w:rFonts w:ascii="Arial Narrow" w:hAnsi="Arial Narrow"/>
                <w:color w:val="000000"/>
                <w:sz w:val="20"/>
              </w:rPr>
              <w:t>0.06</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5ECAD160" w14:textId="0C422CC8" w:rsidR="00826E00" w:rsidRPr="00826E00" w:rsidRDefault="00826E00" w:rsidP="00826E00">
            <w:pPr>
              <w:spacing w:after="0"/>
              <w:jc w:val="right"/>
              <w:rPr>
                <w:rStyle w:val="IntenseReference"/>
              </w:rPr>
            </w:pPr>
            <w:r w:rsidRPr="00826E00">
              <w:rPr>
                <w:rFonts w:ascii="Arial Narrow" w:hAnsi="Arial Narrow"/>
                <w:color w:val="000000"/>
                <w:sz w:val="20"/>
              </w:rPr>
              <w:t>0.66</w:t>
            </w:r>
          </w:p>
        </w:tc>
      </w:tr>
      <w:tr w:rsidR="00826E00" w:rsidRPr="002A3B0E" w14:paraId="06EC3736" w14:textId="77777777" w:rsidTr="00826E00">
        <w:trPr>
          <w:trHeight w:val="300"/>
        </w:trPr>
        <w:tc>
          <w:tcPr>
            <w:tcW w:w="1074" w:type="dxa"/>
            <w:vMerge/>
            <w:shd w:val="clear" w:color="auto" w:fill="auto"/>
            <w:noWrap/>
            <w:tcMar>
              <w:left w:w="57" w:type="dxa"/>
              <w:right w:w="57" w:type="dxa"/>
            </w:tcMar>
            <w:vAlign w:val="center"/>
            <w:hideMark/>
          </w:tcPr>
          <w:p w14:paraId="1A012651" w14:textId="77777777" w:rsidR="00826E00" w:rsidRPr="002A3B0E" w:rsidRDefault="00826E00" w:rsidP="00826E00">
            <w:pPr>
              <w:spacing w:after="0"/>
              <w:jc w:val="right"/>
              <w:rPr>
                <w:rStyle w:val="IntenseReference"/>
              </w:rPr>
            </w:pPr>
          </w:p>
        </w:tc>
        <w:tc>
          <w:tcPr>
            <w:tcW w:w="350" w:type="dxa"/>
            <w:shd w:val="clear" w:color="auto" w:fill="auto"/>
            <w:noWrap/>
            <w:tcMar>
              <w:left w:w="57" w:type="dxa"/>
              <w:right w:w="57" w:type="dxa"/>
            </w:tcMar>
            <w:vAlign w:val="center"/>
            <w:hideMark/>
          </w:tcPr>
          <w:p w14:paraId="3927A62D" w14:textId="77777777" w:rsidR="00826E00" w:rsidRPr="002A3B0E" w:rsidRDefault="00826E00" w:rsidP="00826E00">
            <w:pPr>
              <w:spacing w:after="0"/>
              <w:jc w:val="center"/>
              <w:rPr>
                <w:rStyle w:val="IntenseReference"/>
              </w:rPr>
            </w:pPr>
            <w:r w:rsidRPr="002A3B0E">
              <w:rPr>
                <w:rStyle w:val="IntenseReference"/>
              </w:rPr>
              <w:t>5</w:t>
            </w:r>
          </w:p>
        </w:tc>
        <w:tc>
          <w:tcPr>
            <w:tcW w:w="625" w:type="dxa"/>
            <w:tcBorders>
              <w:top w:val="single" w:sz="4" w:space="0" w:color="auto"/>
              <w:left w:val="nil"/>
              <w:bottom w:val="single" w:sz="4" w:space="0" w:color="auto"/>
              <w:right w:val="single" w:sz="4" w:space="0" w:color="auto"/>
            </w:tcBorders>
            <w:shd w:val="clear" w:color="000000" w:fill="C5D9F1"/>
            <w:noWrap/>
            <w:tcMar>
              <w:left w:w="57" w:type="dxa"/>
              <w:right w:w="57" w:type="dxa"/>
            </w:tcMar>
            <w:vAlign w:val="bottom"/>
            <w:hideMark/>
          </w:tcPr>
          <w:p w14:paraId="411EE164" w14:textId="61BCA4D6" w:rsidR="00826E00" w:rsidRPr="00826E00" w:rsidRDefault="00826E00" w:rsidP="00826E00">
            <w:pPr>
              <w:spacing w:after="0"/>
              <w:jc w:val="right"/>
              <w:rPr>
                <w:rStyle w:val="IntenseReference"/>
              </w:rPr>
            </w:pPr>
            <w:r w:rsidRPr="00826E00">
              <w:rPr>
                <w:rFonts w:ascii="Arial Narrow" w:hAnsi="Arial Narrow"/>
                <w:color w:val="000000"/>
                <w:sz w:val="20"/>
              </w:rPr>
              <w:t>0.07</w:t>
            </w:r>
          </w:p>
        </w:tc>
        <w:tc>
          <w:tcPr>
            <w:tcW w:w="625" w:type="dxa"/>
            <w:tcBorders>
              <w:top w:val="single" w:sz="4" w:space="0" w:color="auto"/>
              <w:left w:val="single" w:sz="4" w:space="0" w:color="auto"/>
              <w:bottom w:val="single" w:sz="4" w:space="0" w:color="auto"/>
              <w:right w:val="single" w:sz="4" w:space="0" w:color="auto"/>
            </w:tcBorders>
            <w:shd w:val="clear" w:color="000000" w:fill="C5D9F1"/>
            <w:noWrap/>
            <w:tcMar>
              <w:left w:w="57" w:type="dxa"/>
              <w:right w:w="57" w:type="dxa"/>
            </w:tcMar>
            <w:vAlign w:val="bottom"/>
            <w:hideMark/>
          </w:tcPr>
          <w:p w14:paraId="58B99963" w14:textId="1D0C8EB6" w:rsidR="00826E00" w:rsidRPr="00826E00" w:rsidRDefault="00826E00" w:rsidP="00826E00">
            <w:pPr>
              <w:spacing w:after="0"/>
              <w:jc w:val="right"/>
              <w:rPr>
                <w:rStyle w:val="IntenseReference"/>
              </w:rPr>
            </w:pPr>
            <w:r w:rsidRPr="00826E00">
              <w:rPr>
                <w:rFonts w:ascii="Arial Narrow" w:hAnsi="Arial Narrow"/>
                <w:color w:val="000000"/>
                <w:sz w:val="20"/>
              </w:rPr>
              <w:t>0.75</w:t>
            </w:r>
          </w:p>
        </w:tc>
        <w:tc>
          <w:tcPr>
            <w:tcW w:w="625" w:type="dxa"/>
            <w:tcBorders>
              <w:top w:val="single" w:sz="4" w:space="0" w:color="auto"/>
              <w:left w:val="single" w:sz="4" w:space="0" w:color="auto"/>
              <w:bottom w:val="single" w:sz="4" w:space="0" w:color="auto"/>
              <w:right w:val="single" w:sz="4" w:space="0" w:color="auto"/>
            </w:tcBorders>
            <w:shd w:val="clear" w:color="000000" w:fill="538DD5"/>
            <w:noWrap/>
            <w:tcMar>
              <w:left w:w="57" w:type="dxa"/>
              <w:right w:w="57" w:type="dxa"/>
            </w:tcMar>
            <w:vAlign w:val="bottom"/>
            <w:hideMark/>
          </w:tcPr>
          <w:p w14:paraId="633E3F8F" w14:textId="05CB92AB" w:rsidR="00826E00" w:rsidRPr="00826E00" w:rsidRDefault="00826E00" w:rsidP="00826E00">
            <w:pPr>
              <w:spacing w:after="0"/>
              <w:jc w:val="right"/>
              <w:rPr>
                <w:rStyle w:val="IntenseReference"/>
              </w:rPr>
            </w:pPr>
            <w:r w:rsidRPr="00826E00">
              <w:rPr>
                <w:rFonts w:ascii="Arial Narrow" w:hAnsi="Arial Narrow"/>
                <w:color w:val="000000"/>
                <w:sz w:val="20"/>
              </w:rPr>
              <w:t>0.20</w:t>
            </w:r>
          </w:p>
        </w:tc>
        <w:tc>
          <w:tcPr>
            <w:tcW w:w="625" w:type="dxa"/>
            <w:tcBorders>
              <w:top w:val="single" w:sz="4" w:space="0" w:color="auto"/>
              <w:left w:val="single" w:sz="4" w:space="0" w:color="auto"/>
              <w:bottom w:val="single" w:sz="4" w:space="0" w:color="auto"/>
              <w:right w:val="single" w:sz="4" w:space="0" w:color="auto"/>
            </w:tcBorders>
            <w:shd w:val="clear" w:color="000000" w:fill="538DD5"/>
            <w:noWrap/>
            <w:tcMar>
              <w:left w:w="57" w:type="dxa"/>
              <w:right w:w="57" w:type="dxa"/>
            </w:tcMar>
            <w:vAlign w:val="bottom"/>
            <w:hideMark/>
          </w:tcPr>
          <w:p w14:paraId="66192D8F" w14:textId="6DC66696" w:rsidR="00826E00" w:rsidRPr="00826E00" w:rsidRDefault="00826E00" w:rsidP="00826E00">
            <w:pPr>
              <w:spacing w:after="0"/>
              <w:jc w:val="right"/>
              <w:rPr>
                <w:rStyle w:val="IntenseReference"/>
              </w:rPr>
            </w:pPr>
            <w:r w:rsidRPr="00826E00">
              <w:rPr>
                <w:rFonts w:ascii="Arial Narrow" w:hAnsi="Arial Narrow"/>
                <w:color w:val="000000"/>
                <w:sz w:val="20"/>
              </w:rPr>
              <w:t>0.94</w:t>
            </w:r>
          </w:p>
        </w:tc>
        <w:tc>
          <w:tcPr>
            <w:tcW w:w="625" w:type="dxa"/>
            <w:tcBorders>
              <w:top w:val="single" w:sz="4" w:space="0" w:color="auto"/>
              <w:left w:val="single" w:sz="4" w:space="0" w:color="auto"/>
              <w:bottom w:val="single" w:sz="4" w:space="0" w:color="auto"/>
              <w:right w:val="single" w:sz="4" w:space="0" w:color="auto"/>
            </w:tcBorders>
            <w:shd w:val="clear" w:color="000000" w:fill="C5D9F1"/>
            <w:noWrap/>
            <w:tcMar>
              <w:left w:w="57" w:type="dxa"/>
              <w:right w:w="57" w:type="dxa"/>
            </w:tcMar>
            <w:vAlign w:val="bottom"/>
            <w:hideMark/>
          </w:tcPr>
          <w:p w14:paraId="6EF5B444" w14:textId="6F5A78BB" w:rsidR="00826E00" w:rsidRPr="00826E00" w:rsidRDefault="00826E00" w:rsidP="00826E00">
            <w:pPr>
              <w:spacing w:after="0"/>
              <w:jc w:val="right"/>
              <w:rPr>
                <w:rStyle w:val="IntenseReference"/>
              </w:rPr>
            </w:pPr>
            <w:r w:rsidRPr="00826E00">
              <w:rPr>
                <w:rFonts w:ascii="Arial Narrow" w:hAnsi="Arial Narrow"/>
                <w:color w:val="000000"/>
                <w:sz w:val="20"/>
              </w:rPr>
              <w:t>0.17</w:t>
            </w:r>
          </w:p>
        </w:tc>
        <w:tc>
          <w:tcPr>
            <w:tcW w:w="626" w:type="dxa"/>
            <w:tcBorders>
              <w:top w:val="single" w:sz="4" w:space="0" w:color="auto"/>
              <w:left w:val="single" w:sz="4" w:space="0" w:color="auto"/>
              <w:bottom w:val="single" w:sz="4" w:space="0" w:color="auto"/>
              <w:right w:val="single" w:sz="4" w:space="0" w:color="auto"/>
            </w:tcBorders>
            <w:shd w:val="clear" w:color="000000" w:fill="C5D9F1"/>
            <w:noWrap/>
            <w:tcMar>
              <w:left w:w="57" w:type="dxa"/>
              <w:right w:w="57" w:type="dxa"/>
            </w:tcMar>
            <w:vAlign w:val="bottom"/>
            <w:hideMark/>
          </w:tcPr>
          <w:p w14:paraId="6311956E" w14:textId="7CD6A207" w:rsidR="00826E00" w:rsidRPr="00826E00" w:rsidRDefault="00826E00" w:rsidP="00826E00">
            <w:pPr>
              <w:spacing w:after="0"/>
              <w:jc w:val="right"/>
              <w:rPr>
                <w:rStyle w:val="IntenseReference"/>
              </w:rPr>
            </w:pPr>
            <w:r w:rsidRPr="00826E00">
              <w:rPr>
                <w:rFonts w:ascii="Arial Narrow" w:hAnsi="Arial Narrow"/>
                <w:color w:val="000000"/>
                <w:sz w:val="20"/>
              </w:rPr>
              <w:t>0.74</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349E7933" w14:textId="5112EFBC" w:rsidR="00826E00" w:rsidRPr="00826E00" w:rsidRDefault="00826E00" w:rsidP="00826E00">
            <w:pPr>
              <w:spacing w:after="0"/>
              <w:jc w:val="right"/>
              <w:rPr>
                <w:rStyle w:val="IntenseReference"/>
              </w:rPr>
            </w:pPr>
            <w:r w:rsidRPr="00826E00">
              <w:rPr>
                <w:rFonts w:ascii="Arial Narrow" w:hAnsi="Arial Narrow"/>
                <w:color w:val="000000"/>
                <w:sz w:val="20"/>
              </w:rPr>
              <w:t>0.02</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3E9C6402" w14:textId="5E83EF9D" w:rsidR="00826E00" w:rsidRPr="00826E00" w:rsidRDefault="00826E00" w:rsidP="00826E00">
            <w:pPr>
              <w:spacing w:after="0"/>
              <w:jc w:val="right"/>
              <w:rPr>
                <w:rStyle w:val="IntenseReference"/>
              </w:rPr>
            </w:pPr>
            <w:r w:rsidRPr="00826E00">
              <w:rPr>
                <w:rFonts w:ascii="Arial Narrow" w:hAnsi="Arial Narrow"/>
                <w:color w:val="000000"/>
                <w:sz w:val="20"/>
              </w:rPr>
              <w:t>0.58</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10B56956" w14:textId="068C3E98" w:rsidR="00826E00" w:rsidRPr="00826E00" w:rsidRDefault="00826E00" w:rsidP="00826E00">
            <w:pPr>
              <w:spacing w:after="0"/>
              <w:jc w:val="right"/>
              <w:rPr>
                <w:rStyle w:val="IntenseReference"/>
              </w:rPr>
            </w:pPr>
            <w:r w:rsidRPr="00826E00">
              <w:rPr>
                <w:rFonts w:ascii="Arial Narrow" w:hAnsi="Arial Narrow"/>
                <w:color w:val="000000"/>
                <w:sz w:val="20"/>
              </w:rPr>
              <w:t>0.05</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1A96BC18" w14:textId="4D49F78E" w:rsidR="00826E00" w:rsidRPr="00826E00" w:rsidRDefault="00826E00" w:rsidP="00826E00">
            <w:pPr>
              <w:spacing w:after="0"/>
              <w:jc w:val="right"/>
              <w:rPr>
                <w:rStyle w:val="IntenseReference"/>
              </w:rPr>
            </w:pPr>
            <w:r w:rsidRPr="00826E00">
              <w:rPr>
                <w:rFonts w:ascii="Arial Narrow" w:hAnsi="Arial Narrow"/>
                <w:color w:val="000000"/>
                <w:sz w:val="20"/>
              </w:rPr>
              <w:t>0.63</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23BAB2DF" w14:textId="29AACE1E" w:rsidR="00826E00" w:rsidRPr="00826E00" w:rsidRDefault="00826E00" w:rsidP="00826E00">
            <w:pPr>
              <w:spacing w:after="0"/>
              <w:jc w:val="right"/>
              <w:rPr>
                <w:rStyle w:val="IntenseReference"/>
              </w:rPr>
            </w:pPr>
            <w:r w:rsidRPr="00826E00">
              <w:rPr>
                <w:rFonts w:ascii="Arial Narrow" w:hAnsi="Arial Narrow"/>
                <w:color w:val="000000"/>
                <w:sz w:val="20"/>
              </w:rPr>
              <w:t>0.00</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4C6CD9CC" w14:textId="18B20BF9" w:rsidR="00826E00" w:rsidRPr="00826E00" w:rsidRDefault="00826E00" w:rsidP="00826E00">
            <w:pPr>
              <w:spacing w:after="0"/>
              <w:jc w:val="right"/>
              <w:rPr>
                <w:rStyle w:val="IntenseReference"/>
              </w:rPr>
            </w:pPr>
            <w:r w:rsidRPr="00826E00">
              <w:rPr>
                <w:rFonts w:ascii="Arial Narrow" w:hAnsi="Arial Narrow"/>
                <w:color w:val="000000"/>
                <w:sz w:val="20"/>
              </w:rPr>
              <w:t>0.00</w:t>
            </w:r>
          </w:p>
        </w:tc>
      </w:tr>
    </w:tbl>
    <w:p w14:paraId="60AD4997" w14:textId="77777777" w:rsidR="002A3B0E" w:rsidRDefault="002A3B0E" w:rsidP="00D93815">
      <w:pPr>
        <w:rPr>
          <w:rFonts w:cs="Arial"/>
        </w:rPr>
      </w:pPr>
    </w:p>
    <w:p w14:paraId="11EA90AF" w14:textId="2CCFD00A" w:rsidR="00B36605" w:rsidRPr="00F439FB" w:rsidRDefault="00B36605" w:rsidP="00B36605">
      <w:pPr>
        <w:rPr>
          <w:rFonts w:cs="Arial"/>
          <w:color w:val="4F81BD" w:themeColor="accent1"/>
        </w:rPr>
      </w:pPr>
      <w:r w:rsidRPr="008C0567">
        <w:rPr>
          <w:rFonts w:cs="Arial"/>
        </w:rPr>
        <w:t xml:space="preserve">Coral communities are monitored at six fringing reefs within Keppel Bay. </w:t>
      </w:r>
      <w:r w:rsidRPr="008C0567">
        <w:rPr>
          <w:rFonts w:eastAsiaTheme="minorHAnsi" w:cs="Arial"/>
          <w:szCs w:val="22"/>
        </w:rPr>
        <w:t xml:space="preserve">Peak and Pelican are situated in relatively turbid and nutrient rich waters compared to reefs further </w:t>
      </w:r>
      <w:r w:rsidRPr="00117212">
        <w:rPr>
          <w:rFonts w:eastAsiaTheme="minorHAnsi" w:cs="Arial"/>
          <w:szCs w:val="22"/>
        </w:rPr>
        <w:t>offshore (</w:t>
      </w:r>
      <w:r w:rsidR="002032CF">
        <w:rPr>
          <w:rFonts w:eastAsiaTheme="minorHAnsi" w:cs="Arial"/>
          <w:szCs w:val="22"/>
        </w:rPr>
        <w:fldChar w:fldCharType="begin"/>
      </w:r>
      <w:r w:rsidR="002032CF">
        <w:rPr>
          <w:rFonts w:eastAsiaTheme="minorHAnsi" w:cs="Arial"/>
          <w:szCs w:val="22"/>
        </w:rPr>
        <w:instrText xml:space="preserve"> REF _Ref491345321 \h </w:instrText>
      </w:r>
      <w:r w:rsidR="002032CF">
        <w:rPr>
          <w:rFonts w:eastAsiaTheme="minorHAnsi" w:cs="Arial"/>
          <w:szCs w:val="22"/>
        </w:rPr>
      </w:r>
      <w:r w:rsidR="002032CF">
        <w:rPr>
          <w:rFonts w:eastAsiaTheme="minorHAnsi" w:cs="Arial"/>
          <w:szCs w:val="22"/>
        </w:rPr>
        <w:fldChar w:fldCharType="separate"/>
      </w:r>
      <w:r w:rsidR="00D806F2">
        <w:t xml:space="preserve">Figure </w:t>
      </w:r>
      <w:r w:rsidR="00D806F2">
        <w:rPr>
          <w:noProof/>
        </w:rPr>
        <w:t>22</w:t>
      </w:r>
      <w:r w:rsidR="002032CF">
        <w:rPr>
          <w:rFonts w:eastAsiaTheme="minorHAnsi" w:cs="Arial"/>
          <w:szCs w:val="22"/>
        </w:rPr>
        <w:fldChar w:fldCharType="end"/>
      </w:r>
      <w:r w:rsidR="00497E9D">
        <w:rPr>
          <w:rFonts w:eastAsiaTheme="minorHAnsi" w:cs="Arial"/>
          <w:szCs w:val="22"/>
        </w:rPr>
        <w:t>a, b</w:t>
      </w:r>
      <w:r w:rsidRPr="008C0567">
        <w:rPr>
          <w:rFonts w:eastAsiaTheme="minorHAnsi" w:cs="Arial"/>
          <w:szCs w:val="22"/>
        </w:rPr>
        <w:t>)</w:t>
      </w:r>
      <w:r w:rsidR="008F1BE2">
        <w:rPr>
          <w:rFonts w:eastAsiaTheme="minorHAnsi" w:cs="Arial"/>
          <w:szCs w:val="22"/>
        </w:rPr>
        <w:t xml:space="preserve">. </w:t>
      </w:r>
      <w:r w:rsidRPr="008C0567">
        <w:rPr>
          <w:rFonts w:eastAsiaTheme="minorHAnsi" w:cs="Arial"/>
          <w:szCs w:val="22"/>
        </w:rPr>
        <w:t xml:space="preserve">Keppels South, Middle </w:t>
      </w:r>
      <w:r w:rsidRPr="006C3296">
        <w:rPr>
          <w:rFonts w:eastAsiaTheme="minorHAnsi" w:cs="Arial"/>
          <w:color w:val="000000" w:themeColor="text1"/>
          <w:szCs w:val="22"/>
        </w:rPr>
        <w:t xml:space="preserve">and </w:t>
      </w:r>
      <w:r w:rsidR="00497E9D" w:rsidRPr="006C3296">
        <w:rPr>
          <w:rFonts w:eastAsiaTheme="minorHAnsi" w:cs="Arial"/>
          <w:color w:val="000000" w:themeColor="text1"/>
          <w:szCs w:val="22"/>
        </w:rPr>
        <w:t xml:space="preserve">North Keppel are also exposed to well above guideline concentrations of </w:t>
      </w:r>
      <w:r w:rsidR="008E3627">
        <w:rPr>
          <w:rFonts w:eastAsiaTheme="minorHAnsi" w:cs="Arial"/>
          <w:color w:val="000000" w:themeColor="text1"/>
          <w:szCs w:val="22"/>
        </w:rPr>
        <w:t>Chl</w:t>
      </w:r>
      <w:r w:rsidR="00497E9D" w:rsidRPr="006C3296">
        <w:rPr>
          <w:rFonts w:eastAsiaTheme="minorHAnsi" w:cs="Arial"/>
          <w:color w:val="000000" w:themeColor="text1"/>
          <w:szCs w:val="22"/>
        </w:rPr>
        <w:t xml:space="preserve"> </w:t>
      </w:r>
      <w:r w:rsidR="00497E9D" w:rsidRPr="00663F7B">
        <w:rPr>
          <w:rFonts w:eastAsiaTheme="minorHAnsi" w:cs="Arial"/>
          <w:i/>
          <w:color w:val="000000" w:themeColor="text1"/>
          <w:szCs w:val="22"/>
        </w:rPr>
        <w:t>a</w:t>
      </w:r>
      <w:r w:rsidR="00497E9D" w:rsidRPr="006C3296">
        <w:rPr>
          <w:rFonts w:eastAsiaTheme="minorHAnsi" w:cs="Arial"/>
          <w:color w:val="000000" w:themeColor="text1"/>
          <w:szCs w:val="22"/>
        </w:rPr>
        <w:t xml:space="preserve"> compared to </w:t>
      </w:r>
      <w:r w:rsidRPr="006C3296">
        <w:rPr>
          <w:rFonts w:eastAsiaTheme="minorHAnsi" w:cs="Arial"/>
          <w:color w:val="000000" w:themeColor="text1"/>
          <w:szCs w:val="22"/>
        </w:rPr>
        <w:t xml:space="preserve">Barren </w:t>
      </w:r>
      <w:r w:rsidR="00497E9D" w:rsidRPr="006C3296">
        <w:rPr>
          <w:rFonts w:eastAsiaTheme="minorHAnsi" w:cs="Arial"/>
          <w:color w:val="000000" w:themeColor="text1"/>
          <w:szCs w:val="22"/>
        </w:rPr>
        <w:t xml:space="preserve">where mean </w:t>
      </w:r>
      <w:r w:rsidR="008E3627">
        <w:rPr>
          <w:rFonts w:eastAsiaTheme="minorHAnsi" w:cs="Arial"/>
          <w:color w:val="000000" w:themeColor="text1"/>
          <w:szCs w:val="22"/>
        </w:rPr>
        <w:t>Chl</w:t>
      </w:r>
      <w:r w:rsidR="00497E9D" w:rsidRPr="006C3296">
        <w:rPr>
          <w:rFonts w:eastAsiaTheme="minorHAnsi" w:cs="Arial"/>
          <w:color w:val="000000" w:themeColor="text1"/>
          <w:szCs w:val="22"/>
        </w:rPr>
        <w:t xml:space="preserve"> </w:t>
      </w:r>
      <w:r w:rsidR="00497E9D" w:rsidRPr="00663F7B">
        <w:rPr>
          <w:rFonts w:eastAsiaTheme="minorHAnsi" w:cs="Arial"/>
          <w:i/>
          <w:color w:val="000000" w:themeColor="text1"/>
          <w:szCs w:val="22"/>
        </w:rPr>
        <w:t>a</w:t>
      </w:r>
      <w:r w:rsidR="00497E9D" w:rsidRPr="006C3296">
        <w:rPr>
          <w:rFonts w:eastAsiaTheme="minorHAnsi" w:cs="Arial"/>
          <w:color w:val="000000" w:themeColor="text1"/>
          <w:szCs w:val="22"/>
        </w:rPr>
        <w:t xml:space="preserve"> is close to the Guideline</w:t>
      </w:r>
      <w:r w:rsidR="006C3296" w:rsidRPr="006C3296">
        <w:rPr>
          <w:rFonts w:eastAsiaTheme="minorHAnsi" w:cs="Arial"/>
          <w:color w:val="000000" w:themeColor="text1"/>
          <w:szCs w:val="22"/>
        </w:rPr>
        <w:t>;</w:t>
      </w:r>
      <w:r w:rsidR="00497E9D" w:rsidRPr="006C3296">
        <w:rPr>
          <w:rFonts w:eastAsiaTheme="minorHAnsi" w:cs="Arial"/>
          <w:color w:val="000000" w:themeColor="text1"/>
          <w:szCs w:val="22"/>
        </w:rPr>
        <w:t xml:space="preserve"> all these reefs share reasonably low levels of </w:t>
      </w:r>
      <w:r w:rsidR="007B79D8">
        <w:rPr>
          <w:rFonts w:eastAsiaTheme="minorHAnsi" w:cs="Arial"/>
          <w:color w:val="000000" w:themeColor="text1"/>
          <w:szCs w:val="22"/>
        </w:rPr>
        <w:t>total suspended solids</w:t>
      </w:r>
      <w:r w:rsidR="007B79D8" w:rsidRPr="006C3296">
        <w:rPr>
          <w:rFonts w:eastAsiaTheme="minorHAnsi" w:cs="Arial"/>
          <w:color w:val="000000" w:themeColor="text1"/>
          <w:szCs w:val="22"/>
        </w:rPr>
        <w:t xml:space="preserve"> </w:t>
      </w:r>
      <w:r w:rsidRPr="006C3296">
        <w:rPr>
          <w:rFonts w:eastAsiaTheme="minorHAnsi" w:cs="Arial"/>
          <w:color w:val="000000" w:themeColor="text1"/>
          <w:szCs w:val="22"/>
        </w:rPr>
        <w:t>(</w:t>
      </w:r>
      <w:r w:rsidR="002032CF">
        <w:rPr>
          <w:rFonts w:eastAsiaTheme="minorHAnsi" w:cs="Arial"/>
          <w:color w:val="000000" w:themeColor="text1"/>
          <w:szCs w:val="22"/>
        </w:rPr>
        <w:fldChar w:fldCharType="begin"/>
      </w:r>
      <w:r w:rsidR="002032CF">
        <w:rPr>
          <w:rFonts w:eastAsiaTheme="minorHAnsi" w:cs="Arial"/>
          <w:color w:val="000000" w:themeColor="text1"/>
          <w:szCs w:val="22"/>
        </w:rPr>
        <w:instrText xml:space="preserve"> REF _Ref491345321 \h </w:instrText>
      </w:r>
      <w:r w:rsidR="002032CF">
        <w:rPr>
          <w:rFonts w:eastAsiaTheme="minorHAnsi" w:cs="Arial"/>
          <w:color w:val="000000" w:themeColor="text1"/>
          <w:szCs w:val="22"/>
        </w:rPr>
      </w:r>
      <w:r w:rsidR="002032CF">
        <w:rPr>
          <w:rFonts w:eastAsiaTheme="minorHAnsi" w:cs="Arial"/>
          <w:color w:val="000000" w:themeColor="text1"/>
          <w:szCs w:val="22"/>
        </w:rPr>
        <w:fldChar w:fldCharType="separate"/>
      </w:r>
      <w:r w:rsidR="00D806F2">
        <w:t xml:space="preserve">Figure </w:t>
      </w:r>
      <w:r w:rsidR="00D806F2">
        <w:rPr>
          <w:noProof/>
        </w:rPr>
        <w:t>22</w:t>
      </w:r>
      <w:r w:rsidR="002032CF">
        <w:rPr>
          <w:rFonts w:eastAsiaTheme="minorHAnsi" w:cs="Arial"/>
          <w:color w:val="000000" w:themeColor="text1"/>
          <w:szCs w:val="22"/>
        </w:rPr>
        <w:fldChar w:fldCharType="end"/>
      </w:r>
      <w:r w:rsidR="006C3296" w:rsidRPr="006C3296">
        <w:rPr>
          <w:rFonts w:eastAsiaTheme="minorHAnsi" w:cs="Arial"/>
          <w:color w:val="000000" w:themeColor="text1"/>
          <w:szCs w:val="22"/>
        </w:rPr>
        <w:t>a, b</w:t>
      </w:r>
      <w:r w:rsidR="00E6522F">
        <w:rPr>
          <w:rFonts w:eastAsiaTheme="minorHAnsi" w:cs="Arial"/>
          <w:color w:val="000000" w:themeColor="text1"/>
          <w:szCs w:val="22"/>
        </w:rPr>
        <w:t>,</w:t>
      </w:r>
      <w:r w:rsidR="002032CF">
        <w:rPr>
          <w:rFonts w:eastAsiaTheme="minorHAnsi" w:cs="Arial"/>
          <w:color w:val="000000" w:themeColor="text1"/>
          <w:szCs w:val="22"/>
        </w:rPr>
        <w:t xml:space="preserve"> </w:t>
      </w:r>
      <w:r w:rsidR="002032CF">
        <w:rPr>
          <w:rFonts w:eastAsiaTheme="minorHAnsi" w:cs="Arial"/>
          <w:color w:val="000000" w:themeColor="text1"/>
          <w:szCs w:val="22"/>
        </w:rPr>
        <w:fldChar w:fldCharType="begin"/>
      </w:r>
      <w:r w:rsidR="002032CF">
        <w:rPr>
          <w:rFonts w:eastAsiaTheme="minorHAnsi" w:cs="Arial"/>
          <w:color w:val="000000" w:themeColor="text1"/>
          <w:szCs w:val="22"/>
        </w:rPr>
        <w:instrText xml:space="preserve"> REF _Ref491177799 \h </w:instrText>
      </w:r>
      <w:r w:rsidR="002032CF">
        <w:rPr>
          <w:rFonts w:eastAsiaTheme="minorHAnsi" w:cs="Arial"/>
          <w:color w:val="000000" w:themeColor="text1"/>
          <w:szCs w:val="22"/>
        </w:rPr>
      </w:r>
      <w:r w:rsidR="002032CF">
        <w:rPr>
          <w:rFonts w:eastAsiaTheme="minorHAnsi" w:cs="Arial"/>
          <w:color w:val="000000" w:themeColor="text1"/>
          <w:szCs w:val="22"/>
        </w:rPr>
        <w:fldChar w:fldCharType="separate"/>
      </w:r>
      <w:r w:rsidR="00D806F2">
        <w:t xml:space="preserve">Table A1. </w:t>
      </w:r>
      <w:r w:rsidR="00D806F2">
        <w:rPr>
          <w:noProof/>
        </w:rPr>
        <w:t>6</w:t>
      </w:r>
      <w:r w:rsidR="002032CF">
        <w:rPr>
          <w:rFonts w:eastAsiaTheme="minorHAnsi" w:cs="Arial"/>
          <w:color w:val="000000" w:themeColor="text1"/>
          <w:szCs w:val="22"/>
        </w:rPr>
        <w:fldChar w:fldCharType="end"/>
      </w:r>
      <w:r w:rsidR="002032CF">
        <w:rPr>
          <w:rFonts w:eastAsiaTheme="minorHAnsi" w:cs="Arial"/>
          <w:color w:val="000000" w:themeColor="text1"/>
          <w:szCs w:val="22"/>
        </w:rPr>
        <w:t xml:space="preserve"> </w:t>
      </w:r>
      <w:r w:rsidRPr="006C3296">
        <w:rPr>
          <w:rFonts w:eastAsiaTheme="minorHAnsi" w:cs="Arial"/>
          <w:color w:val="000000" w:themeColor="text1"/>
          <w:szCs w:val="22"/>
        </w:rPr>
        <w:t xml:space="preserve">). </w:t>
      </w:r>
      <w:r w:rsidR="00C07634">
        <w:rPr>
          <w:rFonts w:eastAsiaTheme="minorHAnsi" w:cs="Arial"/>
          <w:color w:val="000000" w:themeColor="text1"/>
          <w:szCs w:val="22"/>
        </w:rPr>
        <w:t>The gradients</w:t>
      </w:r>
      <w:r w:rsidRPr="006C3296">
        <w:rPr>
          <w:rFonts w:eastAsiaTheme="minorHAnsi" w:cs="Arial"/>
          <w:color w:val="000000" w:themeColor="text1"/>
          <w:szCs w:val="22"/>
        </w:rPr>
        <w:t xml:space="preserve"> in water quality are clearly evident in the benthic communities. At </w:t>
      </w:r>
      <w:r w:rsidRPr="006C3296">
        <w:rPr>
          <w:rFonts w:cs="Arial"/>
          <w:color w:val="000000" w:themeColor="text1"/>
        </w:rPr>
        <w:t xml:space="preserve">Peak </w:t>
      </w:r>
      <w:r w:rsidRPr="008C0567">
        <w:rPr>
          <w:rFonts w:cs="Arial"/>
        </w:rPr>
        <w:t>and Pelican benthic communi</w:t>
      </w:r>
      <w:r w:rsidR="002032CF">
        <w:rPr>
          <w:rFonts w:cs="Arial"/>
        </w:rPr>
        <w:t>ties differ markedly between</w:t>
      </w:r>
      <w:r w:rsidRPr="008C0567">
        <w:rPr>
          <w:rFonts w:cs="Arial"/>
        </w:rPr>
        <w:t xml:space="preserve"> 2</w:t>
      </w:r>
      <w:r w:rsidR="002032CF">
        <w:rPr>
          <w:rFonts w:cs="Arial"/>
        </w:rPr>
        <w:t xml:space="preserve"> </w:t>
      </w:r>
      <w:r w:rsidRPr="008C0567">
        <w:rPr>
          <w:rFonts w:cs="Arial"/>
        </w:rPr>
        <w:t>m and 5</w:t>
      </w:r>
      <w:r w:rsidR="002032CF">
        <w:rPr>
          <w:rFonts w:cs="Arial"/>
        </w:rPr>
        <w:t xml:space="preserve"> </w:t>
      </w:r>
      <w:r w:rsidRPr="008C0567">
        <w:rPr>
          <w:rFonts w:cs="Arial"/>
        </w:rPr>
        <w:t xml:space="preserve">m </w:t>
      </w:r>
      <w:r w:rsidRPr="00BE20D6">
        <w:rPr>
          <w:rFonts w:cs="Arial"/>
        </w:rPr>
        <w:t>depths</w:t>
      </w:r>
      <w:r w:rsidRPr="00BE20D6">
        <w:rPr>
          <w:rFonts w:eastAsiaTheme="minorHAnsi" w:cs="Arial"/>
          <w:szCs w:val="22"/>
        </w:rPr>
        <w:t xml:space="preserve"> (</w:t>
      </w:r>
      <w:r w:rsidR="00BE20D6" w:rsidRPr="00BE20D6">
        <w:rPr>
          <w:rFonts w:eastAsiaTheme="minorHAnsi" w:cs="Arial"/>
          <w:szCs w:val="22"/>
        </w:rPr>
        <w:fldChar w:fldCharType="begin"/>
      </w:r>
      <w:r w:rsidR="00BE20D6" w:rsidRPr="00BE20D6">
        <w:rPr>
          <w:rFonts w:eastAsiaTheme="minorHAnsi" w:cs="Arial"/>
          <w:szCs w:val="22"/>
        </w:rPr>
        <w:instrText xml:space="preserve"> REF _Ref492390386 \h </w:instrText>
      </w:r>
      <w:r w:rsidR="00BE20D6">
        <w:rPr>
          <w:rFonts w:eastAsiaTheme="minorHAnsi" w:cs="Arial"/>
          <w:szCs w:val="22"/>
        </w:rPr>
        <w:instrText xml:space="preserve"> \* MERGEFORMAT </w:instrText>
      </w:r>
      <w:r w:rsidR="00BE20D6" w:rsidRPr="00BE20D6">
        <w:rPr>
          <w:rFonts w:eastAsiaTheme="minorHAnsi" w:cs="Arial"/>
          <w:szCs w:val="22"/>
        </w:rPr>
      </w:r>
      <w:r w:rsidR="00BE20D6" w:rsidRPr="00BE20D6">
        <w:rPr>
          <w:rFonts w:eastAsiaTheme="minorHAnsi" w:cs="Arial"/>
          <w:szCs w:val="22"/>
        </w:rPr>
        <w:fldChar w:fldCharType="separate"/>
      </w:r>
      <w:r w:rsidR="00D806F2">
        <w:t xml:space="preserve">Figure A1. </w:t>
      </w:r>
      <w:r w:rsidR="00D806F2">
        <w:rPr>
          <w:noProof/>
        </w:rPr>
        <w:t>6</w:t>
      </w:r>
      <w:r w:rsidR="00BE20D6" w:rsidRPr="00BE20D6">
        <w:rPr>
          <w:rFonts w:eastAsiaTheme="minorHAnsi" w:cs="Arial"/>
          <w:szCs w:val="22"/>
        </w:rPr>
        <w:fldChar w:fldCharType="end"/>
      </w:r>
      <w:r w:rsidRPr="00BE20D6">
        <w:rPr>
          <w:rFonts w:eastAsiaTheme="minorHAnsi" w:cs="Arial"/>
          <w:szCs w:val="22"/>
        </w:rPr>
        <w:t xml:space="preserve">) </w:t>
      </w:r>
      <w:r w:rsidRPr="00BE20D6">
        <w:rPr>
          <w:rFonts w:cs="Arial"/>
        </w:rPr>
        <w:t>illustrating the substantial attenuation of light as a result of high turbidity</w:t>
      </w:r>
      <w:r w:rsidR="002032CF" w:rsidRPr="00BE20D6">
        <w:rPr>
          <w:rFonts w:cs="Arial"/>
        </w:rPr>
        <w:t>. The differences in community composition are evident in the baseline conditions for the Composition metric (</w:t>
      </w:r>
      <w:r w:rsidR="002032CF" w:rsidRPr="00BE20D6">
        <w:rPr>
          <w:rFonts w:cs="Arial"/>
        </w:rPr>
        <w:fldChar w:fldCharType="begin"/>
      </w:r>
      <w:r w:rsidR="002032CF" w:rsidRPr="00BE20D6">
        <w:rPr>
          <w:rFonts w:cs="Arial"/>
        </w:rPr>
        <w:instrText xml:space="preserve"> REF _Ref491345128 \h </w:instrText>
      </w:r>
      <w:r w:rsidR="00BE20D6">
        <w:rPr>
          <w:rFonts w:cs="Arial"/>
        </w:rPr>
        <w:instrText xml:space="preserve"> \* MERGEFORMAT </w:instrText>
      </w:r>
      <w:r w:rsidR="002032CF" w:rsidRPr="00BE20D6">
        <w:rPr>
          <w:rFonts w:cs="Arial"/>
        </w:rPr>
      </w:r>
      <w:r w:rsidR="002032CF" w:rsidRPr="00BE20D6">
        <w:rPr>
          <w:rFonts w:cs="Arial"/>
        </w:rPr>
        <w:fldChar w:fldCharType="separate"/>
      </w:r>
      <w:r w:rsidR="00D806F2">
        <w:t xml:space="preserve">Figure </w:t>
      </w:r>
      <w:r w:rsidR="00D806F2">
        <w:rPr>
          <w:noProof/>
        </w:rPr>
        <w:t>23</w:t>
      </w:r>
      <w:r w:rsidR="002032CF" w:rsidRPr="00BE20D6">
        <w:rPr>
          <w:rFonts w:cs="Arial"/>
        </w:rPr>
        <w:fldChar w:fldCharType="end"/>
      </w:r>
      <w:r w:rsidR="002032CF" w:rsidRPr="00BE20D6">
        <w:rPr>
          <w:rFonts w:cs="Arial"/>
        </w:rPr>
        <w:t>f)</w:t>
      </w:r>
      <w:r w:rsidRPr="00BE20D6">
        <w:rPr>
          <w:rFonts w:cs="Arial"/>
        </w:rPr>
        <w:t>. Pelican has a highly stratified environment, supporting slow growing, low-light tolerant corals at depth, and fast-growing Acroporidae in the shallows</w:t>
      </w:r>
      <w:r w:rsidR="004A0FD4" w:rsidRPr="00BE20D6">
        <w:rPr>
          <w:rFonts w:cs="Arial"/>
        </w:rPr>
        <w:t>, al</w:t>
      </w:r>
      <w:r w:rsidRPr="00BE20D6">
        <w:rPr>
          <w:rFonts w:cs="Arial"/>
        </w:rPr>
        <w:t xml:space="preserve">though these shallow communities </w:t>
      </w:r>
      <w:r w:rsidR="004A0FD4" w:rsidRPr="00BE20D6">
        <w:rPr>
          <w:rFonts w:cs="Arial"/>
        </w:rPr>
        <w:t>were killed when</w:t>
      </w:r>
      <w:r w:rsidRPr="00BE20D6">
        <w:rPr>
          <w:rFonts w:cs="Arial"/>
        </w:rPr>
        <w:t xml:space="preserve"> expos</w:t>
      </w:r>
      <w:r w:rsidR="004A0FD4" w:rsidRPr="00BE20D6">
        <w:rPr>
          <w:rFonts w:cs="Arial"/>
        </w:rPr>
        <w:t>ed</w:t>
      </w:r>
      <w:r w:rsidRPr="00BE20D6">
        <w:rPr>
          <w:rFonts w:cs="Arial"/>
        </w:rPr>
        <w:t xml:space="preserve"> to freshwater during the 2011 floods and replaced by macroalgae (</w:t>
      </w:r>
      <w:r w:rsidR="00BE20D6" w:rsidRPr="00BE20D6">
        <w:rPr>
          <w:rFonts w:cs="Arial"/>
        </w:rPr>
        <w:fldChar w:fldCharType="begin"/>
      </w:r>
      <w:r w:rsidR="00BE20D6" w:rsidRPr="00BE20D6">
        <w:rPr>
          <w:rFonts w:cs="Arial"/>
        </w:rPr>
        <w:instrText xml:space="preserve"> REF _Ref492390386 \h </w:instrText>
      </w:r>
      <w:r w:rsidR="00BE20D6">
        <w:rPr>
          <w:rFonts w:cs="Arial"/>
        </w:rPr>
        <w:instrText xml:space="preserve"> \* MERGEFORMAT </w:instrText>
      </w:r>
      <w:r w:rsidR="00BE20D6" w:rsidRPr="00BE20D6">
        <w:rPr>
          <w:rFonts w:cs="Arial"/>
        </w:rPr>
      </w:r>
      <w:r w:rsidR="00BE20D6" w:rsidRPr="00BE20D6">
        <w:rPr>
          <w:rFonts w:cs="Arial"/>
        </w:rPr>
        <w:fldChar w:fldCharType="separate"/>
      </w:r>
      <w:r w:rsidR="00D806F2">
        <w:t xml:space="preserve">Figure A1. </w:t>
      </w:r>
      <w:r w:rsidR="00D806F2">
        <w:rPr>
          <w:noProof/>
        </w:rPr>
        <w:t>6</w:t>
      </w:r>
      <w:r w:rsidR="00BE20D6" w:rsidRPr="00BE20D6">
        <w:rPr>
          <w:rFonts w:cs="Arial"/>
        </w:rPr>
        <w:fldChar w:fldCharType="end"/>
      </w:r>
      <w:r w:rsidR="007B79D8" w:rsidRPr="00BE20D6">
        <w:rPr>
          <w:rFonts w:cs="Arial"/>
        </w:rPr>
        <w:t>)</w:t>
      </w:r>
      <w:r w:rsidRPr="00BE20D6">
        <w:rPr>
          <w:rFonts w:cs="Arial"/>
        </w:rPr>
        <w:t xml:space="preserve">. </w:t>
      </w:r>
      <w:r w:rsidR="002032CF" w:rsidRPr="00BE20D6">
        <w:rPr>
          <w:rFonts w:cs="Arial"/>
        </w:rPr>
        <w:t>This loss of Acropora resul</w:t>
      </w:r>
      <w:r w:rsidR="001B54F0">
        <w:rPr>
          <w:rFonts w:cs="Arial"/>
        </w:rPr>
        <w:t>ted in a marked reduction in</w:t>
      </w:r>
      <w:r w:rsidR="002032CF" w:rsidRPr="00BE20D6">
        <w:rPr>
          <w:rFonts w:cs="Arial"/>
        </w:rPr>
        <w:t xml:space="preserve"> Composition at this reef (</w:t>
      </w:r>
      <w:r w:rsidR="002032CF" w:rsidRPr="00BE20D6">
        <w:rPr>
          <w:rFonts w:cs="Arial"/>
        </w:rPr>
        <w:fldChar w:fldCharType="begin"/>
      </w:r>
      <w:r w:rsidR="002032CF" w:rsidRPr="00BE20D6">
        <w:rPr>
          <w:rFonts w:cs="Arial"/>
        </w:rPr>
        <w:instrText xml:space="preserve"> REF _Ref491345128 \h </w:instrText>
      </w:r>
      <w:r w:rsidR="00BE20D6">
        <w:rPr>
          <w:rFonts w:cs="Arial"/>
        </w:rPr>
        <w:instrText xml:space="preserve"> \* MERGEFORMAT </w:instrText>
      </w:r>
      <w:r w:rsidR="002032CF" w:rsidRPr="00BE20D6">
        <w:rPr>
          <w:rFonts w:cs="Arial"/>
        </w:rPr>
      </w:r>
      <w:r w:rsidR="002032CF" w:rsidRPr="00BE20D6">
        <w:rPr>
          <w:rFonts w:cs="Arial"/>
        </w:rPr>
        <w:fldChar w:fldCharType="separate"/>
      </w:r>
      <w:r w:rsidR="00D806F2">
        <w:t xml:space="preserve">Figure </w:t>
      </w:r>
      <w:r w:rsidR="00D806F2">
        <w:rPr>
          <w:noProof/>
        </w:rPr>
        <w:t>23</w:t>
      </w:r>
      <w:r w:rsidR="002032CF" w:rsidRPr="00BE20D6">
        <w:rPr>
          <w:rFonts w:cs="Arial"/>
        </w:rPr>
        <w:fldChar w:fldCharType="end"/>
      </w:r>
      <w:r w:rsidR="002032CF" w:rsidRPr="00BE20D6">
        <w:rPr>
          <w:rFonts w:cs="Arial"/>
        </w:rPr>
        <w:t xml:space="preserve">f). </w:t>
      </w:r>
      <w:r w:rsidR="004A0FD4" w:rsidRPr="00BE20D6">
        <w:rPr>
          <w:rFonts w:cs="Arial"/>
        </w:rPr>
        <w:t xml:space="preserve">Since 2013 the gradual </w:t>
      </w:r>
      <w:r w:rsidRPr="00BE20D6">
        <w:rPr>
          <w:rFonts w:cs="Arial"/>
        </w:rPr>
        <w:t>appearance of juvenile Acroporidae (</w:t>
      </w:r>
      <w:r w:rsidR="00BE20D6" w:rsidRPr="00BE20D6">
        <w:rPr>
          <w:rFonts w:cs="Arial"/>
        </w:rPr>
        <w:fldChar w:fldCharType="begin"/>
      </w:r>
      <w:r w:rsidR="00BE20D6" w:rsidRPr="00BE20D6">
        <w:rPr>
          <w:rFonts w:cs="Arial"/>
        </w:rPr>
        <w:instrText xml:space="preserve"> REF _Ref492390386 \h </w:instrText>
      </w:r>
      <w:r w:rsidR="00BE20D6">
        <w:rPr>
          <w:rFonts w:cs="Arial"/>
        </w:rPr>
        <w:instrText xml:space="preserve"> \* MERGEFORMAT </w:instrText>
      </w:r>
      <w:r w:rsidR="00BE20D6" w:rsidRPr="00BE20D6">
        <w:rPr>
          <w:rFonts w:cs="Arial"/>
        </w:rPr>
      </w:r>
      <w:r w:rsidR="00BE20D6" w:rsidRPr="00BE20D6">
        <w:rPr>
          <w:rFonts w:cs="Arial"/>
        </w:rPr>
        <w:fldChar w:fldCharType="separate"/>
      </w:r>
      <w:r w:rsidR="00D806F2">
        <w:t xml:space="preserve">Figure A1. </w:t>
      </w:r>
      <w:r w:rsidR="00D806F2">
        <w:rPr>
          <w:noProof/>
        </w:rPr>
        <w:t>6</w:t>
      </w:r>
      <w:r w:rsidR="00BE20D6" w:rsidRPr="00BE20D6">
        <w:rPr>
          <w:rFonts w:cs="Arial"/>
        </w:rPr>
        <w:fldChar w:fldCharType="end"/>
      </w:r>
      <w:r w:rsidRPr="00BE20D6">
        <w:rPr>
          <w:rFonts w:cs="Arial"/>
        </w:rPr>
        <w:t>) mark the beginning of a recovery of the coral community</w:t>
      </w:r>
      <w:r w:rsidR="004A0FD4" w:rsidRPr="00BE20D6">
        <w:rPr>
          <w:rFonts w:cs="Arial"/>
        </w:rPr>
        <w:t xml:space="preserve"> at the 2</w:t>
      </w:r>
      <w:r w:rsidR="002032CF" w:rsidRPr="00BE20D6">
        <w:rPr>
          <w:rFonts w:cs="Arial"/>
        </w:rPr>
        <w:t xml:space="preserve"> </w:t>
      </w:r>
      <w:r w:rsidR="004A0FD4" w:rsidRPr="00BE20D6">
        <w:rPr>
          <w:rFonts w:cs="Arial"/>
        </w:rPr>
        <w:t>m depth of Pelican</w:t>
      </w:r>
      <w:r w:rsidRPr="00BE20D6">
        <w:rPr>
          <w:rFonts w:cs="Arial"/>
        </w:rPr>
        <w:t xml:space="preserve">. </w:t>
      </w:r>
      <w:r w:rsidR="002032CF" w:rsidRPr="00BE20D6">
        <w:rPr>
          <w:rFonts w:cs="Arial"/>
        </w:rPr>
        <w:t>C</w:t>
      </w:r>
      <w:r w:rsidRPr="00BE20D6">
        <w:rPr>
          <w:rFonts w:cs="Arial"/>
        </w:rPr>
        <w:t>loser to the Fitzroy River, Peak is defined by a low cover of corals, low density of juvenile corals, high cover of macroalgae</w:t>
      </w:r>
      <w:r w:rsidR="00BE20D6" w:rsidRPr="00BE20D6">
        <w:rPr>
          <w:rFonts w:cs="Arial"/>
        </w:rPr>
        <w:t xml:space="preserve"> (</w:t>
      </w:r>
      <w:r w:rsidR="00BE20D6" w:rsidRPr="00BE20D6">
        <w:rPr>
          <w:rFonts w:cs="Arial"/>
        </w:rPr>
        <w:fldChar w:fldCharType="begin"/>
      </w:r>
      <w:r w:rsidR="00BE20D6" w:rsidRPr="00BE20D6">
        <w:rPr>
          <w:rFonts w:cs="Arial"/>
        </w:rPr>
        <w:instrText xml:space="preserve"> REF _Ref492390386 \h </w:instrText>
      </w:r>
      <w:r w:rsidR="00BE20D6">
        <w:rPr>
          <w:rFonts w:cs="Arial"/>
        </w:rPr>
        <w:instrText xml:space="preserve"> \* MERGEFORMAT </w:instrText>
      </w:r>
      <w:r w:rsidR="00BE20D6" w:rsidRPr="00BE20D6">
        <w:rPr>
          <w:rFonts w:cs="Arial"/>
        </w:rPr>
      </w:r>
      <w:r w:rsidR="00BE20D6" w:rsidRPr="00BE20D6">
        <w:rPr>
          <w:rFonts w:cs="Arial"/>
        </w:rPr>
        <w:fldChar w:fldCharType="separate"/>
      </w:r>
      <w:r w:rsidR="00D806F2">
        <w:t xml:space="preserve">Figure A1. </w:t>
      </w:r>
      <w:r w:rsidR="00D806F2">
        <w:rPr>
          <w:noProof/>
        </w:rPr>
        <w:t>6</w:t>
      </w:r>
      <w:r w:rsidR="00BE20D6" w:rsidRPr="00BE20D6">
        <w:rPr>
          <w:rFonts w:cs="Arial"/>
        </w:rPr>
        <w:fldChar w:fldCharType="end"/>
      </w:r>
      <w:r w:rsidR="00BE20D6" w:rsidRPr="00BE20D6">
        <w:rPr>
          <w:rFonts w:cs="Arial"/>
        </w:rPr>
        <w:t>)</w:t>
      </w:r>
      <w:r w:rsidRPr="00BE20D6">
        <w:rPr>
          <w:rFonts w:cs="Arial"/>
        </w:rPr>
        <w:t>, and a lack of substantial reef development, suggesting that the environmental conditions at this location are marginal</w:t>
      </w:r>
      <w:r w:rsidR="00BE20D6" w:rsidRPr="00BE20D6">
        <w:rPr>
          <w:rFonts w:cs="Arial"/>
        </w:rPr>
        <w:t xml:space="preserve"> for most corals</w:t>
      </w:r>
      <w:r w:rsidRPr="00BE20D6">
        <w:rPr>
          <w:rFonts w:cs="Arial"/>
        </w:rPr>
        <w:t xml:space="preserve">. </w:t>
      </w:r>
      <w:r w:rsidR="004A0FD4" w:rsidRPr="00BE20D6">
        <w:rPr>
          <w:rFonts w:cs="Arial"/>
        </w:rPr>
        <w:t>In the less turbid waters</w:t>
      </w:r>
      <w:r w:rsidRPr="00BE20D6">
        <w:rPr>
          <w:rFonts w:cs="Arial"/>
        </w:rPr>
        <w:t xml:space="preserve"> at Keppels</w:t>
      </w:r>
      <w:r w:rsidRPr="008C0567">
        <w:rPr>
          <w:rFonts w:cs="Arial"/>
        </w:rPr>
        <w:t xml:space="preserve"> South, Middle Is, North Keppel, and Barren </w:t>
      </w:r>
      <w:r w:rsidR="00E6522F">
        <w:rPr>
          <w:rFonts w:cs="Arial"/>
        </w:rPr>
        <w:t xml:space="preserve">the coral </w:t>
      </w:r>
      <w:r w:rsidR="00457F7A">
        <w:rPr>
          <w:rFonts w:cs="Arial"/>
        </w:rPr>
        <w:t>communities</w:t>
      </w:r>
      <w:r w:rsidR="00E6522F">
        <w:rPr>
          <w:rFonts w:cs="Arial"/>
        </w:rPr>
        <w:t xml:space="preserve"> are </w:t>
      </w:r>
      <w:r w:rsidR="009026DA">
        <w:rPr>
          <w:rFonts w:cs="Arial"/>
        </w:rPr>
        <w:t>d</w:t>
      </w:r>
      <w:r w:rsidR="009026DA" w:rsidRPr="008C0567">
        <w:rPr>
          <w:rFonts w:cs="Arial"/>
        </w:rPr>
        <w:t>ominate</w:t>
      </w:r>
      <w:r w:rsidR="009026DA">
        <w:rPr>
          <w:rFonts w:cs="Arial"/>
        </w:rPr>
        <w:t>d</w:t>
      </w:r>
      <w:r w:rsidR="002032CF">
        <w:rPr>
          <w:rFonts w:cs="Arial"/>
        </w:rPr>
        <w:t xml:space="preserve"> Acroporidae</w:t>
      </w:r>
      <w:r w:rsidR="00BE20D6">
        <w:rPr>
          <w:rFonts w:cs="Arial"/>
        </w:rPr>
        <w:t xml:space="preserve"> (</w:t>
      </w:r>
      <w:r w:rsidR="00BE20D6">
        <w:rPr>
          <w:rFonts w:cs="Arial"/>
        </w:rPr>
        <w:fldChar w:fldCharType="begin"/>
      </w:r>
      <w:r w:rsidR="00BE20D6">
        <w:rPr>
          <w:rFonts w:cs="Arial"/>
        </w:rPr>
        <w:instrText xml:space="preserve"> REF _Ref492390386 \h </w:instrText>
      </w:r>
      <w:r w:rsidR="00BE20D6">
        <w:rPr>
          <w:rFonts w:cs="Arial"/>
        </w:rPr>
      </w:r>
      <w:r w:rsidR="00BE20D6">
        <w:rPr>
          <w:rFonts w:cs="Arial"/>
        </w:rPr>
        <w:fldChar w:fldCharType="separate"/>
      </w:r>
      <w:r w:rsidR="00D806F2">
        <w:t xml:space="preserve">Figure A1. </w:t>
      </w:r>
      <w:r w:rsidR="00D806F2">
        <w:rPr>
          <w:noProof/>
        </w:rPr>
        <w:t>6</w:t>
      </w:r>
      <w:r w:rsidR="00BE20D6">
        <w:rPr>
          <w:rFonts w:cs="Arial"/>
        </w:rPr>
        <w:fldChar w:fldCharType="end"/>
      </w:r>
      <w:r w:rsidR="00BE20D6">
        <w:rPr>
          <w:rFonts w:cs="Arial"/>
        </w:rPr>
        <w:t>)</w:t>
      </w:r>
      <w:r w:rsidRPr="008C0567">
        <w:rPr>
          <w:rFonts w:cs="Arial"/>
        </w:rPr>
        <w:t>, principally, but n</w:t>
      </w:r>
      <w:r>
        <w:rPr>
          <w:rFonts w:cs="Arial"/>
        </w:rPr>
        <w:t>ot restricted to, the branching species</w:t>
      </w:r>
      <w:r w:rsidRPr="008C0567">
        <w:rPr>
          <w:rFonts w:cs="Arial"/>
        </w:rPr>
        <w:t xml:space="preserve"> </w:t>
      </w:r>
      <w:r w:rsidRPr="008C0567">
        <w:rPr>
          <w:rFonts w:cs="Arial"/>
          <w:i/>
        </w:rPr>
        <w:t xml:space="preserve">Acropora intermedia </w:t>
      </w:r>
      <w:r w:rsidRPr="008C0567">
        <w:rPr>
          <w:rFonts w:cs="Arial"/>
        </w:rPr>
        <w:t>and</w:t>
      </w:r>
      <w:r w:rsidRPr="008C0567">
        <w:rPr>
          <w:rFonts w:cs="Arial"/>
          <w:i/>
        </w:rPr>
        <w:t xml:space="preserve"> A. muricata</w:t>
      </w:r>
      <w:r w:rsidRPr="00117212">
        <w:rPr>
          <w:rFonts w:cs="Arial"/>
        </w:rPr>
        <w:t xml:space="preserve">. </w:t>
      </w:r>
    </w:p>
    <w:p w14:paraId="287E9A2B" w14:textId="1C3AFB61" w:rsidR="00457F7A" w:rsidRPr="00F301BD" w:rsidRDefault="00457F7A" w:rsidP="00457F7A">
      <w:pPr>
        <w:rPr>
          <w:rFonts w:cs="Arial"/>
          <w:szCs w:val="22"/>
        </w:rPr>
      </w:pPr>
      <w:r>
        <w:rPr>
          <w:rFonts w:cs="Arial"/>
          <w:szCs w:val="22"/>
        </w:rPr>
        <w:t xml:space="preserve">Declines in the coral index through to 2014 </w:t>
      </w:r>
      <w:r w:rsidR="00571D42">
        <w:rPr>
          <w:rFonts w:cs="Arial"/>
          <w:szCs w:val="22"/>
        </w:rPr>
        <w:t>(</w:t>
      </w:r>
      <w:r w:rsidR="002032CF">
        <w:rPr>
          <w:rFonts w:cs="Arial"/>
          <w:szCs w:val="22"/>
        </w:rPr>
        <w:fldChar w:fldCharType="begin"/>
      </w:r>
      <w:r w:rsidR="002032CF">
        <w:rPr>
          <w:rFonts w:cs="Arial"/>
          <w:szCs w:val="22"/>
        </w:rPr>
        <w:instrText xml:space="preserve"> REF _Ref491345107 \h </w:instrText>
      </w:r>
      <w:r w:rsidR="002032CF">
        <w:rPr>
          <w:rFonts w:cs="Arial"/>
          <w:szCs w:val="22"/>
        </w:rPr>
      </w:r>
      <w:r w:rsidR="002032CF">
        <w:rPr>
          <w:rFonts w:cs="Arial"/>
          <w:szCs w:val="22"/>
        </w:rPr>
        <w:fldChar w:fldCharType="separate"/>
      </w:r>
      <w:r w:rsidR="00D806F2">
        <w:t xml:space="preserve">Table </w:t>
      </w:r>
      <w:r w:rsidR="00D806F2">
        <w:rPr>
          <w:noProof/>
        </w:rPr>
        <w:t>15</w:t>
      </w:r>
      <w:r w:rsidR="002032CF">
        <w:rPr>
          <w:rFonts w:cs="Arial"/>
          <w:szCs w:val="22"/>
        </w:rPr>
        <w:fldChar w:fldCharType="end"/>
      </w:r>
      <w:r w:rsidR="00571D42">
        <w:rPr>
          <w:rFonts w:cs="Arial"/>
          <w:szCs w:val="22"/>
        </w:rPr>
        <w:t>,</w:t>
      </w:r>
      <w:r w:rsidR="002032CF">
        <w:rPr>
          <w:rFonts w:cs="Arial"/>
          <w:szCs w:val="22"/>
        </w:rPr>
        <w:t xml:space="preserve"> </w:t>
      </w:r>
      <w:r w:rsidR="002032CF">
        <w:rPr>
          <w:rFonts w:cs="Arial"/>
          <w:szCs w:val="22"/>
        </w:rPr>
        <w:fldChar w:fldCharType="begin"/>
      </w:r>
      <w:r w:rsidR="002032CF">
        <w:rPr>
          <w:rFonts w:cs="Arial"/>
          <w:szCs w:val="22"/>
        </w:rPr>
        <w:instrText xml:space="preserve"> REF _Ref491345128 \h </w:instrText>
      </w:r>
      <w:r w:rsidR="002032CF">
        <w:rPr>
          <w:rFonts w:cs="Arial"/>
          <w:szCs w:val="22"/>
        </w:rPr>
      </w:r>
      <w:r w:rsidR="002032CF">
        <w:rPr>
          <w:rFonts w:cs="Arial"/>
          <w:szCs w:val="22"/>
        </w:rPr>
        <w:fldChar w:fldCharType="separate"/>
      </w:r>
      <w:r w:rsidR="00D806F2">
        <w:t xml:space="preserve">Figure </w:t>
      </w:r>
      <w:r w:rsidR="00D806F2">
        <w:rPr>
          <w:noProof/>
        </w:rPr>
        <w:t>23</w:t>
      </w:r>
      <w:r w:rsidR="002032CF">
        <w:rPr>
          <w:rFonts w:cs="Arial"/>
          <w:szCs w:val="22"/>
        </w:rPr>
        <w:fldChar w:fldCharType="end"/>
      </w:r>
      <w:r w:rsidR="002032CF">
        <w:rPr>
          <w:rFonts w:cs="Arial"/>
          <w:szCs w:val="22"/>
        </w:rPr>
        <w:t>a</w:t>
      </w:r>
      <w:r w:rsidR="00571D42">
        <w:rPr>
          <w:rFonts w:cs="Arial"/>
          <w:szCs w:val="22"/>
        </w:rPr>
        <w:t xml:space="preserve">) </w:t>
      </w:r>
      <w:r w:rsidR="002032CF">
        <w:rPr>
          <w:rFonts w:cs="Arial"/>
          <w:szCs w:val="22"/>
        </w:rPr>
        <w:t xml:space="preserve">coincided with a period of </w:t>
      </w:r>
      <w:r>
        <w:rPr>
          <w:rFonts w:cs="Arial"/>
          <w:szCs w:val="22"/>
        </w:rPr>
        <w:t xml:space="preserve">frequent </w:t>
      </w:r>
      <w:r w:rsidR="002032CF">
        <w:rPr>
          <w:rFonts w:cs="Arial"/>
          <w:szCs w:val="22"/>
        </w:rPr>
        <w:t xml:space="preserve">acute disturbances and major flooding of the Fitzroy River </w:t>
      </w:r>
      <w:r>
        <w:rPr>
          <w:rFonts w:cs="Arial"/>
          <w:szCs w:val="22"/>
        </w:rPr>
        <w:t>(</w:t>
      </w:r>
      <w:r w:rsidR="002032CF">
        <w:rPr>
          <w:rFonts w:cs="Arial"/>
          <w:szCs w:val="22"/>
        </w:rPr>
        <w:fldChar w:fldCharType="begin"/>
      </w:r>
      <w:r w:rsidR="002032CF">
        <w:rPr>
          <w:rFonts w:cs="Arial"/>
          <w:szCs w:val="22"/>
        </w:rPr>
        <w:instrText xml:space="preserve"> REF _Ref491345321 \h </w:instrText>
      </w:r>
      <w:r w:rsidR="002032CF">
        <w:rPr>
          <w:rFonts w:cs="Arial"/>
          <w:szCs w:val="22"/>
        </w:rPr>
      </w:r>
      <w:r w:rsidR="002032CF">
        <w:rPr>
          <w:rFonts w:cs="Arial"/>
          <w:szCs w:val="22"/>
        </w:rPr>
        <w:fldChar w:fldCharType="separate"/>
      </w:r>
      <w:r w:rsidR="00D806F2">
        <w:t xml:space="preserve">Figure </w:t>
      </w:r>
      <w:r w:rsidR="00D806F2">
        <w:rPr>
          <w:noProof/>
        </w:rPr>
        <w:t>22</w:t>
      </w:r>
      <w:r w:rsidR="002032CF">
        <w:rPr>
          <w:rFonts w:cs="Arial"/>
          <w:szCs w:val="22"/>
        </w:rPr>
        <w:fldChar w:fldCharType="end"/>
      </w:r>
      <w:r>
        <w:rPr>
          <w:rFonts w:cs="Arial"/>
          <w:szCs w:val="22"/>
        </w:rPr>
        <w:t xml:space="preserve">). </w:t>
      </w:r>
      <w:r w:rsidRPr="00FF1F90">
        <w:rPr>
          <w:rFonts w:cs="Arial"/>
        </w:rPr>
        <w:t xml:space="preserve">Prior to the commencement of the MMP in 2005, </w:t>
      </w:r>
      <w:r w:rsidRPr="00FF1F90">
        <w:t>Queensland Parks and Wildlife Service</w:t>
      </w:r>
      <w:r w:rsidRPr="00FF1F90">
        <w:rPr>
          <w:rFonts w:cs="Arial"/>
        </w:rPr>
        <w:t xml:space="preserve"> monitoring of reefs in Keppel Bay from 1993-2003 recorded substantial loss of coral cover</w:t>
      </w:r>
      <w:r w:rsidR="00571D42">
        <w:rPr>
          <w:rFonts w:cs="Arial"/>
        </w:rPr>
        <w:t>, and subsequent recovery following</w:t>
      </w:r>
      <w:r w:rsidR="00E75F5C">
        <w:rPr>
          <w:rFonts w:cs="Arial"/>
        </w:rPr>
        <w:t xml:space="preserve"> </w:t>
      </w:r>
      <w:r w:rsidRPr="00FF1F90">
        <w:rPr>
          <w:rFonts w:cs="Arial"/>
        </w:rPr>
        <w:t xml:space="preserve">thermal bleaching events in 1998 and </w:t>
      </w:r>
      <w:r w:rsidRPr="00F301BD">
        <w:rPr>
          <w:rFonts w:cs="Arial"/>
          <w:szCs w:val="22"/>
        </w:rPr>
        <w:t>2002 (</w:t>
      </w:r>
      <w:r w:rsidR="002032CF">
        <w:rPr>
          <w:rFonts w:cs="Arial"/>
          <w:szCs w:val="22"/>
        </w:rPr>
        <w:fldChar w:fldCharType="begin"/>
      </w:r>
      <w:r w:rsidR="002032CF">
        <w:rPr>
          <w:rFonts w:cs="Arial"/>
          <w:szCs w:val="22"/>
        </w:rPr>
        <w:instrText xml:space="preserve"> REF _Ref491178994 \h </w:instrText>
      </w:r>
      <w:r w:rsidR="002032CF">
        <w:rPr>
          <w:rFonts w:cs="Arial"/>
          <w:szCs w:val="22"/>
        </w:rPr>
      </w:r>
      <w:r w:rsidR="002032CF">
        <w:rPr>
          <w:rFonts w:cs="Arial"/>
          <w:szCs w:val="22"/>
        </w:rPr>
        <w:fldChar w:fldCharType="separate"/>
      </w:r>
      <w:r w:rsidR="00D806F2">
        <w:t xml:space="preserve">Table A1. </w:t>
      </w:r>
      <w:r w:rsidR="00D806F2">
        <w:rPr>
          <w:noProof/>
        </w:rPr>
        <w:t>4</w:t>
      </w:r>
      <w:r w:rsidR="002032CF">
        <w:rPr>
          <w:rFonts w:cs="Arial"/>
          <w:szCs w:val="22"/>
        </w:rPr>
        <w:fldChar w:fldCharType="end"/>
      </w:r>
      <w:r w:rsidRPr="00F301BD">
        <w:rPr>
          <w:rFonts w:cs="Arial"/>
          <w:szCs w:val="22"/>
        </w:rPr>
        <w:t xml:space="preserve">). Initial MMP surveys in 2005 documented moderate to high hard coral cover on all the </w:t>
      </w:r>
      <w:r w:rsidRPr="00F301BD">
        <w:rPr>
          <w:rFonts w:cs="Arial"/>
          <w:i/>
          <w:szCs w:val="22"/>
        </w:rPr>
        <w:t>Acropora</w:t>
      </w:r>
      <w:r w:rsidRPr="00F301BD">
        <w:rPr>
          <w:rFonts w:cs="Arial"/>
          <w:szCs w:val="22"/>
        </w:rPr>
        <w:t>-dominated reefs confirming th</w:t>
      </w:r>
      <w:r w:rsidR="002032CF">
        <w:rPr>
          <w:rFonts w:cs="Arial"/>
          <w:szCs w:val="22"/>
        </w:rPr>
        <w:t xml:space="preserve">e potential for </w:t>
      </w:r>
      <w:r w:rsidRPr="00F301BD">
        <w:rPr>
          <w:rFonts w:cs="Arial"/>
          <w:szCs w:val="22"/>
        </w:rPr>
        <w:t>re</w:t>
      </w:r>
      <w:r w:rsidR="00571D42">
        <w:rPr>
          <w:rFonts w:cs="Arial"/>
          <w:szCs w:val="22"/>
        </w:rPr>
        <w:t>covery</w:t>
      </w:r>
      <w:r w:rsidR="002032CF">
        <w:rPr>
          <w:rFonts w:cs="Arial"/>
          <w:szCs w:val="22"/>
        </w:rPr>
        <w:t xml:space="preserve"> at these reefs</w:t>
      </w:r>
      <w:r w:rsidRPr="00F301BD">
        <w:rPr>
          <w:rFonts w:cs="Arial"/>
          <w:szCs w:val="22"/>
        </w:rPr>
        <w:t xml:space="preserve">. </w:t>
      </w:r>
      <w:r w:rsidR="002032CF">
        <w:rPr>
          <w:rFonts w:cs="Arial"/>
          <w:szCs w:val="22"/>
        </w:rPr>
        <w:t xml:space="preserve">High water </w:t>
      </w:r>
      <w:r w:rsidRPr="00F301BD">
        <w:rPr>
          <w:rFonts w:cs="Arial"/>
          <w:szCs w:val="22"/>
        </w:rPr>
        <w:t xml:space="preserve">temperatures </w:t>
      </w:r>
      <w:r w:rsidR="002032CF">
        <w:rPr>
          <w:rFonts w:cs="Arial"/>
          <w:szCs w:val="22"/>
        </w:rPr>
        <w:t>over the 2005-</w:t>
      </w:r>
      <w:r w:rsidR="008F1BE2">
        <w:rPr>
          <w:rFonts w:cs="Arial"/>
          <w:szCs w:val="22"/>
        </w:rPr>
        <w:t>0</w:t>
      </w:r>
      <w:r w:rsidR="002032CF">
        <w:rPr>
          <w:rFonts w:cs="Arial"/>
          <w:szCs w:val="22"/>
        </w:rPr>
        <w:t xml:space="preserve">6 summer </w:t>
      </w:r>
      <w:r w:rsidRPr="00F301BD">
        <w:rPr>
          <w:rFonts w:cs="Arial"/>
          <w:szCs w:val="22"/>
        </w:rPr>
        <w:t>(</w:t>
      </w:r>
      <w:r w:rsidR="002032CF">
        <w:fldChar w:fldCharType="begin"/>
      </w:r>
      <w:r w:rsidR="002032CF">
        <w:rPr>
          <w:rFonts w:cs="Arial"/>
          <w:szCs w:val="22"/>
        </w:rPr>
        <w:instrText xml:space="preserve"> REF _Ref491345321 \h </w:instrText>
      </w:r>
      <w:r w:rsidR="002032CF">
        <w:fldChar w:fldCharType="separate"/>
      </w:r>
      <w:r w:rsidR="00D806F2">
        <w:t xml:space="preserve">Figure </w:t>
      </w:r>
      <w:r w:rsidR="00D806F2">
        <w:rPr>
          <w:noProof/>
        </w:rPr>
        <w:t>22</w:t>
      </w:r>
      <w:r w:rsidR="002032CF">
        <w:fldChar w:fldCharType="end"/>
      </w:r>
      <w:r w:rsidRPr="00F301BD">
        <w:rPr>
          <w:rFonts w:cs="Arial"/>
          <w:szCs w:val="22"/>
        </w:rPr>
        <w:t xml:space="preserve">c) again </w:t>
      </w:r>
      <w:r w:rsidR="002032CF">
        <w:rPr>
          <w:rFonts w:cs="Arial"/>
          <w:szCs w:val="22"/>
        </w:rPr>
        <w:t>cause</w:t>
      </w:r>
      <w:r w:rsidRPr="00F301BD">
        <w:rPr>
          <w:rFonts w:cs="Arial"/>
          <w:szCs w:val="22"/>
        </w:rPr>
        <w:t xml:space="preserve">d severe bleaching </w:t>
      </w:r>
      <w:r w:rsidR="002032CF">
        <w:rPr>
          <w:rFonts w:cs="Arial"/>
          <w:szCs w:val="22"/>
        </w:rPr>
        <w:t>and loss of</w:t>
      </w:r>
      <w:r w:rsidRPr="00F301BD">
        <w:rPr>
          <w:rFonts w:cs="Arial"/>
          <w:szCs w:val="22"/>
        </w:rPr>
        <w:t xml:space="preserve"> coral cover (</w:t>
      </w:r>
      <w:r w:rsidR="002032CF">
        <w:fldChar w:fldCharType="begin"/>
      </w:r>
      <w:r w:rsidR="002032CF">
        <w:rPr>
          <w:rFonts w:cs="Arial"/>
          <w:szCs w:val="22"/>
        </w:rPr>
        <w:instrText xml:space="preserve"> REF _Ref491345321 \h </w:instrText>
      </w:r>
      <w:r w:rsidR="002032CF">
        <w:fldChar w:fldCharType="separate"/>
      </w:r>
      <w:r w:rsidR="00D806F2">
        <w:t xml:space="preserve">Figure </w:t>
      </w:r>
      <w:r w:rsidR="00D806F2">
        <w:rPr>
          <w:noProof/>
        </w:rPr>
        <w:t>22</w:t>
      </w:r>
      <w:r w:rsidR="002032CF">
        <w:fldChar w:fldCharType="end"/>
      </w:r>
      <w:r w:rsidR="00571D42">
        <w:t xml:space="preserve">e, </w:t>
      </w:r>
      <w:r w:rsidR="002032CF">
        <w:fldChar w:fldCharType="begin"/>
      </w:r>
      <w:r w:rsidR="002032CF">
        <w:instrText xml:space="preserve"> REF _Ref491345128 \h </w:instrText>
      </w:r>
      <w:r w:rsidR="002032CF">
        <w:fldChar w:fldCharType="separate"/>
      </w:r>
      <w:r w:rsidR="00D806F2">
        <w:t xml:space="preserve">Figure </w:t>
      </w:r>
      <w:r w:rsidR="00D806F2">
        <w:rPr>
          <w:noProof/>
        </w:rPr>
        <w:t>23</w:t>
      </w:r>
      <w:r w:rsidR="002032CF">
        <w:fldChar w:fldCharType="end"/>
      </w:r>
      <w:r w:rsidR="00571D42">
        <w:t>b</w:t>
      </w:r>
      <w:r w:rsidRPr="00F301BD">
        <w:rPr>
          <w:rFonts w:cs="Arial"/>
          <w:szCs w:val="22"/>
        </w:rPr>
        <w:t>)</w:t>
      </w:r>
      <w:r w:rsidR="002032CF">
        <w:rPr>
          <w:rFonts w:cs="Arial"/>
          <w:szCs w:val="22"/>
        </w:rPr>
        <w:t xml:space="preserve">. Coincident with the loss of coral was a rapid increase in the cover of the brown macroalgae </w:t>
      </w:r>
      <w:r w:rsidRPr="00F301BD">
        <w:rPr>
          <w:rFonts w:cs="Arial"/>
          <w:i/>
          <w:szCs w:val="22"/>
        </w:rPr>
        <w:t>Lobophora variegata</w:t>
      </w:r>
      <w:r w:rsidRPr="00F301BD">
        <w:rPr>
          <w:rFonts w:cs="Arial"/>
          <w:szCs w:val="22"/>
        </w:rPr>
        <w:t xml:space="preserve"> (</w:t>
      </w:r>
      <w:r w:rsidR="002032CF">
        <w:fldChar w:fldCharType="begin"/>
      </w:r>
      <w:r w:rsidR="002032CF">
        <w:rPr>
          <w:rFonts w:cs="Arial"/>
          <w:szCs w:val="22"/>
        </w:rPr>
        <w:instrText xml:space="preserve"> REF _Ref491345128 \h </w:instrText>
      </w:r>
      <w:r w:rsidR="002032CF">
        <w:fldChar w:fldCharType="separate"/>
      </w:r>
      <w:r w:rsidR="00D806F2">
        <w:t xml:space="preserve">Figure </w:t>
      </w:r>
      <w:r w:rsidR="00D806F2">
        <w:rPr>
          <w:noProof/>
        </w:rPr>
        <w:t>23</w:t>
      </w:r>
      <w:r w:rsidR="002032CF">
        <w:fldChar w:fldCharType="end"/>
      </w:r>
      <w:r w:rsidR="002032CF">
        <w:t>c</w:t>
      </w:r>
      <w:r w:rsidRPr="00F301BD">
        <w:rPr>
          <w:rFonts w:cs="Arial"/>
          <w:szCs w:val="22"/>
        </w:rPr>
        <w:t xml:space="preserve">, Diaz-Pulido </w:t>
      </w:r>
      <w:r w:rsidRPr="00F301BD">
        <w:rPr>
          <w:rFonts w:cs="Arial"/>
          <w:i/>
          <w:szCs w:val="22"/>
        </w:rPr>
        <w:t xml:space="preserve">et al. </w:t>
      </w:r>
      <w:r w:rsidRPr="00F301BD">
        <w:rPr>
          <w:rFonts w:cs="Arial"/>
          <w:szCs w:val="22"/>
        </w:rPr>
        <w:t xml:space="preserve">2009) </w:t>
      </w:r>
      <w:r w:rsidR="002032CF">
        <w:rPr>
          <w:rFonts w:cs="Arial"/>
          <w:szCs w:val="22"/>
        </w:rPr>
        <w:t xml:space="preserve">further contributing to the </w:t>
      </w:r>
      <w:r w:rsidRPr="00F301BD">
        <w:rPr>
          <w:rFonts w:cs="Arial"/>
          <w:szCs w:val="22"/>
        </w:rPr>
        <w:t>reduction in the coral index from ‘moderate’ to ‘poor’ (</w:t>
      </w:r>
      <w:r w:rsidR="002032CF">
        <w:fldChar w:fldCharType="begin"/>
      </w:r>
      <w:r w:rsidR="002032CF">
        <w:rPr>
          <w:rFonts w:cs="Arial"/>
          <w:szCs w:val="22"/>
        </w:rPr>
        <w:instrText xml:space="preserve"> REF _Ref491345128 \h </w:instrText>
      </w:r>
      <w:r w:rsidR="002032CF">
        <w:fldChar w:fldCharType="separate"/>
      </w:r>
      <w:r w:rsidR="00D806F2">
        <w:t xml:space="preserve">Figure </w:t>
      </w:r>
      <w:r w:rsidR="00D806F2">
        <w:rPr>
          <w:noProof/>
        </w:rPr>
        <w:t>23</w:t>
      </w:r>
      <w:r w:rsidR="002032CF">
        <w:fldChar w:fldCharType="end"/>
      </w:r>
      <w:r w:rsidRPr="00F301BD">
        <w:rPr>
          <w:rFonts w:cs="Arial"/>
          <w:szCs w:val="22"/>
        </w:rPr>
        <w:t xml:space="preserve">a). </w:t>
      </w:r>
    </w:p>
    <w:p w14:paraId="11EA90B1" w14:textId="584B3BD8" w:rsidR="00B36605" w:rsidRPr="00F439FB" w:rsidRDefault="00B36605" w:rsidP="00B36605">
      <w:pPr>
        <w:rPr>
          <w:rFonts w:cs="Arial"/>
          <w:color w:val="4F81BD" w:themeColor="accent1"/>
        </w:rPr>
      </w:pPr>
      <w:r w:rsidRPr="00F301BD">
        <w:rPr>
          <w:rFonts w:cs="Arial"/>
          <w:szCs w:val="22"/>
        </w:rPr>
        <w:t>Following on from 2006 has been a period of frequent disturbances from both storms and flooding of the Fitzroy River (</w:t>
      </w:r>
      <w:r w:rsidR="002032CF">
        <w:fldChar w:fldCharType="begin"/>
      </w:r>
      <w:r w:rsidR="002032CF">
        <w:rPr>
          <w:rFonts w:cs="Arial"/>
          <w:szCs w:val="22"/>
        </w:rPr>
        <w:instrText xml:space="preserve"> REF _Ref491345321 \h </w:instrText>
      </w:r>
      <w:r w:rsidR="002032CF">
        <w:fldChar w:fldCharType="separate"/>
      </w:r>
      <w:r w:rsidR="00D806F2">
        <w:t xml:space="preserve">Figure </w:t>
      </w:r>
      <w:r w:rsidR="00D806F2">
        <w:rPr>
          <w:noProof/>
        </w:rPr>
        <w:t>22</w:t>
      </w:r>
      <w:r w:rsidR="002032CF">
        <w:fldChar w:fldCharType="end"/>
      </w:r>
      <w:r w:rsidRPr="00F301BD">
        <w:rPr>
          <w:rFonts w:cs="Arial"/>
          <w:szCs w:val="22"/>
        </w:rPr>
        <w:t>d, e). While the region receives few cyclones compared to other regions (</w:t>
      </w:r>
      <w:r w:rsidR="00BE20D6">
        <w:rPr>
          <w:rFonts w:cs="Arial"/>
          <w:szCs w:val="22"/>
        </w:rPr>
        <w:fldChar w:fldCharType="begin"/>
      </w:r>
      <w:r w:rsidR="00BE20D6">
        <w:rPr>
          <w:rFonts w:cs="Arial"/>
          <w:szCs w:val="22"/>
        </w:rPr>
        <w:instrText xml:space="preserve"> REF _Ref491347740 \h </w:instrText>
      </w:r>
      <w:r w:rsidR="00BE20D6">
        <w:rPr>
          <w:rFonts w:cs="Arial"/>
          <w:szCs w:val="22"/>
        </w:rPr>
      </w:r>
      <w:r w:rsidR="00BE20D6">
        <w:rPr>
          <w:rFonts w:cs="Arial"/>
          <w:szCs w:val="22"/>
        </w:rPr>
        <w:fldChar w:fldCharType="separate"/>
      </w:r>
      <w:r w:rsidR="00D806F2">
        <w:t xml:space="preserve">Figure A1. </w:t>
      </w:r>
      <w:r w:rsidR="00D806F2">
        <w:rPr>
          <w:noProof/>
        </w:rPr>
        <w:t>8</w:t>
      </w:r>
      <w:r w:rsidR="00BE20D6">
        <w:rPr>
          <w:rFonts w:cs="Arial"/>
          <w:szCs w:val="22"/>
        </w:rPr>
        <w:fldChar w:fldCharType="end"/>
      </w:r>
      <w:r w:rsidRPr="00F301BD">
        <w:rPr>
          <w:rFonts w:cs="Arial"/>
          <w:szCs w:val="22"/>
        </w:rPr>
        <w:t>), the northward-facing reefs of Barren and Middle have been particularly vulnerable to storm damage. Storm driven waves in 2008, 2010, ex-TC Oswald 2013, ex-TC Dylan 2014 and Cyclone Marcia 2015 have been the main cause of coral cover declines at these reefs since the 2006 bleaching event (</w:t>
      </w:r>
      <w:r w:rsidR="003E5549">
        <w:rPr>
          <w:rFonts w:cs="Arial"/>
          <w:szCs w:val="22"/>
        </w:rPr>
        <w:fldChar w:fldCharType="begin"/>
      </w:r>
      <w:r w:rsidR="003E5549">
        <w:rPr>
          <w:rFonts w:cs="Arial"/>
          <w:szCs w:val="22"/>
        </w:rPr>
        <w:instrText xml:space="preserve"> REF _Ref491345321 \h </w:instrText>
      </w:r>
      <w:r w:rsidR="003E5549">
        <w:rPr>
          <w:rFonts w:cs="Arial"/>
          <w:szCs w:val="22"/>
        </w:rPr>
      </w:r>
      <w:r w:rsidR="003E5549">
        <w:rPr>
          <w:rFonts w:cs="Arial"/>
          <w:szCs w:val="22"/>
        </w:rPr>
        <w:fldChar w:fldCharType="separate"/>
      </w:r>
      <w:r w:rsidR="00D806F2">
        <w:t xml:space="preserve">Figure </w:t>
      </w:r>
      <w:r w:rsidR="00D806F2">
        <w:rPr>
          <w:noProof/>
        </w:rPr>
        <w:t>22</w:t>
      </w:r>
      <w:r w:rsidR="003E5549">
        <w:rPr>
          <w:rFonts w:cs="Arial"/>
          <w:szCs w:val="22"/>
        </w:rPr>
        <w:fldChar w:fldCharType="end"/>
      </w:r>
      <w:r w:rsidR="003E5549">
        <w:rPr>
          <w:rFonts w:cs="Arial"/>
          <w:szCs w:val="22"/>
        </w:rPr>
        <w:t>e</w:t>
      </w:r>
      <w:r w:rsidRPr="00F301BD">
        <w:rPr>
          <w:rFonts w:cs="Arial"/>
          <w:szCs w:val="22"/>
        </w:rPr>
        <w:t xml:space="preserve">). Compounding the impact of these storm events has been a </w:t>
      </w:r>
      <w:r w:rsidRPr="00F301BD">
        <w:rPr>
          <w:rFonts w:eastAsiaTheme="minorHAnsi" w:cs="Arial"/>
          <w:szCs w:val="22"/>
        </w:rPr>
        <w:t>period of intense flooding with annual discharge from the Fitzroy River exceeding the long-term median in 2008, and 2010-2013 (</w:t>
      </w:r>
      <w:r w:rsidR="003E5549">
        <w:rPr>
          <w:rFonts w:eastAsiaTheme="minorHAnsi" w:cs="Arial"/>
          <w:szCs w:val="22"/>
        </w:rPr>
        <w:fldChar w:fldCharType="begin"/>
      </w:r>
      <w:r w:rsidR="003E5549">
        <w:rPr>
          <w:rFonts w:eastAsiaTheme="minorHAnsi" w:cs="Arial"/>
          <w:szCs w:val="22"/>
        </w:rPr>
        <w:instrText xml:space="preserve"> REF _Ref491345321 \h </w:instrText>
      </w:r>
      <w:r w:rsidR="003E5549">
        <w:rPr>
          <w:rFonts w:eastAsiaTheme="minorHAnsi" w:cs="Arial"/>
          <w:szCs w:val="22"/>
        </w:rPr>
      </w:r>
      <w:r w:rsidR="003E5549">
        <w:rPr>
          <w:rFonts w:eastAsiaTheme="minorHAnsi" w:cs="Arial"/>
          <w:szCs w:val="22"/>
        </w:rPr>
        <w:fldChar w:fldCharType="separate"/>
      </w:r>
      <w:r w:rsidR="00D806F2">
        <w:t xml:space="preserve">Figure </w:t>
      </w:r>
      <w:r w:rsidR="00D806F2">
        <w:rPr>
          <w:noProof/>
        </w:rPr>
        <w:t>22</w:t>
      </w:r>
      <w:r w:rsidR="003E5549">
        <w:rPr>
          <w:rFonts w:eastAsiaTheme="minorHAnsi" w:cs="Arial"/>
          <w:szCs w:val="22"/>
        </w:rPr>
        <w:fldChar w:fldCharType="end"/>
      </w:r>
      <w:r w:rsidRPr="00F301BD">
        <w:rPr>
          <w:rFonts w:eastAsiaTheme="minorHAnsi" w:cs="Arial"/>
          <w:szCs w:val="22"/>
        </w:rPr>
        <w:t>d). The 2011 flood event was the largest on record and exposed shallow coral communities to low salinity waters that caused widespread mortality of corals at the 2</w:t>
      </w:r>
      <w:r w:rsidR="003E5549">
        <w:rPr>
          <w:rFonts w:eastAsiaTheme="minorHAnsi" w:cs="Arial"/>
          <w:szCs w:val="22"/>
        </w:rPr>
        <w:t xml:space="preserve"> </w:t>
      </w:r>
      <w:r w:rsidRPr="00F301BD">
        <w:rPr>
          <w:rFonts w:eastAsiaTheme="minorHAnsi" w:cs="Arial"/>
          <w:szCs w:val="22"/>
        </w:rPr>
        <w:t>m depths of Peak, Pelican and Keppels South (</w:t>
      </w:r>
      <w:r w:rsidR="003E5549">
        <w:rPr>
          <w:rFonts w:eastAsiaTheme="minorHAnsi" w:cs="Arial"/>
          <w:szCs w:val="22"/>
        </w:rPr>
        <w:fldChar w:fldCharType="begin"/>
      </w:r>
      <w:r w:rsidR="003E5549">
        <w:rPr>
          <w:rFonts w:eastAsiaTheme="minorHAnsi" w:cs="Arial"/>
          <w:szCs w:val="22"/>
        </w:rPr>
        <w:instrText xml:space="preserve"> REF _Ref491178994 \h </w:instrText>
      </w:r>
      <w:r w:rsidR="003E5549">
        <w:rPr>
          <w:rFonts w:eastAsiaTheme="minorHAnsi" w:cs="Arial"/>
          <w:szCs w:val="22"/>
        </w:rPr>
      </w:r>
      <w:r w:rsidR="003E5549">
        <w:rPr>
          <w:rFonts w:eastAsiaTheme="minorHAnsi" w:cs="Arial"/>
          <w:szCs w:val="22"/>
        </w:rPr>
        <w:fldChar w:fldCharType="separate"/>
      </w:r>
      <w:r w:rsidR="00D806F2">
        <w:t xml:space="preserve">Table A1. </w:t>
      </w:r>
      <w:r w:rsidR="00D806F2">
        <w:rPr>
          <w:noProof/>
        </w:rPr>
        <w:t>4</w:t>
      </w:r>
      <w:r w:rsidR="003E5549">
        <w:rPr>
          <w:rFonts w:eastAsiaTheme="minorHAnsi" w:cs="Arial"/>
          <w:szCs w:val="22"/>
        </w:rPr>
        <w:fldChar w:fldCharType="end"/>
      </w:r>
      <w:r w:rsidRPr="00F301BD">
        <w:rPr>
          <w:rFonts w:eastAsiaTheme="minorHAnsi" w:cs="Arial"/>
          <w:szCs w:val="22"/>
        </w:rPr>
        <w:t>). F</w:t>
      </w:r>
      <w:r w:rsidRPr="00F301BD">
        <w:rPr>
          <w:rFonts w:cs="Arial"/>
          <w:szCs w:val="22"/>
        </w:rPr>
        <w:t xml:space="preserve">looding also </w:t>
      </w:r>
      <w:r w:rsidR="003E5549">
        <w:rPr>
          <w:rFonts w:cs="Arial"/>
          <w:szCs w:val="22"/>
        </w:rPr>
        <w:t xml:space="preserve">pre-empted </w:t>
      </w:r>
      <w:r w:rsidRPr="00F301BD">
        <w:rPr>
          <w:rFonts w:cs="Arial"/>
          <w:szCs w:val="22"/>
        </w:rPr>
        <w:t>elevated levels of coral disease in</w:t>
      </w:r>
      <w:r w:rsidRPr="00FF1F90">
        <w:rPr>
          <w:rFonts w:cs="Arial"/>
        </w:rPr>
        <w:t xml:space="preserve"> 2008, 2010 and 2011 (</w:t>
      </w:r>
      <w:r w:rsidR="00BE20D6">
        <w:rPr>
          <w:rFonts w:cs="Arial"/>
        </w:rPr>
        <w:fldChar w:fldCharType="begin"/>
      </w:r>
      <w:r w:rsidR="00BE20D6">
        <w:rPr>
          <w:rFonts w:cs="Arial"/>
        </w:rPr>
        <w:instrText xml:space="preserve"> REF _Ref491178664 \h </w:instrText>
      </w:r>
      <w:r w:rsidR="00BE20D6">
        <w:rPr>
          <w:rFonts w:cs="Arial"/>
        </w:rPr>
      </w:r>
      <w:r w:rsidR="00BE20D6">
        <w:rPr>
          <w:rFonts w:cs="Arial"/>
        </w:rPr>
        <w:fldChar w:fldCharType="separate"/>
      </w:r>
      <w:r w:rsidR="00D806F2">
        <w:t xml:space="preserve">Figure A1. </w:t>
      </w:r>
      <w:r w:rsidR="00D806F2">
        <w:rPr>
          <w:noProof/>
        </w:rPr>
        <w:t>7</w:t>
      </w:r>
      <w:r w:rsidR="00BE20D6">
        <w:rPr>
          <w:rFonts w:cs="Arial"/>
        </w:rPr>
        <w:fldChar w:fldCharType="end"/>
      </w:r>
      <w:r w:rsidRPr="00FF1F90">
        <w:rPr>
          <w:rFonts w:cs="Arial"/>
        </w:rPr>
        <w:t>).</w:t>
      </w:r>
      <w:r w:rsidRPr="00FF1F90">
        <w:t xml:space="preserve"> </w:t>
      </w:r>
    </w:p>
    <w:p w14:paraId="11EA90B3" w14:textId="10E10EDA" w:rsidR="00B36605" w:rsidRDefault="00B36605" w:rsidP="00B36605">
      <w:pPr>
        <w:rPr>
          <w:rFonts w:cs="Arial"/>
        </w:rPr>
      </w:pPr>
      <w:r w:rsidRPr="008C0567">
        <w:rPr>
          <w:rFonts w:cs="Arial"/>
        </w:rPr>
        <w:t>Water quality monitoring</w:t>
      </w:r>
      <w:r w:rsidR="00C07634">
        <w:rPr>
          <w:rFonts w:cs="Arial"/>
        </w:rPr>
        <w:t xml:space="preserve"> (in situ)</w:t>
      </w:r>
      <w:r w:rsidRPr="008C0567">
        <w:rPr>
          <w:rFonts w:cs="Arial"/>
        </w:rPr>
        <w:t xml:space="preserve"> has been discontinued in the Keppels region since 2014-2015. </w:t>
      </w:r>
      <w:r w:rsidR="00457F7A">
        <w:rPr>
          <w:rFonts w:cs="Arial"/>
        </w:rPr>
        <w:t>T</w:t>
      </w:r>
      <w:r w:rsidRPr="008C0567">
        <w:rPr>
          <w:rFonts w:cs="Arial"/>
        </w:rPr>
        <w:t xml:space="preserve">he final year of water quality </w:t>
      </w:r>
      <w:r w:rsidR="00457F7A">
        <w:rPr>
          <w:rFonts w:cs="Arial"/>
        </w:rPr>
        <w:t>sampling</w:t>
      </w:r>
      <w:r w:rsidR="00457F7A" w:rsidRPr="008C0567">
        <w:rPr>
          <w:rFonts w:cs="Arial"/>
        </w:rPr>
        <w:t xml:space="preserve"> </w:t>
      </w:r>
      <w:r w:rsidRPr="008C0567">
        <w:rPr>
          <w:rFonts w:cs="Arial"/>
        </w:rPr>
        <w:t>saw an improvement in the water quality index (</w:t>
      </w:r>
      <w:r w:rsidR="009026DA" w:rsidRPr="007522AA">
        <w:rPr>
          <w:rFonts w:cs="Arial"/>
          <w:color w:val="000000" w:themeColor="text1"/>
          <w:lang w:eastAsia="en-AU"/>
        </w:rPr>
        <w:t>Lønborg</w:t>
      </w:r>
      <w:r w:rsidRPr="008C0567">
        <w:rPr>
          <w:rFonts w:cs="Arial"/>
        </w:rPr>
        <w:t xml:space="preserve"> </w:t>
      </w:r>
      <w:r w:rsidRPr="008D3920">
        <w:rPr>
          <w:rFonts w:cs="Arial"/>
          <w:i/>
        </w:rPr>
        <w:t>et al</w:t>
      </w:r>
      <w:r>
        <w:rPr>
          <w:rFonts w:cs="Arial"/>
          <w:i/>
        </w:rPr>
        <w:t>.</w:t>
      </w:r>
      <w:r w:rsidRPr="008C0567">
        <w:rPr>
          <w:rFonts w:cs="Arial"/>
        </w:rPr>
        <w:t xml:space="preserve"> 2015). Measured levels of </w:t>
      </w:r>
      <w:r w:rsidR="003E5549">
        <w:rPr>
          <w:rFonts w:cs="Arial"/>
        </w:rPr>
        <w:t>Chl</w:t>
      </w:r>
      <w:r w:rsidRPr="008C0567">
        <w:rPr>
          <w:rFonts w:cs="Arial"/>
        </w:rPr>
        <w:t xml:space="preserve"> </w:t>
      </w:r>
      <w:r w:rsidRPr="00DD6D82">
        <w:rPr>
          <w:rFonts w:cs="Arial"/>
          <w:i/>
        </w:rPr>
        <w:t>a</w:t>
      </w:r>
      <w:r w:rsidRPr="008C0567">
        <w:rPr>
          <w:rFonts w:cs="Arial"/>
        </w:rPr>
        <w:t>, particulate nitrogen and particulate organic carbon showed a slight downturn at this time coinciding with a respite in flooding in the region since 2012</w:t>
      </w:r>
      <w:r>
        <w:rPr>
          <w:rFonts w:cs="Arial"/>
        </w:rPr>
        <w:t xml:space="preserve"> (</w:t>
      </w:r>
      <w:r w:rsidR="009026DA" w:rsidRPr="007522AA">
        <w:rPr>
          <w:rFonts w:cs="Arial"/>
          <w:color w:val="000000" w:themeColor="text1"/>
          <w:lang w:eastAsia="en-AU"/>
        </w:rPr>
        <w:t>Lønborg</w:t>
      </w:r>
      <w:r>
        <w:rPr>
          <w:rFonts w:cs="Arial"/>
        </w:rPr>
        <w:t xml:space="preserve"> </w:t>
      </w:r>
      <w:r w:rsidRPr="008D3920">
        <w:rPr>
          <w:rFonts w:cs="Arial"/>
          <w:i/>
        </w:rPr>
        <w:t>et al</w:t>
      </w:r>
      <w:r>
        <w:rPr>
          <w:rFonts w:cs="Arial"/>
          <w:i/>
        </w:rPr>
        <w:t>.</w:t>
      </w:r>
      <w:r>
        <w:rPr>
          <w:rFonts w:cs="Arial"/>
        </w:rPr>
        <w:t xml:space="preserve"> 2015)</w:t>
      </w:r>
      <w:r w:rsidRPr="008C0567">
        <w:rPr>
          <w:rFonts w:cs="Arial"/>
        </w:rPr>
        <w:t xml:space="preserve">. </w:t>
      </w:r>
      <w:r w:rsidR="00D52544">
        <w:rPr>
          <w:rFonts w:cs="Arial"/>
        </w:rPr>
        <w:t>Modelling of total suspended solids and dissolved inorganic nitrogen indicate substantially lower concentrations in the region from 2014 to 2016 compared to those associated with the high discharge years of 2010,</w:t>
      </w:r>
      <w:r w:rsidR="00171B57">
        <w:rPr>
          <w:rFonts w:cs="Arial"/>
        </w:rPr>
        <w:t xml:space="preserve"> </w:t>
      </w:r>
      <w:r w:rsidR="00D52544">
        <w:rPr>
          <w:rFonts w:cs="Arial"/>
        </w:rPr>
        <w:t>2011 and 2013 (</w:t>
      </w:r>
      <w:r w:rsidR="00457F7A">
        <w:rPr>
          <w:rFonts w:cs="Arial"/>
        </w:rPr>
        <w:t xml:space="preserve">Waterhouse </w:t>
      </w:r>
      <w:r w:rsidR="00457F7A" w:rsidRPr="005B52B1">
        <w:rPr>
          <w:rFonts w:cs="Arial"/>
          <w:i/>
        </w:rPr>
        <w:t>et al.</w:t>
      </w:r>
      <w:r w:rsidR="00457F7A">
        <w:rPr>
          <w:rFonts w:cs="Arial"/>
        </w:rPr>
        <w:t xml:space="preserve"> 2017)</w:t>
      </w:r>
      <w:r w:rsidRPr="008C0567">
        <w:rPr>
          <w:rFonts w:cs="Arial"/>
        </w:rPr>
        <w:t xml:space="preserve">. </w:t>
      </w:r>
    </w:p>
    <w:p w14:paraId="11EA90B8" w14:textId="574B305A" w:rsidR="00DB0747" w:rsidRPr="00117212" w:rsidRDefault="00772538" w:rsidP="00B36605">
      <w:pPr>
        <w:jc w:val="left"/>
        <w:rPr>
          <w:rFonts w:cs="Arial"/>
        </w:rPr>
      </w:pPr>
      <w:r>
        <w:rPr>
          <w:rFonts w:cs="Arial"/>
          <w:noProof/>
          <w:lang w:val="en-AU" w:eastAsia="en-AU"/>
        </w:rPr>
        <w:drawing>
          <wp:inline distT="0" distB="0" distL="0" distR="0" wp14:anchorId="7A8AC555" wp14:editId="6B4FE698">
            <wp:extent cx="6120765" cy="6591300"/>
            <wp:effectExtent l="0" t="0" r="0" b="0"/>
            <wp:docPr id="28" name="Picture 28" descr="A panel of five plots. Plots a and b present maps of sampling locations with the sea areas colour by a, mean Chl concentration and b, mean total suspended solids concentration. Plot c presents daily deviations from seasonal temperature profiles, includes markers for cyclones and annual degree heating estimates for the region. Plot d presents daily discharge from the regions rivers since 2005 along with annual total discharge relative to a 1986-2016 baseline median. Plot e presents the regional loss of coral observed in each year and the identified cause." title="Figure 22 Fitzroy Region environmental press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Env_Fitzroy.pn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6120765" cy="6591300"/>
                    </a:xfrm>
                    <a:prstGeom prst="rect">
                      <a:avLst/>
                    </a:prstGeom>
                  </pic:spPr>
                </pic:pic>
              </a:graphicData>
            </a:graphic>
          </wp:inline>
        </w:drawing>
      </w:r>
    </w:p>
    <w:p w14:paraId="11EA90B9" w14:textId="30D8E903" w:rsidR="00315285" w:rsidRPr="00F439FB" w:rsidRDefault="007A50AB" w:rsidP="007A50AB">
      <w:pPr>
        <w:pStyle w:val="Caption"/>
        <w:rPr>
          <w:rStyle w:val="IntenseReference"/>
          <w:rFonts w:eastAsia="SimSun"/>
          <w:vanish/>
          <w:color w:val="4F81BD" w:themeColor="accent1"/>
        </w:rPr>
      </w:pPr>
      <w:bookmarkStart w:id="261" w:name="_Ref491345321"/>
      <w:bookmarkStart w:id="262" w:name="_Ref438121562"/>
      <w:bookmarkStart w:id="263" w:name="_Toc437423859"/>
      <w:bookmarkStart w:id="264" w:name="_Toc437424038"/>
      <w:bookmarkStart w:id="265" w:name="_Toc437424308"/>
      <w:bookmarkStart w:id="266" w:name="_Toc437432361"/>
      <w:bookmarkStart w:id="267" w:name="_Toc437597643"/>
      <w:bookmarkStart w:id="268" w:name="_Toc491846848"/>
      <w:r>
        <w:t xml:space="preserve">Figure </w:t>
      </w:r>
      <w:r>
        <w:fldChar w:fldCharType="begin"/>
      </w:r>
      <w:r>
        <w:instrText xml:space="preserve"> SEQ Figure \* ARABIC </w:instrText>
      </w:r>
      <w:r>
        <w:fldChar w:fldCharType="separate"/>
      </w:r>
      <w:r w:rsidR="00D806F2">
        <w:rPr>
          <w:noProof/>
        </w:rPr>
        <w:t>22</w:t>
      </w:r>
      <w:r>
        <w:fldChar w:fldCharType="end"/>
      </w:r>
      <w:bookmarkEnd w:id="261"/>
      <w:r>
        <w:t xml:space="preserve"> </w:t>
      </w:r>
      <w:r w:rsidRPr="003A0653">
        <w:t xml:space="preserve">Fitzroy Region environmental </w:t>
      </w:r>
      <w:r w:rsidR="00A416E6">
        <w:t>pressures</w:t>
      </w:r>
      <w:r w:rsidRPr="003A0653">
        <w:t>.</w:t>
      </w:r>
      <w:bookmarkEnd w:id="262"/>
      <w:bookmarkEnd w:id="263"/>
      <w:bookmarkEnd w:id="264"/>
      <w:bookmarkEnd w:id="265"/>
      <w:bookmarkEnd w:id="266"/>
      <w:bookmarkEnd w:id="267"/>
      <w:bookmarkEnd w:id="268"/>
      <w:r w:rsidR="00315285" w:rsidRPr="00F439FB">
        <w:rPr>
          <w:rStyle w:val="IntenseReference"/>
          <w:rFonts w:eastAsia="SimSun"/>
          <w:color w:val="4F81BD" w:themeColor="accent1"/>
        </w:rPr>
        <w:t xml:space="preserve"> </w:t>
      </w:r>
    </w:p>
    <w:p w14:paraId="11EA90BA" w14:textId="576155A8" w:rsidR="008550DE" w:rsidRDefault="008550DE" w:rsidP="00F872DF">
      <w:pPr>
        <w:pStyle w:val="Caption"/>
        <w:rPr>
          <w:rStyle w:val="IntenseReference"/>
          <w:rFonts w:eastAsia="SimSun"/>
        </w:rPr>
      </w:pPr>
      <w:r w:rsidRPr="001C36F4">
        <w:rPr>
          <w:rStyle w:val="IntenseReference"/>
          <w:rFonts w:eastAsia="SimSun"/>
        </w:rPr>
        <w:t xml:space="preserve">Maps show location of monitoring sites, red symbols MMP, yellow symbols LTMP along with a) mean </w:t>
      </w:r>
      <w:r w:rsidR="00663F7B">
        <w:rPr>
          <w:rStyle w:val="IntenseReference"/>
          <w:rFonts w:eastAsia="SimSun"/>
        </w:rPr>
        <w:t>c</w:t>
      </w:r>
      <w:r w:rsidRPr="001C36F4">
        <w:rPr>
          <w:rStyle w:val="IntenseReference"/>
          <w:rFonts w:eastAsia="SimSun"/>
        </w:rPr>
        <w:t>hlorophyll</w:t>
      </w:r>
      <w:r w:rsidR="00663F7B">
        <w:rPr>
          <w:rStyle w:val="IntenseReference"/>
          <w:rFonts w:eastAsia="SimSun"/>
        </w:rPr>
        <w:t xml:space="preserve"> </w:t>
      </w:r>
      <w:r w:rsidR="00663F7B" w:rsidRPr="00663F7B">
        <w:rPr>
          <w:rStyle w:val="IntenseReference"/>
          <w:rFonts w:eastAsia="SimSun"/>
          <w:i/>
        </w:rPr>
        <w:t>a</w:t>
      </w:r>
      <w:r w:rsidRPr="001C36F4">
        <w:rPr>
          <w:rStyle w:val="IntenseReference"/>
          <w:rFonts w:eastAsia="SimSun"/>
        </w:rPr>
        <w:t xml:space="preserve"> concentration and b) mean Non algal particulate concentrations. Water quality data are mean levels over the period 2003-2016. c) Seasonally adjusted temperature deviation, timing of cyclones and storms indicated by black arrows, accumulated degree heating days over the summer period (1st of December - 31st March) indicated by black symbols d) Combined daily (blue) and annual (red) discharge for the </w:t>
      </w:r>
      <w:r w:rsidR="00772538">
        <w:rPr>
          <w:rStyle w:val="IntenseReference"/>
          <w:rFonts w:eastAsia="SimSun"/>
        </w:rPr>
        <w:t xml:space="preserve">Calliope and </w:t>
      </w:r>
      <w:r w:rsidR="001C3EFB">
        <w:rPr>
          <w:rStyle w:val="IntenseReference"/>
          <w:rFonts w:eastAsia="SimSun"/>
        </w:rPr>
        <w:t xml:space="preserve">Fitzroy </w:t>
      </w:r>
      <w:r w:rsidRPr="001C36F4">
        <w:rPr>
          <w:rStyle w:val="IntenseReference"/>
          <w:rFonts w:eastAsia="SimSun"/>
        </w:rPr>
        <w:t>rivers</w:t>
      </w:r>
      <w:r w:rsidR="001C3EFB">
        <w:rPr>
          <w:rStyle w:val="IntenseReference"/>
          <w:rFonts w:eastAsia="SimSun"/>
        </w:rPr>
        <w:t xml:space="preserve"> and Waterpark Creek</w:t>
      </w:r>
      <w:r w:rsidRPr="001C36F4">
        <w:rPr>
          <w:rStyle w:val="IntenseReference"/>
          <w:rFonts w:eastAsia="SimSun"/>
        </w:rPr>
        <w:t>, red dashed line represents long-term median discharge (1986-2016). e) break-down of hard coral cover loss by disturbance type; length of bars represent the mean loss of cover across all reefs (see methods section for further detail).</w:t>
      </w:r>
    </w:p>
    <w:p w14:paraId="11EA90BB" w14:textId="77777777" w:rsidR="002F29E3" w:rsidRDefault="002F29E3">
      <w:pPr>
        <w:jc w:val="left"/>
        <w:rPr>
          <w:rFonts w:eastAsia="SimSun"/>
        </w:rPr>
      </w:pPr>
      <w:r>
        <w:rPr>
          <w:rFonts w:eastAsia="SimSun"/>
        </w:rPr>
        <w:br w:type="page"/>
      </w:r>
    </w:p>
    <w:p w14:paraId="11EA90BC" w14:textId="77777777" w:rsidR="002F29E3" w:rsidRPr="002F29E3" w:rsidRDefault="002F29E3" w:rsidP="002F29E3">
      <w:pPr>
        <w:rPr>
          <w:rFonts w:eastAsia="SimSun"/>
        </w:rPr>
      </w:pPr>
    </w:p>
    <w:p w14:paraId="11EA90BD" w14:textId="77777777" w:rsidR="00315285" w:rsidRDefault="00315285" w:rsidP="00F872DF">
      <w:pPr>
        <w:pStyle w:val="Caption"/>
      </w:pPr>
    </w:p>
    <w:p w14:paraId="11EA90BE" w14:textId="0C5B7C42" w:rsidR="00FF5767" w:rsidRPr="00F439FB" w:rsidRDefault="001C3EFB" w:rsidP="00FF5767">
      <w:pPr>
        <w:rPr>
          <w:rFonts w:eastAsia="SimSun"/>
          <w:color w:val="4F81BD" w:themeColor="accent1"/>
        </w:rPr>
      </w:pPr>
      <w:bookmarkStart w:id="269" w:name="_Toc437423860"/>
      <w:bookmarkStart w:id="270" w:name="_Toc437424039"/>
      <w:bookmarkStart w:id="271" w:name="_Toc437424310"/>
      <w:bookmarkEnd w:id="239"/>
      <w:r>
        <w:rPr>
          <w:rFonts w:eastAsia="SimSun"/>
          <w:noProof/>
          <w:color w:val="4F81BD" w:themeColor="accent1"/>
          <w:lang w:val="en-AU" w:eastAsia="en-AU"/>
        </w:rPr>
        <w:drawing>
          <wp:inline distT="0" distB="0" distL="0" distR="0" wp14:anchorId="2CBAAC98" wp14:editId="4A5AA1FA">
            <wp:extent cx="6120765" cy="5391150"/>
            <wp:effectExtent l="0" t="0" r="0" b="0"/>
            <wp:docPr id="23" name="Picture 23" descr="A panel of six plots showing trends in coral index scores, coral cover, macroalgae proportion, juvenile density, coral change, coral composition" title="Figure 23 Fitzroy region index and indicator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Fitzroy_plots.png"/>
                    <pic:cNvPicPr/>
                  </pic:nvPicPr>
                  <pic:blipFill rotWithShape="1">
                    <a:blip r:embed="rId59" cstate="print">
                      <a:extLst>
                        <a:ext uri="{28A0092B-C50C-407E-A947-70E740481C1C}">
                          <a14:useLocalDpi xmlns:a14="http://schemas.microsoft.com/office/drawing/2010/main" val="0"/>
                        </a:ext>
                      </a:extLst>
                    </a:blip>
                    <a:srcRect b="24473"/>
                    <a:stretch/>
                  </pic:blipFill>
                  <pic:spPr bwMode="auto">
                    <a:xfrm>
                      <a:off x="0" y="0"/>
                      <a:ext cx="6120765" cy="5391150"/>
                    </a:xfrm>
                    <a:prstGeom prst="rect">
                      <a:avLst/>
                    </a:prstGeom>
                    <a:ln>
                      <a:noFill/>
                    </a:ln>
                    <a:extLst>
                      <a:ext uri="{53640926-AAD7-44D8-BBD7-CCE9431645EC}">
                        <a14:shadowObscured xmlns:a14="http://schemas.microsoft.com/office/drawing/2010/main"/>
                      </a:ext>
                    </a:extLst>
                  </pic:spPr>
                </pic:pic>
              </a:graphicData>
            </a:graphic>
          </wp:inline>
        </w:drawing>
      </w:r>
    </w:p>
    <w:p w14:paraId="06327BA1" w14:textId="3B11A69F" w:rsidR="007A50AB" w:rsidRPr="001A3582" w:rsidRDefault="007A50AB" w:rsidP="007A50AB">
      <w:pPr>
        <w:pStyle w:val="Caption"/>
        <w:rPr>
          <w:vanish/>
        </w:rPr>
      </w:pPr>
      <w:bookmarkStart w:id="272" w:name="_Ref491345128"/>
      <w:bookmarkStart w:id="273" w:name="_Ref438121610"/>
      <w:bookmarkStart w:id="274" w:name="_Toc437597645"/>
      <w:bookmarkStart w:id="275" w:name="_Toc491846849"/>
      <w:r>
        <w:t xml:space="preserve">Figure </w:t>
      </w:r>
      <w:r>
        <w:fldChar w:fldCharType="begin"/>
      </w:r>
      <w:r>
        <w:instrText xml:space="preserve"> SEQ Figure \* ARABIC </w:instrText>
      </w:r>
      <w:r>
        <w:fldChar w:fldCharType="separate"/>
      </w:r>
      <w:r w:rsidR="00D806F2">
        <w:rPr>
          <w:noProof/>
        </w:rPr>
        <w:t>23</w:t>
      </w:r>
      <w:r>
        <w:fldChar w:fldCharType="end"/>
      </w:r>
      <w:bookmarkEnd w:id="272"/>
      <w:r>
        <w:t xml:space="preserve"> </w:t>
      </w:r>
      <w:r w:rsidRPr="007D17C9">
        <w:t xml:space="preserve">Fitzroy </w:t>
      </w:r>
      <w:r w:rsidR="00A416E6">
        <w:t>R</w:t>
      </w:r>
      <w:r w:rsidRPr="007D17C9">
        <w:t>egion</w:t>
      </w:r>
      <w:r w:rsidR="00A416E6">
        <w:t xml:space="preserve"> index and indicator trends</w:t>
      </w:r>
      <w:r w:rsidRPr="007D17C9">
        <w:t>.</w:t>
      </w:r>
      <w:bookmarkEnd w:id="269"/>
      <w:bookmarkEnd w:id="270"/>
      <w:bookmarkEnd w:id="271"/>
      <w:bookmarkEnd w:id="273"/>
      <w:bookmarkEnd w:id="274"/>
      <w:r w:rsidR="00001956" w:rsidRPr="002C5422">
        <w:rPr>
          <w:rStyle w:val="Heading9Char"/>
          <w:rFonts w:ascii="Arial Narrow" w:eastAsia="SimSun" w:hAnsi="Arial Narrow"/>
          <w:sz w:val="22"/>
          <w:szCs w:val="22"/>
        </w:rPr>
        <w:t xml:space="preserve"> </w:t>
      </w:r>
      <w:bookmarkStart w:id="276" w:name="_Toc437597646"/>
      <w:r>
        <w:t>a)</w:t>
      </w:r>
      <w:bookmarkEnd w:id="275"/>
      <w:r>
        <w:t xml:space="preserve"> </w:t>
      </w:r>
    </w:p>
    <w:p w14:paraId="59BD80F1" w14:textId="1964AEA7" w:rsidR="007A50AB" w:rsidRPr="001A3582" w:rsidRDefault="007A50AB" w:rsidP="007A50AB">
      <w:pPr>
        <w:pStyle w:val="Caption"/>
        <w:rPr>
          <w:rStyle w:val="IntenseReference"/>
          <w:rFonts w:eastAsia="SimSun"/>
          <w:color w:val="auto"/>
        </w:rPr>
      </w:pPr>
      <w:r w:rsidRPr="001A3582">
        <w:rPr>
          <w:rStyle w:val="IntenseReference"/>
          <w:rFonts w:eastAsia="SimSun"/>
          <w:color w:val="auto"/>
        </w:rPr>
        <w:t>Coral index</w:t>
      </w:r>
      <w:r>
        <w:rPr>
          <w:rStyle w:val="IntenseReference"/>
          <w:rFonts w:eastAsia="SimSun"/>
          <w:color w:val="auto"/>
        </w:rPr>
        <w:t>,</w:t>
      </w:r>
      <w:r w:rsidRPr="001A3582">
        <w:rPr>
          <w:rStyle w:val="IntenseReference"/>
          <w:rFonts w:eastAsia="SimSun"/>
          <w:color w:val="auto"/>
        </w:rPr>
        <w:t xml:space="preserve"> colour coding: dark green- ‘very good’; light green-‘good’; yellow – ‘moderate; orange – ‘poor’; red – ‘very poor’. </w:t>
      </w:r>
      <w:r>
        <w:rPr>
          <w:rStyle w:val="IntenseReference"/>
          <w:rFonts w:eastAsia="SimSun"/>
          <w:color w:val="auto"/>
        </w:rPr>
        <w:t xml:space="preserve">b – </w:t>
      </w:r>
      <w:r w:rsidRPr="001A3582">
        <w:rPr>
          <w:rStyle w:val="IntenseReference"/>
          <w:rFonts w:eastAsia="SimSun"/>
          <w:color w:val="auto"/>
        </w:rPr>
        <w:t>f</w:t>
      </w:r>
      <w:r>
        <w:rPr>
          <w:rStyle w:val="IntenseReference"/>
          <w:rFonts w:eastAsia="SimSun"/>
          <w:color w:val="auto"/>
        </w:rPr>
        <w:t>) trends in individual indicators, (</w:t>
      </w:r>
      <w:r w:rsidRPr="001A3582">
        <w:rPr>
          <w:rStyle w:val="IntenseReference"/>
          <w:rFonts w:eastAsia="SimSun"/>
          <w:color w:val="auto"/>
        </w:rPr>
        <w:t>blue lines</w:t>
      </w:r>
      <w:r>
        <w:rPr>
          <w:rStyle w:val="IntenseReference"/>
          <w:rFonts w:eastAsia="SimSun"/>
          <w:color w:val="auto"/>
        </w:rPr>
        <w:t xml:space="preserve">) bound by </w:t>
      </w:r>
      <w:r w:rsidRPr="001A3582">
        <w:rPr>
          <w:rStyle w:val="IntenseReference"/>
          <w:rFonts w:eastAsia="SimSun"/>
          <w:color w:val="auto"/>
        </w:rPr>
        <w:t>95% confidence intervals of those trends</w:t>
      </w:r>
      <w:r>
        <w:rPr>
          <w:rStyle w:val="IntenseReference"/>
          <w:rFonts w:eastAsia="SimSun"/>
          <w:color w:val="auto"/>
        </w:rPr>
        <w:t xml:space="preserve"> (shading)</w:t>
      </w:r>
      <w:r w:rsidRPr="001A3582">
        <w:rPr>
          <w:rStyle w:val="IntenseReference"/>
          <w:rFonts w:eastAsia="SimSun"/>
          <w:color w:val="auto"/>
        </w:rPr>
        <w:t xml:space="preserve">, grey lines represent observed profiles </w:t>
      </w:r>
      <w:r>
        <w:rPr>
          <w:rStyle w:val="IntenseReference"/>
          <w:rFonts w:eastAsia="SimSun"/>
          <w:color w:val="auto"/>
        </w:rPr>
        <w:t>at 5 m (dashed) and 2 m (solid) depths</w:t>
      </w:r>
      <w:r w:rsidRPr="001A3582">
        <w:rPr>
          <w:rStyle w:val="IntenseReference"/>
          <w:rFonts w:eastAsia="SimSun"/>
          <w:color w:val="auto"/>
        </w:rPr>
        <w:t xml:space="preserve"> </w:t>
      </w:r>
      <w:r>
        <w:rPr>
          <w:rStyle w:val="IntenseReference"/>
          <w:rFonts w:eastAsia="SimSun"/>
          <w:color w:val="auto"/>
        </w:rPr>
        <w:t>for</w:t>
      </w:r>
      <w:r w:rsidRPr="001A3582">
        <w:rPr>
          <w:rStyle w:val="IntenseReference"/>
          <w:rFonts w:eastAsia="SimSun"/>
          <w:color w:val="auto"/>
        </w:rPr>
        <w:t xml:space="preserve"> individual reefs</w:t>
      </w:r>
      <w:r>
        <w:rPr>
          <w:rStyle w:val="IntenseReference"/>
          <w:rFonts w:eastAsia="SimSun"/>
          <w:color w:val="auto"/>
        </w:rPr>
        <w:t>.</w:t>
      </w:r>
    </w:p>
    <w:p w14:paraId="11EA90C0" w14:textId="27C686EA" w:rsidR="00001956" w:rsidRPr="002C5422" w:rsidRDefault="00001956" w:rsidP="00F872DF">
      <w:pPr>
        <w:pStyle w:val="Caption"/>
        <w:rPr>
          <w:rStyle w:val="IntenseReference"/>
          <w:rFonts w:eastAsiaTheme="minorHAnsi"/>
          <w:color w:val="auto"/>
        </w:rPr>
      </w:pPr>
      <w:r w:rsidRPr="002C5422">
        <w:rPr>
          <w:rStyle w:val="IntenseReference"/>
          <w:rFonts w:eastAsiaTheme="minorHAnsi"/>
          <w:color w:val="auto"/>
        </w:rPr>
        <w:t xml:space="preserve">. </w:t>
      </w:r>
      <w:bookmarkEnd w:id="276"/>
    </w:p>
    <w:p w14:paraId="11EA90C1" w14:textId="77777777" w:rsidR="006E5B54" w:rsidRPr="00F439FB" w:rsidRDefault="006E5B54" w:rsidP="00D61C95">
      <w:pPr>
        <w:rPr>
          <w:rFonts w:asciiTheme="minorHAnsi" w:eastAsiaTheme="minorHAnsi" w:hAnsiTheme="minorHAnsi" w:cstheme="minorBidi"/>
          <w:color w:val="4F81BD" w:themeColor="accent1"/>
          <w:szCs w:val="22"/>
        </w:rPr>
      </w:pPr>
    </w:p>
    <w:p w14:paraId="11EA92C6" w14:textId="51908AA1" w:rsidR="00502A11" w:rsidRDefault="00EC12A5" w:rsidP="00502A11">
      <w:pPr>
        <w:jc w:val="left"/>
        <w:rPr>
          <w:rFonts w:ascii="Arial Narrow" w:eastAsia="SimSun" w:hAnsi="Arial Narrow"/>
          <w:color w:val="4F81BD" w:themeColor="accent1"/>
          <w:sz w:val="20"/>
          <w:szCs w:val="24"/>
        </w:rPr>
      </w:pPr>
      <w:r>
        <w:rPr>
          <w:color w:val="4F81BD" w:themeColor="accent1"/>
        </w:rPr>
        <w:br w:type="page"/>
      </w:r>
    </w:p>
    <w:p w14:paraId="4A2DE5F2" w14:textId="18F7297E" w:rsidR="00AD14ED" w:rsidRPr="00EB2206" w:rsidRDefault="00AD14ED" w:rsidP="00B05739">
      <w:pPr>
        <w:pStyle w:val="Heading1"/>
        <w:numPr>
          <w:ilvl w:val="0"/>
          <w:numId w:val="42"/>
        </w:numPr>
        <w:rPr>
          <w:lang w:val="en-AU"/>
        </w:rPr>
      </w:pPr>
      <w:bookmarkStart w:id="277" w:name="_Toc493153334"/>
      <w:r>
        <w:t>Discussion</w:t>
      </w:r>
      <w:bookmarkEnd w:id="277"/>
      <w:r>
        <w:t xml:space="preserve"> </w:t>
      </w:r>
    </w:p>
    <w:p w14:paraId="3C5DB830" w14:textId="3B6CD6E4" w:rsidR="00A462A9" w:rsidRDefault="00A462A9" w:rsidP="00A462A9">
      <w:pPr>
        <w:rPr>
          <w:rFonts w:cs="Arial"/>
        </w:rPr>
      </w:pPr>
      <w:r>
        <w:rPr>
          <w:rFonts w:cs="Arial"/>
        </w:rPr>
        <w:t>As naturally dynamic systems that alternate between impacts and periods of recovery (Connell 1978) it is critical for the persistence of coral communities that there is a long-term balance between disturbance and recovery processes. It is the</w:t>
      </w:r>
      <w:r w:rsidRPr="00C90034">
        <w:rPr>
          <w:rFonts w:cs="Arial"/>
        </w:rPr>
        <w:t xml:space="preserve"> role of water quality in altering the balance between</w:t>
      </w:r>
      <w:r>
        <w:rPr>
          <w:rFonts w:cs="Arial"/>
        </w:rPr>
        <w:t>,</w:t>
      </w:r>
      <w:r w:rsidRPr="00C90034">
        <w:rPr>
          <w:rFonts w:cs="Arial"/>
        </w:rPr>
        <w:t xml:space="preserve"> </w:t>
      </w:r>
      <w:r>
        <w:rPr>
          <w:rFonts w:cs="Arial"/>
        </w:rPr>
        <w:t xml:space="preserve">the </w:t>
      </w:r>
      <w:r w:rsidRPr="00C90034">
        <w:rPr>
          <w:rFonts w:cs="Arial"/>
        </w:rPr>
        <w:t xml:space="preserve">rate and intensity of impacts </w:t>
      </w:r>
      <w:r>
        <w:rPr>
          <w:rFonts w:cs="Arial"/>
        </w:rPr>
        <w:t xml:space="preserve">to coral communities </w:t>
      </w:r>
      <w:r w:rsidRPr="00C90034">
        <w:rPr>
          <w:rFonts w:cs="Arial"/>
        </w:rPr>
        <w:t>associated with acute events</w:t>
      </w:r>
      <w:r>
        <w:rPr>
          <w:rFonts w:cs="Arial"/>
        </w:rPr>
        <w:t>,</w:t>
      </w:r>
      <w:r w:rsidRPr="00C90034">
        <w:rPr>
          <w:rFonts w:cs="Arial"/>
        </w:rPr>
        <w:t xml:space="preserve"> and </w:t>
      </w:r>
      <w:r>
        <w:rPr>
          <w:rFonts w:cs="Arial"/>
        </w:rPr>
        <w:t xml:space="preserve">the </w:t>
      </w:r>
      <w:r w:rsidRPr="00C90034">
        <w:rPr>
          <w:rFonts w:cs="Arial"/>
        </w:rPr>
        <w:t>community’s subsequent recovery</w:t>
      </w:r>
      <w:r>
        <w:rPr>
          <w:rFonts w:cs="Arial"/>
        </w:rPr>
        <w:t>,</w:t>
      </w:r>
      <w:r w:rsidRPr="00C90034">
        <w:rPr>
          <w:rFonts w:cs="Arial"/>
        </w:rPr>
        <w:t xml:space="preserve"> </w:t>
      </w:r>
      <w:r>
        <w:rPr>
          <w:rFonts w:cs="Arial"/>
        </w:rPr>
        <w:t xml:space="preserve">that </w:t>
      </w:r>
      <w:r w:rsidRPr="00C90034">
        <w:rPr>
          <w:rFonts w:cs="Arial"/>
        </w:rPr>
        <w:t>is the primary focus of the MMP</w:t>
      </w:r>
      <w:r>
        <w:rPr>
          <w:rFonts w:cs="Arial"/>
        </w:rPr>
        <w:t>. In this light</w:t>
      </w:r>
      <w:r w:rsidR="001B54F0">
        <w:rPr>
          <w:rFonts w:cs="Arial"/>
        </w:rPr>
        <w:t>, it is encouraging that, i</w:t>
      </w:r>
      <w:r>
        <w:rPr>
          <w:rFonts w:cs="Arial"/>
        </w:rPr>
        <w:t>n 2016</w:t>
      </w:r>
      <w:r w:rsidR="001B54F0">
        <w:rPr>
          <w:rFonts w:cs="Arial"/>
        </w:rPr>
        <w:t>,</w:t>
      </w:r>
      <w:r>
        <w:rPr>
          <w:rFonts w:cs="Arial"/>
        </w:rPr>
        <w:t xml:space="preserve"> the </w:t>
      </w:r>
      <w:r w:rsidRPr="00C90034">
        <w:rPr>
          <w:rFonts w:cs="Arial"/>
        </w:rPr>
        <w:t xml:space="preserve">coral index </w:t>
      </w:r>
      <w:r>
        <w:rPr>
          <w:rFonts w:cs="Arial"/>
        </w:rPr>
        <w:t xml:space="preserve">scores continued to improve </w:t>
      </w:r>
      <w:r w:rsidRPr="00C90034">
        <w:rPr>
          <w:rFonts w:cs="Arial"/>
        </w:rPr>
        <w:t xml:space="preserve">in all </w:t>
      </w:r>
      <w:r>
        <w:rPr>
          <w:rFonts w:cs="Arial"/>
        </w:rPr>
        <w:t xml:space="preserve">regions demonstrating that recovery was occurring during a period typified by reduced exposure to the cumulative pressures of acute disturbance events and the chronic influence of </w:t>
      </w:r>
      <w:r w:rsidR="0042623E">
        <w:rPr>
          <w:rFonts w:cs="Arial"/>
        </w:rPr>
        <w:t>run-off</w:t>
      </w:r>
      <w:r w:rsidRPr="00C90034">
        <w:rPr>
          <w:rFonts w:cs="Arial"/>
        </w:rPr>
        <w:t>.</w:t>
      </w:r>
      <w:r w:rsidR="00E75F5C">
        <w:rPr>
          <w:rFonts w:cs="Arial"/>
        </w:rPr>
        <w:t xml:space="preserve"> </w:t>
      </w:r>
    </w:p>
    <w:p w14:paraId="726FE4B3" w14:textId="77777777" w:rsidR="00A462A9" w:rsidRPr="00C90034" w:rsidRDefault="00A462A9" w:rsidP="00A462A9">
      <w:pPr>
        <w:rPr>
          <w:rFonts w:cs="Arial"/>
        </w:rPr>
      </w:pPr>
      <w:r w:rsidRPr="00C90034">
        <w:rPr>
          <w:rFonts w:cs="Arial"/>
        </w:rPr>
        <w:t xml:space="preserve">Results are discussed in terms of the </w:t>
      </w:r>
      <w:r w:rsidRPr="00C90034">
        <w:rPr>
          <w:rFonts w:cs="Arial"/>
          <w:i/>
        </w:rPr>
        <w:t>Pressure</w:t>
      </w:r>
      <w:r w:rsidRPr="00C90034">
        <w:rPr>
          <w:rFonts w:cs="Arial"/>
        </w:rPr>
        <w:t xml:space="preserve">, </w:t>
      </w:r>
      <w:r w:rsidRPr="00C90034">
        <w:rPr>
          <w:rFonts w:cs="Arial"/>
          <w:i/>
        </w:rPr>
        <w:t>State</w:t>
      </w:r>
      <w:r w:rsidRPr="00C90034">
        <w:rPr>
          <w:rFonts w:cs="Arial"/>
        </w:rPr>
        <w:t xml:space="preserve"> and </w:t>
      </w:r>
      <w:r w:rsidRPr="00C90034">
        <w:rPr>
          <w:rFonts w:cs="Arial"/>
          <w:i/>
        </w:rPr>
        <w:t>Impact</w:t>
      </w:r>
      <w:r w:rsidRPr="00C90034">
        <w:rPr>
          <w:rFonts w:cs="Arial"/>
        </w:rPr>
        <w:t xml:space="preserve"> components of a broader </w:t>
      </w:r>
      <w:r w:rsidRPr="00C90034">
        <w:rPr>
          <w:rFonts w:cs="Arial"/>
          <w:i/>
        </w:rPr>
        <w:t>Driver-Pressure-State-Impact-Response</w:t>
      </w:r>
      <w:r w:rsidRPr="00C90034">
        <w:rPr>
          <w:rFonts w:cs="Arial"/>
        </w:rPr>
        <w:t xml:space="preserve"> (DPSIR) framework. This allows identification of some of the key pressures influencing coral community condition. In this context, there is a natural distinction between pressures that are beyond the realm of management under Reef Plan, such as acute disturbances associated with severe storms or cyclones, and those related more tangibly to water quality</w:t>
      </w:r>
      <w:r>
        <w:rPr>
          <w:rFonts w:cs="Arial"/>
        </w:rPr>
        <w:t>, which are expected to be manageable</w:t>
      </w:r>
      <w:r w:rsidRPr="00C90034">
        <w:rPr>
          <w:rFonts w:cs="Arial"/>
        </w:rPr>
        <w:t>.</w:t>
      </w:r>
    </w:p>
    <w:p w14:paraId="49A58A02" w14:textId="01021141" w:rsidR="00A462A9" w:rsidRPr="00C90034" w:rsidRDefault="00A462A9" w:rsidP="00A462A9">
      <w:pPr>
        <w:pStyle w:val="Heading2"/>
      </w:pPr>
      <w:bookmarkStart w:id="278" w:name="_Toc471376417"/>
      <w:bookmarkStart w:id="279" w:name="_Toc493153335"/>
      <w:r>
        <w:t xml:space="preserve">6.1 </w:t>
      </w:r>
      <w:r w:rsidRPr="00C90034">
        <w:t>Pressures</w:t>
      </w:r>
      <w:bookmarkEnd w:id="278"/>
      <w:bookmarkEnd w:id="279"/>
      <w:r w:rsidRPr="00C90034">
        <w:t xml:space="preserve"> </w:t>
      </w:r>
    </w:p>
    <w:p w14:paraId="6EAC469D" w14:textId="77777777" w:rsidR="00A462A9" w:rsidRDefault="00A462A9" w:rsidP="00B9528B">
      <w:pPr>
        <w:pStyle w:val="Heading3"/>
      </w:pPr>
      <w:bookmarkStart w:id="280" w:name="_Toc493153336"/>
      <w:r w:rsidRPr="00F439FB">
        <w:t>Acute disturbances</w:t>
      </w:r>
      <w:bookmarkEnd w:id="280"/>
    </w:p>
    <w:p w14:paraId="621DF7B5" w14:textId="77777777" w:rsidR="00A462A9" w:rsidRPr="00B32166" w:rsidRDefault="00A462A9" w:rsidP="00A462A9">
      <w:r>
        <w:t xml:space="preserve">In the year preceding observations in 2016, no acute disturbance events substantially impacted the coral communities covered by this report. The lack of acute pressures builds on the similarly benign conditions in most regions observed in 2014/15 and contrasts the frequent and intense pressures that variously impacted reefs over the period 2006 to 2014. </w:t>
      </w:r>
    </w:p>
    <w:p w14:paraId="32B4D291" w14:textId="19E92530" w:rsidR="00A462A9" w:rsidRDefault="00A462A9" w:rsidP="00A462A9">
      <w:r>
        <w:t>High water temperatures over the 2015-16 summer were widely reported as causing severe coral bleaching</w:t>
      </w:r>
      <w:r w:rsidR="00E75F5C">
        <w:t xml:space="preserve"> </w:t>
      </w:r>
      <w:r>
        <w:t xml:space="preserve">in the Northern areas of the Reef (Hughes </w:t>
      </w:r>
      <w:r w:rsidRPr="00713F82">
        <w:rPr>
          <w:i/>
        </w:rPr>
        <w:t>et al.</w:t>
      </w:r>
      <w:r>
        <w:t xml:space="preserve"> 2017). Impacts to the inshore areas south of the Daintree were minimal, as summer temperatures remained below accepted thermal stress thresholds (Garde </w:t>
      </w:r>
      <w:r w:rsidRPr="00713F82">
        <w:rPr>
          <w:i/>
        </w:rPr>
        <w:t>et al.</w:t>
      </w:r>
      <w:r>
        <w:t xml:space="preserve"> 2014), largely as a result of the cooling effect of tropical low pressures systems over the central and southern Reef (GBRMPA 2016, see also section 7 this report).</w:t>
      </w:r>
      <w:r w:rsidR="00E75F5C">
        <w:t xml:space="preserve"> </w:t>
      </w:r>
      <w:r>
        <w:t xml:space="preserve">Minor loss of coral cover associated with coral disease among </w:t>
      </w:r>
      <w:r w:rsidRPr="00580B60">
        <w:rPr>
          <w:i/>
        </w:rPr>
        <w:t>Acropora</w:t>
      </w:r>
      <w:r>
        <w:t xml:space="preserve"> species</w:t>
      </w:r>
      <w:r w:rsidRPr="009B2B37">
        <w:t xml:space="preserve"> </w:t>
      </w:r>
      <w:r>
        <w:t xml:space="preserve">at Havannah Island in the Burdekin region, was the most tangible direct impact of the bleaching event on the reefs reported herein. </w:t>
      </w:r>
    </w:p>
    <w:p w14:paraId="5DFEC929" w14:textId="597CB8B3" w:rsidR="00A462A9" w:rsidRPr="00344663" w:rsidRDefault="00A462A9" w:rsidP="00A462A9">
      <w:pPr>
        <w:rPr>
          <w:rFonts w:cs="Arial"/>
          <w:color w:val="000000" w:themeColor="text1"/>
        </w:rPr>
      </w:pPr>
      <w:r>
        <w:t>Moderate numbers of crown-of-thorns seastars (COTS) continue to occur at reefs in the Johnstone Russell-Mulgrave region. The individuals observed represented a range of size classes including juveniles &lt;1</w:t>
      </w:r>
      <w:r w:rsidR="00AA72A3">
        <w:t>5 cm</w:t>
      </w:r>
      <w:r>
        <w:t xml:space="preserve"> in diameter indicating the recurrent recruitment of these seastars and raising concern that</w:t>
      </w:r>
      <w:r w:rsidR="00670B9C">
        <w:t>,</w:t>
      </w:r>
      <w:r>
        <w:t xml:space="preserve"> as these individuals grow</w:t>
      </w:r>
      <w:r w:rsidR="00670B9C">
        <w:t>,</w:t>
      </w:r>
      <w:r>
        <w:t xml:space="preserve"> they will cause ongoing loss of coral cover. </w:t>
      </w:r>
      <w:r w:rsidRPr="00815378">
        <w:rPr>
          <w:rFonts w:cs="Arial"/>
          <w:color w:val="000000" w:themeColor="text1"/>
        </w:rPr>
        <w:t xml:space="preserve">COTS </w:t>
      </w:r>
      <w:r>
        <w:rPr>
          <w:rFonts w:cs="Arial"/>
          <w:color w:val="000000" w:themeColor="text1"/>
        </w:rPr>
        <w:t xml:space="preserve">are </w:t>
      </w:r>
      <w:r w:rsidRPr="00815378">
        <w:rPr>
          <w:rFonts w:cs="Arial"/>
          <w:color w:val="000000" w:themeColor="text1"/>
        </w:rPr>
        <w:t xml:space="preserve">recognised as a major contributor to loss of coral cover in mid-shelf areas of the Reef (Osborne </w:t>
      </w:r>
      <w:r w:rsidRPr="00815378">
        <w:rPr>
          <w:rFonts w:cs="Arial"/>
          <w:i/>
          <w:color w:val="000000" w:themeColor="text1"/>
        </w:rPr>
        <w:t>et al.</w:t>
      </w:r>
      <w:r w:rsidRPr="00815378">
        <w:rPr>
          <w:rFonts w:cs="Arial"/>
          <w:color w:val="000000" w:themeColor="text1"/>
        </w:rPr>
        <w:t xml:space="preserve"> 2011, De’ath </w:t>
      </w:r>
      <w:r w:rsidRPr="00815378">
        <w:rPr>
          <w:rFonts w:cs="Arial"/>
          <w:i/>
          <w:color w:val="000000" w:themeColor="text1"/>
        </w:rPr>
        <w:t>et al.</w:t>
      </w:r>
      <w:r w:rsidRPr="00815378">
        <w:rPr>
          <w:rFonts w:cs="Arial"/>
          <w:color w:val="000000" w:themeColor="text1"/>
        </w:rPr>
        <w:t xml:space="preserve"> 2012)</w:t>
      </w:r>
      <w:r>
        <w:rPr>
          <w:rFonts w:cs="Arial"/>
          <w:color w:val="000000" w:themeColor="text1"/>
        </w:rPr>
        <w:t xml:space="preserve"> with population outbreaks in 2016 recorded on reefs between Cairns and Townsville, as well as off Princess Charlotte Bay in the North and Mackay in the south (</w:t>
      </w:r>
      <w:hyperlink r:id="rId60" w:history="1">
        <w:r w:rsidRPr="005F5B08">
          <w:rPr>
            <w:rStyle w:val="Hyperlink"/>
            <w:rFonts w:eastAsia="SimSun" w:cs="Arial"/>
          </w:rPr>
          <w:t>AIMS LTMP</w:t>
        </w:r>
      </w:hyperlink>
      <w:r>
        <w:rPr>
          <w:rFonts w:cs="Arial"/>
          <w:color w:val="000000" w:themeColor="text1"/>
        </w:rPr>
        <w:t>).</w:t>
      </w:r>
      <w:r w:rsidRPr="00815378">
        <w:rPr>
          <w:rFonts w:cs="Arial"/>
          <w:color w:val="000000" w:themeColor="text1"/>
        </w:rPr>
        <w:t xml:space="preserve"> The transport of coastal nutrients to the mid-shelf Reef remains the most plausible explanation for the promotion of COTS outbreaks as a result of human activities</w:t>
      </w:r>
      <w:r w:rsidRPr="00344663">
        <w:rPr>
          <w:rFonts w:cs="Arial"/>
          <w:color w:val="000000" w:themeColor="text1"/>
        </w:rPr>
        <w:t xml:space="preserve">, potentially extending the influence of </w:t>
      </w:r>
      <w:r w:rsidR="0042623E">
        <w:rPr>
          <w:rFonts w:cs="Arial"/>
          <w:color w:val="000000" w:themeColor="text1"/>
        </w:rPr>
        <w:t>run-off</w:t>
      </w:r>
      <w:r w:rsidRPr="00344663">
        <w:rPr>
          <w:rFonts w:cs="Arial"/>
          <w:color w:val="000000" w:themeColor="text1"/>
        </w:rPr>
        <w:t xml:space="preserve"> to large tracts of the Reef and over long periods of time (Brodie </w:t>
      </w:r>
      <w:r w:rsidRPr="00344663">
        <w:rPr>
          <w:rFonts w:cs="Arial"/>
          <w:i/>
          <w:color w:val="000000" w:themeColor="text1"/>
        </w:rPr>
        <w:t>et al.</w:t>
      </w:r>
      <w:r w:rsidRPr="00344663">
        <w:rPr>
          <w:rFonts w:cs="Arial"/>
          <w:color w:val="000000" w:themeColor="text1"/>
        </w:rPr>
        <w:t xml:space="preserve"> 2005, Fabricius </w:t>
      </w:r>
      <w:r w:rsidRPr="00344663">
        <w:rPr>
          <w:rFonts w:cs="Arial"/>
          <w:i/>
          <w:color w:val="000000" w:themeColor="text1"/>
        </w:rPr>
        <w:t>et al.</w:t>
      </w:r>
      <w:r w:rsidRPr="00344663">
        <w:rPr>
          <w:rFonts w:cs="Arial"/>
          <w:color w:val="000000" w:themeColor="text1"/>
        </w:rPr>
        <w:t xml:space="preserve"> 2010, Furnas </w:t>
      </w:r>
      <w:r w:rsidRPr="00344663">
        <w:rPr>
          <w:rFonts w:cs="Arial"/>
          <w:i/>
          <w:color w:val="000000" w:themeColor="text1"/>
        </w:rPr>
        <w:t>et al.</w:t>
      </w:r>
      <w:r w:rsidRPr="00344663">
        <w:rPr>
          <w:rFonts w:cs="Arial"/>
          <w:color w:val="000000" w:themeColor="text1"/>
        </w:rPr>
        <w:t xml:space="preserve"> 2013, Caballes &amp; Pratchett 2014, Pratchett </w:t>
      </w:r>
      <w:r w:rsidRPr="008C0BCA">
        <w:rPr>
          <w:rFonts w:cs="Arial"/>
          <w:i/>
          <w:color w:val="000000" w:themeColor="text1"/>
        </w:rPr>
        <w:t>et al</w:t>
      </w:r>
      <w:r w:rsidRPr="00344663">
        <w:rPr>
          <w:rFonts w:cs="Arial"/>
          <w:color w:val="000000" w:themeColor="text1"/>
        </w:rPr>
        <w:t>. 2014, Wooldridge &amp; Brodie 2015</w:t>
      </w:r>
      <w:r>
        <w:rPr>
          <w:rFonts w:cs="Arial"/>
          <w:color w:val="000000" w:themeColor="text1"/>
        </w:rPr>
        <w:t>).</w:t>
      </w:r>
    </w:p>
    <w:p w14:paraId="1278047C" w14:textId="563E7A4C" w:rsidR="00A462A9" w:rsidRDefault="00A462A9" w:rsidP="00A462A9">
      <w:pPr>
        <w:rPr>
          <w:rFonts w:cs="Arial"/>
        </w:rPr>
      </w:pPr>
      <w:r w:rsidRPr="00C90034">
        <w:rPr>
          <w:rFonts w:cs="Arial"/>
        </w:rPr>
        <w:t>Since MMP surveys began in 2005, substantial loss of coral cover</w:t>
      </w:r>
      <w:r w:rsidR="00E75F5C">
        <w:rPr>
          <w:rFonts w:cs="Arial"/>
        </w:rPr>
        <w:t xml:space="preserve"> </w:t>
      </w:r>
      <w:r>
        <w:rPr>
          <w:rFonts w:cs="Arial"/>
        </w:rPr>
        <w:t xml:space="preserve">has been ascribed to </w:t>
      </w:r>
      <w:r w:rsidRPr="00C90034">
        <w:rPr>
          <w:rFonts w:cs="Arial"/>
        </w:rPr>
        <w:t>: thermal bleaching (Fitzroy Region</w:t>
      </w:r>
      <w:r>
        <w:rPr>
          <w:rFonts w:cs="Arial"/>
        </w:rPr>
        <w:t xml:space="preserve"> - </w:t>
      </w:r>
      <w:r w:rsidRPr="00C90034">
        <w:rPr>
          <w:rFonts w:cs="Arial"/>
        </w:rPr>
        <w:t xml:space="preserve">2006), Cyclone Larry (Wet Tropics and Burdekin regions </w:t>
      </w:r>
      <w:r>
        <w:rPr>
          <w:rFonts w:cs="Arial"/>
        </w:rPr>
        <w:t xml:space="preserve">- </w:t>
      </w:r>
      <w:r w:rsidRPr="00C90034">
        <w:rPr>
          <w:rFonts w:cs="Arial"/>
        </w:rPr>
        <w:t xml:space="preserve">2006), Cyclone Ului (Whitsunday Region </w:t>
      </w:r>
      <w:r>
        <w:rPr>
          <w:rFonts w:cs="Arial"/>
        </w:rPr>
        <w:t xml:space="preserve">- </w:t>
      </w:r>
      <w:r w:rsidRPr="00C90034">
        <w:rPr>
          <w:rFonts w:cs="Arial"/>
        </w:rPr>
        <w:t xml:space="preserve">2010), Cyclone Tasha (Wet Tropics </w:t>
      </w:r>
      <w:r>
        <w:rPr>
          <w:rFonts w:cs="Arial"/>
        </w:rPr>
        <w:t xml:space="preserve">- </w:t>
      </w:r>
      <w:r w:rsidRPr="00C90034">
        <w:rPr>
          <w:rFonts w:cs="Arial"/>
        </w:rPr>
        <w:t xml:space="preserve">2011), Cyclone Yasi (Wet Tropics and Burdekin regions </w:t>
      </w:r>
      <w:r>
        <w:rPr>
          <w:rFonts w:cs="Arial"/>
        </w:rPr>
        <w:t xml:space="preserve">- </w:t>
      </w:r>
      <w:r w:rsidRPr="00C90034">
        <w:rPr>
          <w:rFonts w:cs="Arial"/>
        </w:rPr>
        <w:t xml:space="preserve">2011), Cyclone Ita (Wet Tropics </w:t>
      </w:r>
      <w:r>
        <w:rPr>
          <w:rFonts w:cs="Arial"/>
        </w:rPr>
        <w:t xml:space="preserve">- </w:t>
      </w:r>
      <w:r w:rsidRPr="00C90034">
        <w:rPr>
          <w:rFonts w:cs="Arial"/>
        </w:rPr>
        <w:t xml:space="preserve">2014), Cyclone Marsha (Fitzroy Region </w:t>
      </w:r>
      <w:r>
        <w:rPr>
          <w:rFonts w:cs="Arial"/>
        </w:rPr>
        <w:t xml:space="preserve">- </w:t>
      </w:r>
      <w:r w:rsidRPr="00C90034">
        <w:rPr>
          <w:rFonts w:cs="Arial"/>
        </w:rPr>
        <w:t xml:space="preserve">2015), sub-cyclonic storms (Barron Daintree sub-region </w:t>
      </w:r>
      <w:r>
        <w:rPr>
          <w:rFonts w:cs="Arial"/>
        </w:rPr>
        <w:t xml:space="preserve">- </w:t>
      </w:r>
      <w:r w:rsidRPr="00C90034">
        <w:rPr>
          <w:rFonts w:cs="Arial"/>
        </w:rPr>
        <w:t>2009, Burdekin</w:t>
      </w:r>
      <w:r>
        <w:rPr>
          <w:rFonts w:cs="Arial"/>
        </w:rPr>
        <w:t xml:space="preserve"> -</w:t>
      </w:r>
      <w:r w:rsidRPr="00C90034">
        <w:rPr>
          <w:rFonts w:cs="Arial"/>
        </w:rPr>
        <w:t xml:space="preserve"> 2009, Fitzroy </w:t>
      </w:r>
      <w:r>
        <w:rPr>
          <w:rFonts w:cs="Arial"/>
        </w:rPr>
        <w:t xml:space="preserve">- </w:t>
      </w:r>
      <w:r w:rsidRPr="00C90034">
        <w:rPr>
          <w:rFonts w:cs="Arial"/>
        </w:rPr>
        <w:t>2008, 2010, 2013), predation by COTS (Wet Tropics</w:t>
      </w:r>
      <w:r>
        <w:rPr>
          <w:rFonts w:cs="Arial"/>
        </w:rPr>
        <w:t xml:space="preserve"> - </w:t>
      </w:r>
      <w:r w:rsidRPr="00C90034">
        <w:rPr>
          <w:rFonts w:cs="Arial"/>
        </w:rPr>
        <w:t>2012</w:t>
      </w:r>
      <w:r>
        <w:rPr>
          <w:rFonts w:cs="Arial"/>
        </w:rPr>
        <w:t xml:space="preserve"> to </w:t>
      </w:r>
      <w:r w:rsidRPr="00C90034">
        <w:rPr>
          <w:rFonts w:cs="Arial"/>
        </w:rPr>
        <w:t>2014) and exposure to low salinity flood waters (2</w:t>
      </w:r>
      <w:r>
        <w:rPr>
          <w:rFonts w:cs="Arial"/>
        </w:rPr>
        <w:t xml:space="preserve"> </w:t>
      </w:r>
      <w:r w:rsidRPr="00C90034">
        <w:rPr>
          <w:rFonts w:cs="Arial"/>
        </w:rPr>
        <w:t xml:space="preserve">m depths, Fitzroy Region 2011). These disturbance events contribute strongly to the declines in coral </w:t>
      </w:r>
      <w:r>
        <w:rPr>
          <w:rFonts w:cs="Arial"/>
        </w:rPr>
        <w:t>index</w:t>
      </w:r>
      <w:r w:rsidRPr="00C90034">
        <w:rPr>
          <w:rFonts w:cs="Arial"/>
        </w:rPr>
        <w:t xml:space="preserve"> in all regions. Acute pressures most directly influence coral cover and contribute</w:t>
      </w:r>
      <w:r>
        <w:rPr>
          <w:rFonts w:cs="Arial"/>
        </w:rPr>
        <w:t>d</w:t>
      </w:r>
      <w:r w:rsidRPr="00C90034">
        <w:rPr>
          <w:rFonts w:cs="Arial"/>
        </w:rPr>
        <w:t xml:space="preserve"> to between </w:t>
      </w:r>
      <w:r>
        <w:rPr>
          <w:rFonts w:cs="Arial"/>
        </w:rPr>
        <w:t>51</w:t>
      </w:r>
      <w:r w:rsidRPr="00C90034">
        <w:rPr>
          <w:rFonts w:cs="Arial"/>
        </w:rPr>
        <w:t xml:space="preserve">% </w:t>
      </w:r>
      <w:r>
        <w:rPr>
          <w:rFonts w:cs="Arial"/>
        </w:rPr>
        <w:t>(Mackay Whitsunday R</w:t>
      </w:r>
      <w:r w:rsidRPr="00C90034">
        <w:rPr>
          <w:rFonts w:cs="Arial"/>
        </w:rPr>
        <w:t>egion</w:t>
      </w:r>
      <w:r>
        <w:rPr>
          <w:rFonts w:cs="Arial"/>
        </w:rPr>
        <w:t xml:space="preserve">) and </w:t>
      </w:r>
      <w:r w:rsidRPr="00C90034">
        <w:rPr>
          <w:rFonts w:cs="Arial"/>
        </w:rPr>
        <w:t>9</w:t>
      </w:r>
      <w:r>
        <w:rPr>
          <w:rFonts w:cs="Arial"/>
        </w:rPr>
        <w:t>1</w:t>
      </w:r>
      <w:r w:rsidRPr="00C90034">
        <w:rPr>
          <w:rFonts w:cs="Arial"/>
        </w:rPr>
        <w:t xml:space="preserve">% </w:t>
      </w:r>
      <w:r>
        <w:rPr>
          <w:rFonts w:cs="Arial"/>
        </w:rPr>
        <w:t>(Herbert Tully sub-region)</w:t>
      </w:r>
      <w:r w:rsidRPr="00C90034">
        <w:rPr>
          <w:rFonts w:cs="Arial"/>
        </w:rPr>
        <w:t xml:space="preserve"> of the coral cover lost </w:t>
      </w:r>
      <w:r>
        <w:rPr>
          <w:rFonts w:cs="Arial"/>
        </w:rPr>
        <w:t>since 2005</w:t>
      </w:r>
      <w:r w:rsidRPr="00C90034">
        <w:rPr>
          <w:rFonts w:cs="Arial"/>
        </w:rPr>
        <w:t>. These losses unavoidably translated into reductions in the scor</w:t>
      </w:r>
      <w:r>
        <w:rPr>
          <w:rFonts w:cs="Arial"/>
        </w:rPr>
        <w:t>es for the coral cover metric</w:t>
      </w:r>
      <w:r w:rsidRPr="00C90034">
        <w:rPr>
          <w:rFonts w:cs="Arial"/>
        </w:rPr>
        <w:t xml:space="preserve"> and contribute to declines in overall reef condition assessments following severe disturbance events.</w:t>
      </w:r>
      <w:r>
        <w:rPr>
          <w:rFonts w:cs="Arial"/>
        </w:rPr>
        <w:t xml:space="preserve"> Each of the remaining four indica</w:t>
      </w:r>
      <w:r w:rsidRPr="00C90034">
        <w:rPr>
          <w:rFonts w:cs="Arial"/>
        </w:rPr>
        <w:t>tor metrics ha</w:t>
      </w:r>
      <w:r>
        <w:rPr>
          <w:rFonts w:cs="Arial"/>
        </w:rPr>
        <w:t>ve</w:t>
      </w:r>
      <w:r w:rsidRPr="00C90034">
        <w:rPr>
          <w:rFonts w:cs="Arial"/>
        </w:rPr>
        <w:t xml:space="preserve"> been formulated to limit responsiveness to acute pressures to focus</w:t>
      </w:r>
      <w:r>
        <w:rPr>
          <w:rFonts w:cs="Arial"/>
        </w:rPr>
        <w:t>,</w:t>
      </w:r>
      <w:r w:rsidRPr="00C90034">
        <w:rPr>
          <w:rFonts w:cs="Arial"/>
        </w:rPr>
        <w:t xml:space="preserve"> as directly as possible</w:t>
      </w:r>
      <w:r w:rsidR="00670B9C">
        <w:rPr>
          <w:rFonts w:cs="Arial"/>
        </w:rPr>
        <w:t>,</w:t>
      </w:r>
      <w:r>
        <w:rPr>
          <w:rFonts w:cs="Arial"/>
        </w:rPr>
        <w:t xml:space="preserve"> </w:t>
      </w:r>
      <w:r w:rsidRPr="00C90034">
        <w:rPr>
          <w:rFonts w:cs="Arial"/>
        </w:rPr>
        <w:t>on changes in condition that can be interpreted as resulting from changes in water quality.</w:t>
      </w:r>
      <w:r>
        <w:rPr>
          <w:rFonts w:cs="Arial"/>
        </w:rPr>
        <w:t xml:space="preserve"> </w:t>
      </w:r>
    </w:p>
    <w:p w14:paraId="2150D3AD" w14:textId="77777777" w:rsidR="00A462A9" w:rsidRPr="00F439FB" w:rsidRDefault="00A462A9" w:rsidP="00B9528B">
      <w:pPr>
        <w:pStyle w:val="Heading3"/>
      </w:pPr>
      <w:bookmarkStart w:id="281" w:name="_Toc493153337"/>
      <w:r w:rsidRPr="00F439FB">
        <w:t>Chronic conditions - water quality</w:t>
      </w:r>
      <w:bookmarkEnd w:id="281"/>
    </w:p>
    <w:p w14:paraId="34D56A64" w14:textId="7E81A0AD" w:rsidR="00A462A9" w:rsidRPr="00342701" w:rsidRDefault="00A462A9" w:rsidP="00A462A9">
      <w:pPr>
        <w:rPr>
          <w:rFonts w:cs="Arial"/>
          <w:color w:val="000000" w:themeColor="text1"/>
          <w:lang w:val="en-US"/>
        </w:rPr>
      </w:pPr>
      <w:r>
        <w:rPr>
          <w:rFonts w:cs="Arial"/>
          <w:color w:val="000000" w:themeColor="text1"/>
        </w:rPr>
        <w:t>W</w:t>
      </w:r>
      <w:r w:rsidRPr="00342701">
        <w:rPr>
          <w:rFonts w:cs="Arial"/>
          <w:color w:val="000000" w:themeColor="text1"/>
        </w:rPr>
        <w:t xml:space="preserve">ater quality </w:t>
      </w:r>
      <w:r>
        <w:rPr>
          <w:rFonts w:cs="Arial"/>
          <w:color w:val="000000" w:themeColor="text1"/>
        </w:rPr>
        <w:t xml:space="preserve">is a summary term for a range of chemical and physical properties of marine waters that </w:t>
      </w:r>
      <w:r w:rsidRPr="00342701">
        <w:rPr>
          <w:rFonts w:cs="Arial"/>
          <w:color w:val="000000" w:themeColor="text1"/>
        </w:rPr>
        <w:t xml:space="preserve">exert a fundamental influence on the processes governing coral community composition and condition. </w:t>
      </w:r>
      <w:r w:rsidRPr="00342701">
        <w:rPr>
          <w:rFonts w:cs="Arial"/>
          <w:color w:val="000000" w:themeColor="text1"/>
          <w:lang w:val="en-US"/>
        </w:rPr>
        <w:t>Water quality in the inshore Reef shows a strong gradient, improving with distance from the coast and major rivers. Variation in benthic communities on coral reefs along this water quality gradient is evidence for the selective pressures imposed by water quality on coral reef communities</w:t>
      </w:r>
      <w:r w:rsidRPr="00342701">
        <w:rPr>
          <w:rFonts w:cs="Arial"/>
          <w:color w:val="000000" w:themeColor="text1"/>
        </w:rPr>
        <w:t xml:space="preserve"> (van Woesik &amp; Done 1997, van Woesik </w:t>
      </w:r>
      <w:r w:rsidRPr="00342701">
        <w:rPr>
          <w:rFonts w:cs="Arial"/>
          <w:i/>
          <w:color w:val="000000" w:themeColor="text1"/>
        </w:rPr>
        <w:t>et al.</w:t>
      </w:r>
      <w:r w:rsidRPr="00342701">
        <w:rPr>
          <w:rFonts w:cs="Arial"/>
          <w:color w:val="000000" w:themeColor="text1"/>
        </w:rPr>
        <w:t xml:space="preserve"> 1999, Fabricius </w:t>
      </w:r>
      <w:r w:rsidRPr="00342701">
        <w:rPr>
          <w:rFonts w:cs="Arial"/>
          <w:i/>
          <w:color w:val="000000" w:themeColor="text1"/>
        </w:rPr>
        <w:t>et al.</w:t>
      </w:r>
      <w:r w:rsidRPr="00342701">
        <w:rPr>
          <w:rFonts w:cs="Arial"/>
          <w:color w:val="000000" w:themeColor="text1"/>
        </w:rPr>
        <w:t xml:space="preserve"> 2005, De’ath &amp; Fabricius 2008, Uthicke </w:t>
      </w:r>
      <w:r w:rsidRPr="00342701">
        <w:rPr>
          <w:rFonts w:cs="Arial"/>
          <w:i/>
          <w:color w:val="000000" w:themeColor="text1"/>
        </w:rPr>
        <w:t>et al.</w:t>
      </w:r>
      <w:r w:rsidRPr="00342701">
        <w:rPr>
          <w:rFonts w:cs="Arial"/>
          <w:color w:val="000000" w:themeColor="text1"/>
        </w:rPr>
        <w:t xml:space="preserve"> 2010, Fabricius </w:t>
      </w:r>
      <w:r w:rsidRPr="00342701">
        <w:rPr>
          <w:rFonts w:cs="Arial"/>
          <w:i/>
          <w:color w:val="000000" w:themeColor="text1"/>
        </w:rPr>
        <w:t>et al.</w:t>
      </w:r>
      <w:r w:rsidRPr="00342701">
        <w:rPr>
          <w:rFonts w:cs="Arial"/>
          <w:color w:val="000000" w:themeColor="text1"/>
        </w:rPr>
        <w:t xml:space="preserve"> 2012), but also within individual reefs in response to localised hydrodynamic conditions</w:t>
      </w:r>
      <w:r w:rsidR="00670B9C">
        <w:rPr>
          <w:rFonts w:cs="Arial"/>
          <w:color w:val="000000" w:themeColor="text1"/>
        </w:rPr>
        <w:t xml:space="preserve"> and depth</w:t>
      </w:r>
      <w:r w:rsidRPr="00342701">
        <w:rPr>
          <w:rFonts w:cs="Arial"/>
          <w:color w:val="000000" w:themeColor="text1"/>
        </w:rPr>
        <w:t xml:space="preserve"> (Uthicke </w:t>
      </w:r>
      <w:r w:rsidRPr="00342701">
        <w:rPr>
          <w:rFonts w:cs="Arial"/>
          <w:i/>
          <w:color w:val="000000" w:themeColor="text1"/>
        </w:rPr>
        <w:t>et al.</w:t>
      </w:r>
      <w:r w:rsidRPr="00342701">
        <w:rPr>
          <w:rFonts w:cs="Arial"/>
          <w:color w:val="000000" w:themeColor="text1"/>
        </w:rPr>
        <w:t xml:space="preserve"> 2010, Thompson </w:t>
      </w:r>
      <w:r w:rsidRPr="00342701">
        <w:rPr>
          <w:rFonts w:cs="Arial"/>
          <w:i/>
          <w:color w:val="000000" w:themeColor="text1"/>
        </w:rPr>
        <w:t>et al.</w:t>
      </w:r>
      <w:r w:rsidR="00FC7695">
        <w:rPr>
          <w:rFonts w:cs="Arial"/>
          <w:color w:val="000000" w:themeColor="text1"/>
        </w:rPr>
        <w:t xml:space="preserve"> 2010</w:t>
      </w:r>
      <w:r w:rsidRPr="00342701">
        <w:rPr>
          <w:rFonts w:cs="Arial"/>
          <w:color w:val="000000" w:themeColor="text1"/>
        </w:rPr>
        <w:t xml:space="preserve">, Browne </w:t>
      </w:r>
      <w:r w:rsidRPr="00342701">
        <w:rPr>
          <w:rFonts w:cs="Arial"/>
          <w:i/>
          <w:color w:val="000000" w:themeColor="text1"/>
        </w:rPr>
        <w:t>et al</w:t>
      </w:r>
      <w:r w:rsidRPr="00342701">
        <w:rPr>
          <w:rFonts w:cs="Arial"/>
          <w:color w:val="000000" w:themeColor="text1"/>
        </w:rPr>
        <w:t xml:space="preserve">. 2010). </w:t>
      </w:r>
      <w:r w:rsidRPr="00342701">
        <w:rPr>
          <w:rFonts w:cs="Arial"/>
          <w:color w:val="000000" w:themeColor="text1"/>
          <w:lang w:val="en-US"/>
        </w:rPr>
        <w:t xml:space="preserve">Such gradients are a natural part of the Reef ecosystem, albeit </w:t>
      </w:r>
      <w:r>
        <w:rPr>
          <w:rFonts w:cs="Arial"/>
          <w:color w:val="000000" w:themeColor="text1"/>
          <w:lang w:val="en-US"/>
        </w:rPr>
        <w:t xml:space="preserve">supported by </w:t>
      </w:r>
      <w:r w:rsidRPr="00342701">
        <w:rPr>
          <w:rFonts w:cs="Arial"/>
          <w:color w:val="000000" w:themeColor="text1"/>
          <w:lang w:val="en-US"/>
        </w:rPr>
        <w:t xml:space="preserve">lower levels of input of </w:t>
      </w:r>
      <w:r w:rsidR="0042623E">
        <w:rPr>
          <w:rFonts w:cs="Arial"/>
          <w:color w:val="000000" w:themeColor="text1"/>
          <w:lang w:val="en-US"/>
        </w:rPr>
        <w:t>run-off</w:t>
      </w:r>
      <w:r w:rsidRPr="00342701">
        <w:rPr>
          <w:rFonts w:cs="Arial"/>
          <w:color w:val="000000" w:themeColor="text1"/>
          <w:lang w:val="en-US"/>
        </w:rPr>
        <w:t>-derived pollutants than presently occurs (Belp</w:t>
      </w:r>
      <w:r w:rsidRPr="00342701">
        <w:rPr>
          <w:rFonts w:cs="Arial"/>
          <w:color w:val="000000" w:themeColor="text1"/>
        </w:rPr>
        <w:t>erio &amp; Searle 1988</w:t>
      </w:r>
      <w:r w:rsidRPr="00342701">
        <w:rPr>
          <w:rFonts w:cs="Arial"/>
          <w:color w:val="000000" w:themeColor="text1"/>
          <w:lang w:val="en-US"/>
        </w:rPr>
        <w:t xml:space="preserve">, Waters </w:t>
      </w:r>
      <w:r w:rsidRPr="00342701">
        <w:rPr>
          <w:rFonts w:cs="Arial"/>
          <w:i/>
          <w:color w:val="000000" w:themeColor="text1"/>
          <w:lang w:val="en-US"/>
        </w:rPr>
        <w:t>et al.</w:t>
      </w:r>
      <w:r w:rsidRPr="00342701">
        <w:rPr>
          <w:rFonts w:cs="Arial"/>
          <w:color w:val="000000" w:themeColor="text1"/>
          <w:lang w:val="en-US"/>
        </w:rPr>
        <w:t xml:space="preserve"> 2014). </w:t>
      </w:r>
      <w:r w:rsidRPr="00342701" w:rsidDel="00A45D48">
        <w:rPr>
          <w:rFonts w:cs="Arial"/>
          <w:color w:val="000000" w:themeColor="text1"/>
        </w:rPr>
        <w:t>The premise underpinning Reef</w:t>
      </w:r>
      <w:r w:rsidRPr="00342701">
        <w:rPr>
          <w:rFonts w:cs="Arial"/>
          <w:color w:val="000000" w:themeColor="text1"/>
        </w:rPr>
        <w:t xml:space="preserve"> </w:t>
      </w:r>
      <w:r w:rsidRPr="00342701" w:rsidDel="00A45D48">
        <w:rPr>
          <w:rFonts w:cs="Arial"/>
          <w:color w:val="000000" w:themeColor="text1"/>
        </w:rPr>
        <w:t xml:space="preserve">Plan is that </w:t>
      </w:r>
      <w:r w:rsidRPr="00342701">
        <w:rPr>
          <w:rFonts w:cs="Arial"/>
          <w:color w:val="000000" w:themeColor="text1"/>
        </w:rPr>
        <w:t xml:space="preserve">anthropogenic </w:t>
      </w:r>
      <w:r w:rsidRPr="00342701" w:rsidDel="00A45D48">
        <w:rPr>
          <w:rFonts w:cs="Arial"/>
          <w:color w:val="000000" w:themeColor="text1"/>
        </w:rPr>
        <w:t xml:space="preserve">contaminant loads delivered by rivers </w:t>
      </w:r>
      <w:r>
        <w:rPr>
          <w:rFonts w:cs="Arial"/>
          <w:color w:val="000000" w:themeColor="text1"/>
        </w:rPr>
        <w:t>create conditions that supress the health and/or resilience the Reefs ecosystems</w:t>
      </w:r>
      <w:r w:rsidRPr="00342701" w:rsidDel="00A45D48">
        <w:rPr>
          <w:rFonts w:cs="Arial"/>
          <w:color w:val="000000" w:themeColor="text1"/>
        </w:rPr>
        <w:t>.</w:t>
      </w:r>
      <w:r w:rsidRPr="00342701">
        <w:rPr>
          <w:rFonts w:cs="Arial"/>
          <w:color w:val="000000" w:themeColor="text1"/>
        </w:rPr>
        <w:t xml:space="preserve"> </w:t>
      </w:r>
      <w:r w:rsidRPr="00342701">
        <w:rPr>
          <w:rFonts w:cs="Arial"/>
          <w:color w:val="000000" w:themeColor="text1"/>
          <w:lang w:val="en-US"/>
        </w:rPr>
        <w:t>It is the quantification of the compounding conditions along naturally occurring gradients</w:t>
      </w:r>
      <w:r>
        <w:rPr>
          <w:rFonts w:cs="Arial"/>
          <w:color w:val="000000" w:themeColor="text1"/>
          <w:lang w:val="en-US"/>
        </w:rPr>
        <w:t>,</w:t>
      </w:r>
      <w:r w:rsidRPr="00342701">
        <w:rPr>
          <w:rFonts w:cs="Arial"/>
          <w:color w:val="000000" w:themeColor="text1"/>
          <w:lang w:val="en-US"/>
        </w:rPr>
        <w:t xml:space="preserve"> as a result of </w:t>
      </w:r>
      <w:r w:rsidR="0042623E">
        <w:rPr>
          <w:rFonts w:cs="Arial"/>
          <w:color w:val="000000" w:themeColor="text1"/>
          <w:lang w:val="en-US"/>
        </w:rPr>
        <w:t>run-off</w:t>
      </w:r>
      <w:r>
        <w:rPr>
          <w:rFonts w:cs="Arial"/>
          <w:color w:val="000000" w:themeColor="text1"/>
          <w:lang w:val="en-US"/>
        </w:rPr>
        <w:t>,</w:t>
      </w:r>
      <w:r w:rsidRPr="00342701">
        <w:rPr>
          <w:rFonts w:cs="Arial"/>
          <w:color w:val="000000" w:themeColor="text1"/>
          <w:lang w:val="en-US"/>
        </w:rPr>
        <w:t xml:space="preserve"> and any subsequent improvement under the Reef Plan</w:t>
      </w:r>
      <w:r>
        <w:rPr>
          <w:rFonts w:cs="Arial"/>
          <w:color w:val="000000" w:themeColor="text1"/>
          <w:lang w:val="en-US"/>
        </w:rPr>
        <w:t>,</w:t>
      </w:r>
      <w:r w:rsidRPr="00342701">
        <w:rPr>
          <w:rFonts w:cs="Arial"/>
          <w:color w:val="000000" w:themeColor="text1"/>
          <w:lang w:val="en-US"/>
        </w:rPr>
        <w:t xml:space="preserve"> that is the core focus of the water quality monitoring component of the MMP (see separate report by Waterhouse </w:t>
      </w:r>
      <w:r w:rsidRPr="00342701">
        <w:rPr>
          <w:rFonts w:cs="Arial"/>
          <w:i/>
          <w:color w:val="000000" w:themeColor="text1"/>
          <w:lang w:val="en-US"/>
        </w:rPr>
        <w:t>et al</w:t>
      </w:r>
      <w:r>
        <w:rPr>
          <w:rFonts w:cs="Arial"/>
          <w:color w:val="000000" w:themeColor="text1"/>
          <w:lang w:val="en-US"/>
        </w:rPr>
        <w:t>.</w:t>
      </w:r>
      <w:r w:rsidRPr="00342701">
        <w:rPr>
          <w:rFonts w:cs="Arial"/>
          <w:color w:val="000000" w:themeColor="text1"/>
          <w:lang w:val="en-US"/>
        </w:rPr>
        <w:t xml:space="preserve"> 2017).</w:t>
      </w:r>
    </w:p>
    <w:p w14:paraId="7A5F504C" w14:textId="22D2254E" w:rsidR="00A462A9" w:rsidRDefault="00A462A9" w:rsidP="00A462A9">
      <w:pPr>
        <w:rPr>
          <w:rFonts w:cs="Arial"/>
          <w:color w:val="000000" w:themeColor="text1"/>
        </w:rPr>
      </w:pPr>
      <w:r w:rsidRPr="00342701">
        <w:rPr>
          <w:rFonts w:cs="Arial"/>
          <w:color w:val="000000" w:themeColor="text1"/>
        </w:rPr>
        <w:t xml:space="preserve">For corals, the pressure relating to land management practices is the ‘state’ of marine water quality, which in turn is influenced by the pressure of contaminant loads entering marine waters as </w:t>
      </w:r>
      <w:r w:rsidR="0042623E">
        <w:rPr>
          <w:rFonts w:cs="Arial"/>
          <w:color w:val="000000" w:themeColor="text1"/>
        </w:rPr>
        <w:t>run-off</w:t>
      </w:r>
      <w:r w:rsidRPr="00342701">
        <w:rPr>
          <w:rFonts w:cs="Arial"/>
          <w:color w:val="000000" w:themeColor="text1"/>
        </w:rPr>
        <w:t xml:space="preserve">. </w:t>
      </w:r>
      <w:r w:rsidRPr="00BC2BC4">
        <w:rPr>
          <w:rFonts w:cs="Arial"/>
          <w:color w:val="000000" w:themeColor="text1"/>
        </w:rPr>
        <w:t xml:space="preserve">The MMP river plume monitoring </w:t>
      </w:r>
      <w:r w:rsidRPr="00BC2BC4">
        <w:rPr>
          <w:rFonts w:cs="Arial"/>
          <w:color w:val="000000" w:themeColor="text1"/>
          <w:lang w:val="en-US"/>
        </w:rPr>
        <w:t xml:space="preserve">(see Waterhouse </w:t>
      </w:r>
      <w:r w:rsidRPr="00BC2BC4">
        <w:rPr>
          <w:rFonts w:cs="Arial"/>
          <w:i/>
          <w:color w:val="000000" w:themeColor="text1"/>
          <w:lang w:val="en-US"/>
        </w:rPr>
        <w:t>et al.</w:t>
      </w:r>
      <w:r w:rsidRPr="00BC2BC4">
        <w:rPr>
          <w:rFonts w:cs="Arial"/>
          <w:color w:val="000000" w:themeColor="text1"/>
          <w:lang w:val="en-US"/>
        </w:rPr>
        <w:t xml:space="preserve"> 2017</w:t>
      </w:r>
      <w:r w:rsidR="008F1BE2">
        <w:rPr>
          <w:rFonts w:cs="Arial"/>
          <w:color w:val="000000" w:themeColor="text1"/>
          <w:lang w:val="en-US"/>
        </w:rPr>
        <w:t>)</w:t>
      </w:r>
      <w:r w:rsidRPr="00BC2BC4">
        <w:rPr>
          <w:rFonts w:cs="Arial"/>
          <w:color w:val="000000" w:themeColor="text1"/>
          <w:lang w:val="en-US"/>
        </w:rPr>
        <w:t xml:space="preserve">, </w:t>
      </w:r>
      <w:r w:rsidRPr="00BC2BC4">
        <w:rPr>
          <w:rFonts w:cs="Arial"/>
          <w:color w:val="000000" w:themeColor="text1"/>
        </w:rPr>
        <w:t xml:space="preserve">clearly shows that inshore Reefs monitored by MMP and the LTMP are directly exposed to elevated loads of sediments and nutrients carried by flood plumes. Variability in loads delivered to the Reef (Joo </w:t>
      </w:r>
      <w:r w:rsidRPr="00BC2BC4">
        <w:rPr>
          <w:rFonts w:cs="Arial"/>
          <w:i/>
          <w:color w:val="000000" w:themeColor="text1"/>
        </w:rPr>
        <w:t>et al.</w:t>
      </w:r>
      <w:r w:rsidRPr="00BC2BC4">
        <w:rPr>
          <w:rFonts w:cs="Arial"/>
          <w:color w:val="000000" w:themeColor="text1"/>
        </w:rPr>
        <w:t xml:space="preserve"> 2012, Turner </w:t>
      </w:r>
      <w:r w:rsidRPr="00BC2BC4">
        <w:rPr>
          <w:rFonts w:cs="Arial"/>
          <w:i/>
          <w:color w:val="000000" w:themeColor="text1"/>
        </w:rPr>
        <w:t>et al.</w:t>
      </w:r>
      <w:r w:rsidRPr="00BC2BC4">
        <w:rPr>
          <w:rFonts w:cs="Arial"/>
          <w:color w:val="000000" w:themeColor="text1"/>
        </w:rPr>
        <w:t xml:space="preserve"> 2011, 2012, Wallace </w:t>
      </w:r>
      <w:r w:rsidRPr="00BC2BC4">
        <w:rPr>
          <w:rFonts w:cs="Arial"/>
          <w:i/>
          <w:color w:val="000000" w:themeColor="text1"/>
        </w:rPr>
        <w:t>et al.</w:t>
      </w:r>
      <w:r w:rsidRPr="00BC2BC4">
        <w:rPr>
          <w:rFonts w:cs="Arial"/>
          <w:color w:val="000000" w:themeColor="text1"/>
        </w:rPr>
        <w:t xml:space="preserve"> 2014, 2015, Garzon-Garcia </w:t>
      </w:r>
      <w:r w:rsidRPr="00BC2BC4">
        <w:rPr>
          <w:rFonts w:cs="Arial"/>
          <w:i/>
          <w:color w:val="000000" w:themeColor="text1"/>
        </w:rPr>
        <w:t>et al.</w:t>
      </w:r>
      <w:r w:rsidRPr="00BC2BC4">
        <w:rPr>
          <w:rFonts w:cs="Arial"/>
          <w:color w:val="000000" w:themeColor="text1"/>
        </w:rPr>
        <w:t xml:space="preserve"> 2015) has</w:t>
      </w:r>
      <w:r>
        <w:rPr>
          <w:rFonts w:cs="Arial"/>
          <w:color w:val="000000" w:themeColor="text1"/>
        </w:rPr>
        <w:t>,</w:t>
      </w:r>
      <w:r w:rsidRPr="00BC2BC4">
        <w:rPr>
          <w:rFonts w:cs="Arial"/>
          <w:color w:val="000000" w:themeColor="text1"/>
        </w:rPr>
        <w:t xml:space="preserve"> however</w:t>
      </w:r>
      <w:r>
        <w:rPr>
          <w:rFonts w:cs="Arial"/>
          <w:color w:val="000000" w:themeColor="text1"/>
        </w:rPr>
        <w:t>,</w:t>
      </w:r>
      <w:r w:rsidRPr="00BC2BC4">
        <w:rPr>
          <w:rFonts w:cs="Arial"/>
          <w:color w:val="000000" w:themeColor="text1"/>
        </w:rPr>
        <w:t xml:space="preserve"> not been closely linked to variability in marine water quality conditions as measured by the MMP in-situ monitoring program. This is not unexpected given the complexity of nutrient cycling that occurs in marine waters, dilution of plumes, and the necessarily sparse </w:t>
      </w:r>
      <w:r w:rsidRPr="00BC2BC4">
        <w:rPr>
          <w:rFonts w:cs="Arial"/>
          <w:i/>
          <w:color w:val="000000" w:themeColor="text1"/>
        </w:rPr>
        <w:t>in situ</w:t>
      </w:r>
      <w:r w:rsidRPr="00BC2BC4">
        <w:rPr>
          <w:rFonts w:cs="Arial"/>
          <w:color w:val="000000" w:themeColor="text1"/>
        </w:rPr>
        <w:t xml:space="preserve"> sampling regime of the long-term water quality monitoring program. It is evident from marine water quality time-series</w:t>
      </w:r>
      <w:r>
        <w:rPr>
          <w:rFonts w:cs="Arial"/>
          <w:color w:val="000000" w:themeColor="text1"/>
        </w:rPr>
        <w:t>, however,</w:t>
      </w:r>
      <w:r w:rsidR="00E75F5C">
        <w:rPr>
          <w:rFonts w:cs="Arial"/>
          <w:color w:val="000000" w:themeColor="text1"/>
        </w:rPr>
        <w:t xml:space="preserve"> </w:t>
      </w:r>
      <w:r w:rsidRPr="00BC2BC4">
        <w:rPr>
          <w:rFonts w:cs="Arial"/>
          <w:color w:val="000000" w:themeColor="text1"/>
        </w:rPr>
        <w:t xml:space="preserve">that the period of high discharge into the Reef (2008-2013) resulted in a general increase in turbidity, oxidised forms of dissolved nitrogen (NOx) and dissolved organic carbon (DOC) with levels beginning to decline again in 2015-2016 (Waterhouse </w:t>
      </w:r>
      <w:r w:rsidRPr="00BC2BC4">
        <w:rPr>
          <w:rFonts w:cs="Arial"/>
          <w:i/>
          <w:color w:val="000000" w:themeColor="text1"/>
        </w:rPr>
        <w:t>et al.</w:t>
      </w:r>
      <w:r w:rsidRPr="00BC2BC4">
        <w:rPr>
          <w:rFonts w:cs="Arial"/>
          <w:color w:val="000000" w:themeColor="text1"/>
        </w:rPr>
        <w:t xml:space="preserve"> 2017). Although these observations suggest that </w:t>
      </w:r>
      <w:r w:rsidRPr="00BC2BC4">
        <w:rPr>
          <w:rFonts w:cs="Arial"/>
          <w:color w:val="000000" w:themeColor="text1"/>
          <w:lang w:eastAsia="en-AU"/>
        </w:rPr>
        <w:t>the carbon and nutrient cycling processes in the Reef lagoon have undergone changes</w:t>
      </w:r>
      <w:r>
        <w:rPr>
          <w:rFonts w:cs="Arial"/>
          <w:color w:val="000000" w:themeColor="text1"/>
          <w:lang w:eastAsia="en-AU"/>
        </w:rPr>
        <w:t>,</w:t>
      </w:r>
      <w:r w:rsidRPr="00BC2BC4">
        <w:rPr>
          <w:rFonts w:cs="Arial"/>
          <w:color w:val="000000" w:themeColor="text1"/>
          <w:lang w:eastAsia="en-AU"/>
        </w:rPr>
        <w:t xml:space="preserve"> detailed understanding of these processes remains elusive (Lønborg </w:t>
      </w:r>
      <w:r w:rsidRPr="00BC2BC4">
        <w:rPr>
          <w:rFonts w:cs="Arial"/>
          <w:i/>
          <w:color w:val="000000" w:themeColor="text1"/>
          <w:lang w:eastAsia="en-AU"/>
        </w:rPr>
        <w:t>et al.</w:t>
      </w:r>
      <w:r w:rsidRPr="00BC2BC4">
        <w:rPr>
          <w:rFonts w:cs="Arial"/>
          <w:color w:val="000000" w:themeColor="text1"/>
          <w:lang w:eastAsia="en-AU"/>
        </w:rPr>
        <w:t xml:space="preserve"> 2015).</w:t>
      </w:r>
      <w:r w:rsidRPr="00F439FB">
        <w:rPr>
          <w:rFonts w:cs="Arial"/>
          <w:color w:val="4F81BD" w:themeColor="accent1"/>
          <w:lang w:eastAsia="en-AU"/>
        </w:rPr>
        <w:t xml:space="preserve"> </w:t>
      </w:r>
      <w:r w:rsidRPr="00BC2BC4">
        <w:rPr>
          <w:rFonts w:cs="Arial"/>
          <w:color w:val="000000" w:themeColor="text1"/>
          <w:lang w:eastAsia="en-AU"/>
        </w:rPr>
        <w:t>T</w:t>
      </w:r>
      <w:r w:rsidRPr="00BC2BC4">
        <w:rPr>
          <w:rFonts w:cs="Arial"/>
          <w:color w:val="000000" w:themeColor="text1"/>
        </w:rPr>
        <w:t>urbidity in the Reef lagoon is strongly influenced by variations in the inflow of particles from the catchment and resuspension by wind, currents and tides</w:t>
      </w:r>
      <w:r w:rsidR="002B194A">
        <w:rPr>
          <w:rFonts w:cs="Arial"/>
          <w:color w:val="000000" w:themeColor="text1"/>
        </w:rPr>
        <w:t xml:space="preserve"> (Larcombe </w:t>
      </w:r>
      <w:r w:rsidR="002B194A" w:rsidRPr="002B194A">
        <w:rPr>
          <w:rFonts w:cs="Arial"/>
          <w:i/>
          <w:color w:val="000000" w:themeColor="text1"/>
        </w:rPr>
        <w:t>et al.</w:t>
      </w:r>
      <w:r w:rsidR="002B194A">
        <w:rPr>
          <w:rFonts w:cs="Arial"/>
          <w:color w:val="000000" w:themeColor="text1"/>
        </w:rPr>
        <w:t xml:space="preserve"> 1995)</w:t>
      </w:r>
      <w:r w:rsidRPr="00BC2BC4">
        <w:rPr>
          <w:rFonts w:cs="Arial"/>
          <w:color w:val="000000" w:themeColor="text1"/>
        </w:rPr>
        <w:t xml:space="preserve">. The trends emerging from the MMP support other studies showing that the additional flux of fine sediment imported by rivers remains in the coastal zone for periods of months to years leading to chronically elevated turbidity (Wolanski </w:t>
      </w:r>
      <w:r w:rsidRPr="00BC2BC4">
        <w:rPr>
          <w:rFonts w:cs="Arial"/>
          <w:i/>
          <w:color w:val="000000" w:themeColor="text1"/>
        </w:rPr>
        <w:t>et al.</w:t>
      </w:r>
      <w:r w:rsidRPr="00BC2BC4">
        <w:rPr>
          <w:rFonts w:cs="Arial"/>
          <w:color w:val="000000" w:themeColor="text1"/>
        </w:rPr>
        <w:t xml:space="preserve"> 2008, Lambrechts </w:t>
      </w:r>
      <w:r w:rsidRPr="00BC2BC4">
        <w:rPr>
          <w:rFonts w:cs="Arial"/>
          <w:i/>
          <w:color w:val="000000" w:themeColor="text1"/>
        </w:rPr>
        <w:t>et al.</w:t>
      </w:r>
      <w:r w:rsidRPr="00BC2BC4">
        <w:rPr>
          <w:rFonts w:cs="Arial"/>
          <w:color w:val="000000" w:themeColor="text1"/>
        </w:rPr>
        <w:t xml:space="preserve"> 2010, Brodie </w:t>
      </w:r>
      <w:r w:rsidRPr="00BC2BC4">
        <w:rPr>
          <w:rFonts w:cs="Arial"/>
          <w:i/>
          <w:color w:val="000000" w:themeColor="text1"/>
        </w:rPr>
        <w:t>et al</w:t>
      </w:r>
      <w:r w:rsidRPr="00BC2BC4">
        <w:rPr>
          <w:rFonts w:cs="Arial"/>
          <w:color w:val="000000" w:themeColor="text1"/>
        </w:rPr>
        <w:t xml:space="preserve">. 2012a, Thompson </w:t>
      </w:r>
      <w:r w:rsidRPr="00BC2BC4">
        <w:rPr>
          <w:rFonts w:cs="Arial"/>
          <w:i/>
          <w:color w:val="000000" w:themeColor="text1"/>
        </w:rPr>
        <w:t>et al.</w:t>
      </w:r>
      <w:r w:rsidR="00FC7695">
        <w:rPr>
          <w:rFonts w:cs="Arial"/>
          <w:color w:val="000000" w:themeColor="text1"/>
        </w:rPr>
        <w:t xml:space="preserve"> 2014a</w:t>
      </w:r>
      <w:r w:rsidRPr="00BC2BC4">
        <w:rPr>
          <w:rFonts w:cs="Arial"/>
          <w:color w:val="000000" w:themeColor="text1"/>
        </w:rPr>
        <w:t xml:space="preserve">, Fabricius </w:t>
      </w:r>
      <w:r w:rsidRPr="00BC2BC4">
        <w:rPr>
          <w:rFonts w:cs="Arial"/>
          <w:i/>
          <w:color w:val="000000" w:themeColor="text1"/>
        </w:rPr>
        <w:t>et al.</w:t>
      </w:r>
      <w:r w:rsidRPr="00BC2BC4">
        <w:rPr>
          <w:rFonts w:cs="Arial"/>
          <w:color w:val="000000" w:themeColor="text1"/>
        </w:rPr>
        <w:t xml:space="preserve"> 2013a, Fabricius </w:t>
      </w:r>
      <w:r w:rsidRPr="00BC2BC4">
        <w:rPr>
          <w:rFonts w:cs="Arial"/>
          <w:i/>
          <w:color w:val="000000" w:themeColor="text1"/>
        </w:rPr>
        <w:t>et al.</w:t>
      </w:r>
      <w:r w:rsidRPr="00BC2BC4">
        <w:rPr>
          <w:rFonts w:cs="Arial"/>
          <w:color w:val="000000" w:themeColor="text1"/>
        </w:rPr>
        <w:t xml:space="preserve"> 2014, Fabricius </w:t>
      </w:r>
      <w:r w:rsidRPr="00BC2BC4">
        <w:rPr>
          <w:rFonts w:cs="Arial"/>
          <w:i/>
          <w:color w:val="000000" w:themeColor="text1"/>
        </w:rPr>
        <w:t>et al.</w:t>
      </w:r>
      <w:r w:rsidRPr="00BC2BC4">
        <w:rPr>
          <w:rFonts w:cs="Arial"/>
          <w:color w:val="000000" w:themeColor="text1"/>
        </w:rPr>
        <w:t xml:space="preserve"> 2016). Any increase in turbidity associated with </w:t>
      </w:r>
      <w:r w:rsidR="0042623E">
        <w:rPr>
          <w:rFonts w:cs="Arial"/>
          <w:color w:val="000000" w:themeColor="text1"/>
        </w:rPr>
        <w:t>run-off</w:t>
      </w:r>
      <w:r w:rsidRPr="00BC2BC4">
        <w:rPr>
          <w:rFonts w:cs="Arial"/>
          <w:color w:val="000000" w:themeColor="text1"/>
        </w:rPr>
        <w:t xml:space="preserve"> will reduce the level of photosynthetically active radiation reaching the benthos - a primary energy source for corals and so a key factor limiting coral distribution (Cooper </w:t>
      </w:r>
      <w:r w:rsidRPr="00BC2BC4">
        <w:rPr>
          <w:rFonts w:cs="Arial"/>
          <w:i/>
          <w:color w:val="000000" w:themeColor="text1"/>
        </w:rPr>
        <w:t>et al.</w:t>
      </w:r>
      <w:r w:rsidRPr="00BC2BC4">
        <w:rPr>
          <w:rFonts w:cs="Arial"/>
          <w:color w:val="000000" w:themeColor="text1"/>
        </w:rPr>
        <w:t xml:space="preserve"> 2007, Muir </w:t>
      </w:r>
      <w:r w:rsidRPr="00BC2BC4">
        <w:rPr>
          <w:rFonts w:cs="Arial"/>
          <w:i/>
          <w:color w:val="000000" w:themeColor="text1"/>
        </w:rPr>
        <w:t>et al.</w:t>
      </w:r>
      <w:r w:rsidRPr="00BC2BC4">
        <w:rPr>
          <w:rFonts w:cs="Arial"/>
          <w:color w:val="000000" w:themeColor="text1"/>
        </w:rPr>
        <w:t xml:space="preserve"> 2015). </w:t>
      </w:r>
    </w:p>
    <w:p w14:paraId="32FC1731" w14:textId="47F0A665" w:rsidR="00A462A9" w:rsidRPr="00A462A9" w:rsidRDefault="00A462A9" w:rsidP="00A462A9">
      <w:pPr>
        <w:pStyle w:val="Heading2"/>
      </w:pPr>
      <w:bookmarkStart w:id="282" w:name="_Toc471376418"/>
      <w:bookmarkStart w:id="283" w:name="_Toc493153338"/>
      <w:r>
        <w:t>6</w:t>
      </w:r>
      <w:r w:rsidRPr="00A462A9">
        <w:t>.2 Ecosystem State</w:t>
      </w:r>
      <w:bookmarkEnd w:id="282"/>
      <w:bookmarkEnd w:id="283"/>
    </w:p>
    <w:p w14:paraId="3DD2AAF3" w14:textId="77777777" w:rsidR="00A462A9" w:rsidRPr="00DE6A1D" w:rsidRDefault="00A462A9" w:rsidP="00B9528B">
      <w:pPr>
        <w:pStyle w:val="Heading3"/>
      </w:pPr>
      <w:bookmarkStart w:id="284" w:name="_Toc493153339"/>
      <w:r w:rsidRPr="00DE6A1D">
        <w:t>Coral index</w:t>
      </w:r>
      <w:bookmarkEnd w:id="284"/>
    </w:p>
    <w:p w14:paraId="55F507D7" w14:textId="77777777" w:rsidR="00A462A9" w:rsidRPr="00DE6A1D" w:rsidRDefault="00A462A9" w:rsidP="00A462A9">
      <w:pPr>
        <w:rPr>
          <w:color w:val="000000" w:themeColor="text1"/>
        </w:rPr>
      </w:pPr>
      <w:r w:rsidRPr="00DE6A1D">
        <w:rPr>
          <w:color w:val="000000" w:themeColor="text1"/>
        </w:rPr>
        <w:t xml:space="preserve">The formulation of the individual index metrics deliberately attempts to ensure that the index is applicable across the diversity of communities that occur along the steep gradients in water quality within the inshore Reef. Inclusion of reef-specific thresholds for the scoring of macroalgae, reef-specific baselines for community composition and formulation of the coral cover change metric to be sensitive, to a limited degree, to community composition, are all aimed at ensuring the index is applicable to the diversity of communities observed across the strong water quality gradients encountered within the inshore Reef. </w:t>
      </w:r>
    </w:p>
    <w:p w14:paraId="343A9B99" w14:textId="72EDDEA0" w:rsidR="00A462A9" w:rsidRDefault="00A462A9" w:rsidP="00A462A9">
      <w:pPr>
        <w:rPr>
          <w:color w:val="000000" w:themeColor="text1"/>
        </w:rPr>
      </w:pPr>
      <w:r w:rsidRPr="00B575BE">
        <w:t xml:space="preserve">In 2016 index scores were higher </w:t>
      </w:r>
      <w:r w:rsidRPr="000F4FA4">
        <w:t xml:space="preserve">for reefs where </w:t>
      </w:r>
      <w:r w:rsidRPr="000F4FA4">
        <w:rPr>
          <w:color w:val="000000" w:themeColor="text1"/>
        </w:rPr>
        <w:t xml:space="preserve">long-term mean Chl </w:t>
      </w:r>
      <w:r w:rsidRPr="000F4FA4">
        <w:rPr>
          <w:i/>
          <w:color w:val="000000" w:themeColor="text1"/>
        </w:rPr>
        <w:t>a</w:t>
      </w:r>
      <w:r>
        <w:rPr>
          <w:color w:val="000000" w:themeColor="text1"/>
        </w:rPr>
        <w:t xml:space="preserve"> concentrations w</w:t>
      </w:r>
      <w:r w:rsidRPr="000F4FA4">
        <w:rPr>
          <w:color w:val="000000" w:themeColor="text1"/>
        </w:rPr>
        <w:t xml:space="preserve">ere below </w:t>
      </w:r>
      <w:r w:rsidR="001D5EAA">
        <w:rPr>
          <w:color w:val="000000" w:themeColor="text1"/>
        </w:rPr>
        <w:t>guideline value</w:t>
      </w:r>
      <w:r w:rsidRPr="000F4FA4">
        <w:rPr>
          <w:color w:val="000000" w:themeColor="text1"/>
        </w:rPr>
        <w:t>s</w:t>
      </w:r>
      <w:r>
        <w:rPr>
          <w:color w:val="000000" w:themeColor="text1"/>
        </w:rPr>
        <w:t>.</w:t>
      </w:r>
      <w:r w:rsidR="00E75F5C">
        <w:rPr>
          <w:color w:val="000000" w:themeColor="text1"/>
        </w:rPr>
        <w:t xml:space="preserve"> </w:t>
      </w:r>
      <w:r>
        <w:rPr>
          <w:color w:val="000000" w:themeColor="text1"/>
        </w:rPr>
        <w:t>Most influential in this result were the C</w:t>
      </w:r>
      <w:r w:rsidRPr="000F4FA4">
        <w:rPr>
          <w:color w:val="000000" w:themeColor="text1"/>
        </w:rPr>
        <w:t>ora</w:t>
      </w:r>
      <w:r>
        <w:rPr>
          <w:color w:val="000000" w:themeColor="text1"/>
        </w:rPr>
        <w:t xml:space="preserve">l Cover and Macroalgae metrics and to a lesser extent the Composition metric. Although the metrics are independent, as each can assume values across their full range irrespective of the other, these results indicate that where the availability of nutrients is sufficient to promote high Chl </w:t>
      </w:r>
      <w:r w:rsidRPr="00D71DA2">
        <w:rPr>
          <w:i/>
          <w:color w:val="000000" w:themeColor="text1"/>
        </w:rPr>
        <w:t>a</w:t>
      </w:r>
      <w:r>
        <w:rPr>
          <w:color w:val="000000" w:themeColor="text1"/>
        </w:rPr>
        <w:t xml:space="preserve"> the proportion of large fleshy algae “macroalgae” in the benthic algal communities is enhanced, coral cover is diminished, and communities have disproportionately shifted over the duration of the program to include a lower proportion of species susceptible to poor water quality. In particular, the distribution of large brown macroalgae shows a strong relationship to environmental conditions of high nutrient availability, adequate light (prevalence is limited by turbidity at 5 m depths) and sufficient water movement to preclude the build-up of fine sediments on the substrate </w:t>
      </w:r>
      <w:r w:rsidRPr="000F4FA4">
        <w:rPr>
          <w:color w:val="000000" w:themeColor="text1"/>
        </w:rPr>
        <w:t xml:space="preserve">(expanded upon in section </w:t>
      </w:r>
      <w:r>
        <w:rPr>
          <w:color w:val="000000" w:themeColor="text1"/>
        </w:rPr>
        <w:t>8</w:t>
      </w:r>
      <w:r w:rsidRPr="000F4FA4">
        <w:rPr>
          <w:color w:val="000000" w:themeColor="text1"/>
        </w:rPr>
        <w:t xml:space="preserve"> of this report). </w:t>
      </w:r>
      <w:r>
        <w:rPr>
          <w:color w:val="000000" w:themeColor="text1"/>
        </w:rPr>
        <w:t>In terms of light availability and water movement the preferred habitat for brown macroalgae overlaps strongly with that of some corals, and in particular the fast growing Acroporidae, highlighting the direct completion for space between these groups. The correspondence between high prevalence of macroalgae and Chl</w:t>
      </w:r>
      <w:r w:rsidRPr="00560F9A">
        <w:rPr>
          <w:i/>
          <w:color w:val="000000" w:themeColor="text1"/>
        </w:rPr>
        <w:t xml:space="preserve"> a</w:t>
      </w:r>
      <w:r>
        <w:rPr>
          <w:color w:val="000000" w:themeColor="text1"/>
        </w:rPr>
        <w:t xml:space="preserve"> concentrations implies the potential that a reduction in the availability of nutrients, that promote high concentrations of Chl </w:t>
      </w:r>
      <w:r w:rsidRPr="00560F9A">
        <w:rPr>
          <w:i/>
          <w:color w:val="000000" w:themeColor="text1"/>
        </w:rPr>
        <w:t>a</w:t>
      </w:r>
      <w:r>
        <w:rPr>
          <w:color w:val="000000" w:themeColor="text1"/>
        </w:rPr>
        <w:t xml:space="preserve"> in the water column, has the potential to shift the competitive relationship between macroalgae and coral, back toward coral.</w:t>
      </w:r>
    </w:p>
    <w:p w14:paraId="477003EA" w14:textId="6DE663F0" w:rsidR="00A462A9" w:rsidRDefault="00A462A9" w:rsidP="00A462A9">
      <w:r w:rsidRPr="000F4FA4">
        <w:t xml:space="preserve">The index </w:t>
      </w:r>
      <w:r>
        <w:t>has also demonstrated</w:t>
      </w:r>
      <w:r w:rsidRPr="000F4FA4">
        <w:t xml:space="preserve"> clear temporal variability</w:t>
      </w:r>
      <w:r>
        <w:t>. Index scores</w:t>
      </w:r>
      <w:r w:rsidRPr="000F4FA4">
        <w:t xml:space="preserve"> decl</w:t>
      </w:r>
      <w:r>
        <w:t>ined</w:t>
      </w:r>
      <w:r w:rsidRPr="000F4FA4">
        <w:t xml:space="preserve"> in all regions through to low points between 2012 and 2014</w:t>
      </w:r>
      <w:r>
        <w:t xml:space="preserve">, prior to improvements through to 2016 that demonstrated recovery was underway. Declines in the index reflect the cumulative influence of multiple acute disturbances that coincided with a period of high </w:t>
      </w:r>
      <w:r w:rsidR="0042623E">
        <w:t>run-off</w:t>
      </w:r>
      <w:r>
        <w:t xml:space="preserve"> and associated loads of contaminants entering the Reef from adjacent catchments. In contrast, improvement in index scores through to 2016 have occurred during a period largely free from acute disturbance events and typified by low loads of contaminants entering the reef in </w:t>
      </w:r>
      <w:r w:rsidR="0042623E">
        <w:t>run-off</w:t>
      </w:r>
      <w:r>
        <w:t xml:space="preserve"> (Waterhouse </w:t>
      </w:r>
      <w:r w:rsidRPr="00B11752">
        <w:rPr>
          <w:i/>
        </w:rPr>
        <w:t>et al.</w:t>
      </w:r>
      <w:r>
        <w:t xml:space="preserve"> 2017).</w:t>
      </w:r>
      <w:r w:rsidR="00E75F5C">
        <w:t xml:space="preserve"> </w:t>
      </w:r>
    </w:p>
    <w:p w14:paraId="2F52FEDA" w14:textId="3A94CE19" w:rsidR="00A462A9" w:rsidRDefault="00A462A9" w:rsidP="00A462A9">
      <w:r>
        <w:t xml:space="preserve">To understand the influence of </w:t>
      </w:r>
      <w:r w:rsidR="0042623E">
        <w:t>run-off</w:t>
      </w:r>
      <w:r>
        <w:t xml:space="preserve"> on the rate of change in the index, which we consider as representative of community resilience, required explicitly focusing our analysis on observations that were not confounded by the impact of acute events (Flower </w:t>
      </w:r>
      <w:r w:rsidRPr="00B11752">
        <w:rPr>
          <w:i/>
        </w:rPr>
        <w:t>et al.</w:t>
      </w:r>
      <w:r>
        <w:t xml:space="preserve"> 2017). In three of the four regions: </w:t>
      </w:r>
      <w:r w:rsidRPr="00B26A30">
        <w:rPr>
          <w:color w:val="000000" w:themeColor="text1"/>
        </w:rPr>
        <w:t>Wet Tropics, Burdekin and Fitzroy biennial changes in index scores showed an inverse relationship to regional discharge. Although DIN loading explained a slightly higher proportion of the variance in change in index scores than TSS in both the Wet Tropics and Burdekin regions, we are hesitant to over interpret these results.</w:t>
      </w:r>
      <w:r w:rsidR="00E75F5C">
        <w:rPr>
          <w:color w:val="000000" w:themeColor="text1"/>
        </w:rPr>
        <w:t xml:space="preserve"> </w:t>
      </w:r>
      <w:r w:rsidRPr="00B26A30">
        <w:t xml:space="preserve">We acknowledge that both the spatial and temporal response of the index to water quality, or discharge, were </w:t>
      </w:r>
      <w:r w:rsidRPr="00B26A30">
        <w:rPr>
          <w:color w:val="000000" w:themeColor="text1"/>
        </w:rPr>
        <w:t xml:space="preserve">variable, </w:t>
      </w:r>
      <w:r>
        <w:rPr>
          <w:color w:val="000000" w:themeColor="text1"/>
        </w:rPr>
        <w:t>and</w:t>
      </w:r>
      <w:r w:rsidRPr="00B26A30">
        <w:rPr>
          <w:color w:val="000000" w:themeColor="text1"/>
        </w:rPr>
        <w:t xml:space="preserve"> suggest this is not unexpected. Index scores at any point in space or time will reflect the cumulative responses of the communities to: past disturbance events and chronic pressures, selective pressures imposed by ambient conditions, and stochasticity in the population dynamics of the diverse communities inhabiting these reefs. </w:t>
      </w:r>
      <w:r w:rsidRPr="00B26A30">
        <w:t>In</w:t>
      </w:r>
      <w:r>
        <w:t xml:space="preserve"> combination variable exposure to past events and location specific pressures are also likely to have selected for communities tolerant of those conditions. What this means</w:t>
      </w:r>
      <w:r w:rsidR="00374EFB">
        <w:t>,</w:t>
      </w:r>
      <w:r>
        <w:t xml:space="preserve"> is that communities in different locations will be variously susceptible to exposure to water quality pressures</w:t>
      </w:r>
      <w:r w:rsidRPr="00B11752">
        <w:t xml:space="preserve"> </w:t>
      </w:r>
      <w:r>
        <w:t xml:space="preserve">(e.g. Morgan </w:t>
      </w:r>
      <w:r w:rsidRPr="00555239">
        <w:rPr>
          <w:i/>
        </w:rPr>
        <w:t>et al.</w:t>
      </w:r>
      <w:r>
        <w:t xml:space="preserve"> 2016</w:t>
      </w:r>
      <w:r w:rsidRPr="00B11752">
        <w:t>).</w:t>
      </w:r>
      <w:r w:rsidR="00E75F5C">
        <w:t xml:space="preserve"> </w:t>
      </w:r>
      <w:r>
        <w:t>It is precisely the inability to accurately measure</w:t>
      </w:r>
      <w:r w:rsidR="00374EFB">
        <w:t>,</w:t>
      </w:r>
      <w:r>
        <w:t xml:space="preserve"> or predict</w:t>
      </w:r>
      <w:r w:rsidR="00374EFB">
        <w:t>,</w:t>
      </w:r>
      <w:r>
        <w:t xml:space="preserve"> the role of cumulative impacts across a diversity of exposures that suggests the use of biological indicators, such as the coral and seagrass (McKenzie </w:t>
      </w:r>
      <w:r w:rsidRPr="00555239">
        <w:rPr>
          <w:i/>
        </w:rPr>
        <w:t>et al.</w:t>
      </w:r>
      <w:r>
        <w:t xml:space="preserve"> 2017) indices used by the MMP, as tools to identify where </w:t>
      </w:r>
      <w:r w:rsidR="00374EFB">
        <w:t>and when environmental stress</w:t>
      </w:r>
      <w:r>
        <w:t xml:space="preserve"> </w:t>
      </w:r>
      <w:r w:rsidR="00374EFB">
        <w:t>is</w:t>
      </w:r>
      <w:r>
        <w:t xml:space="preserve"> occurring, when th</w:t>
      </w:r>
      <w:r w:rsidR="00374EFB">
        <w:t>e</w:t>
      </w:r>
      <w:r>
        <w:t xml:space="preserve"> stressors are not easily quantified </w:t>
      </w:r>
      <w:r w:rsidRPr="00F92425">
        <w:t>(</w:t>
      </w:r>
      <w:r>
        <w:t xml:space="preserve">Karr 2006, Crain </w:t>
      </w:r>
      <w:r w:rsidRPr="00A77FC4">
        <w:rPr>
          <w:i/>
        </w:rPr>
        <w:t>et al.</w:t>
      </w:r>
      <w:r>
        <w:t xml:space="preserve"> 2008).</w:t>
      </w:r>
      <w:r w:rsidR="00E75F5C">
        <w:t xml:space="preserve"> </w:t>
      </w:r>
    </w:p>
    <w:p w14:paraId="1E07B8AE" w14:textId="7444FC4F" w:rsidR="00A462A9" w:rsidRPr="0041475F" w:rsidRDefault="00A462A9" w:rsidP="00A462A9">
      <w:pPr>
        <w:rPr>
          <w:color w:val="000000" w:themeColor="text1"/>
        </w:rPr>
      </w:pPr>
      <w:r w:rsidRPr="0041475F">
        <w:rPr>
          <w:color w:val="000000" w:themeColor="text1"/>
        </w:rPr>
        <w:t>The observed relatio</w:t>
      </w:r>
      <w:r>
        <w:rPr>
          <w:color w:val="000000" w:themeColor="text1"/>
        </w:rPr>
        <w:t xml:space="preserve">nship between discharge and changes in the </w:t>
      </w:r>
      <w:r w:rsidRPr="0041475F">
        <w:rPr>
          <w:color w:val="000000" w:themeColor="text1"/>
        </w:rPr>
        <w:t xml:space="preserve">coral index </w:t>
      </w:r>
      <w:r>
        <w:rPr>
          <w:color w:val="000000" w:themeColor="text1"/>
        </w:rPr>
        <w:t>implies</w:t>
      </w:r>
      <w:r w:rsidRPr="0041475F">
        <w:rPr>
          <w:color w:val="000000" w:themeColor="text1"/>
        </w:rPr>
        <w:t xml:space="preserve"> that the cumulative impacts of river-delivered contaminants suppress the resilience of coral communities. In general, the </w:t>
      </w:r>
      <w:r>
        <w:rPr>
          <w:color w:val="000000" w:themeColor="text1"/>
        </w:rPr>
        <w:t xml:space="preserve">spatial and temporal variability in index scores presented in this report </w:t>
      </w:r>
      <w:r w:rsidRPr="0041475F">
        <w:rPr>
          <w:color w:val="000000" w:themeColor="text1"/>
        </w:rPr>
        <w:t xml:space="preserve">are consistent with well documented links between increased </w:t>
      </w:r>
      <w:r w:rsidR="0042623E">
        <w:rPr>
          <w:color w:val="000000" w:themeColor="text1"/>
        </w:rPr>
        <w:t>run-off</w:t>
      </w:r>
      <w:r w:rsidRPr="0041475F">
        <w:rPr>
          <w:color w:val="000000" w:themeColor="text1"/>
        </w:rPr>
        <w:t xml:space="preserve"> and stress to corals (Bruno </w:t>
      </w:r>
      <w:r w:rsidRPr="0041475F">
        <w:rPr>
          <w:i/>
          <w:color w:val="000000" w:themeColor="text1"/>
        </w:rPr>
        <w:t>et al.</w:t>
      </w:r>
      <w:r w:rsidRPr="0041475F">
        <w:rPr>
          <w:color w:val="000000" w:themeColor="text1"/>
        </w:rPr>
        <w:t xml:space="preserve"> 2003, </w:t>
      </w:r>
      <w:r w:rsidRPr="0041475F">
        <w:rPr>
          <w:rFonts w:cs="Arial"/>
          <w:color w:val="000000" w:themeColor="text1"/>
        </w:rPr>
        <w:t xml:space="preserve">Kline </w:t>
      </w:r>
      <w:r w:rsidRPr="0041475F">
        <w:rPr>
          <w:rFonts w:cs="Arial"/>
          <w:i/>
          <w:color w:val="000000" w:themeColor="text1"/>
        </w:rPr>
        <w:t>et al</w:t>
      </w:r>
      <w:r w:rsidRPr="0041475F">
        <w:rPr>
          <w:rFonts w:cs="Arial"/>
          <w:color w:val="000000" w:themeColor="text1"/>
        </w:rPr>
        <w:t xml:space="preserve">. 2006, Kuntz </w:t>
      </w:r>
      <w:r w:rsidRPr="0041475F">
        <w:rPr>
          <w:rFonts w:cs="Arial"/>
          <w:i/>
          <w:color w:val="000000" w:themeColor="text1"/>
        </w:rPr>
        <w:t>et al</w:t>
      </w:r>
      <w:r w:rsidRPr="0041475F">
        <w:rPr>
          <w:rFonts w:cs="Arial"/>
          <w:color w:val="000000" w:themeColor="text1"/>
        </w:rPr>
        <w:t xml:space="preserve">. 2005, Voss &amp; Richardson 2006, </w:t>
      </w:r>
      <w:r w:rsidRPr="0041475F">
        <w:rPr>
          <w:color w:val="000000" w:themeColor="text1"/>
        </w:rPr>
        <w:t xml:space="preserve">Kaczmarsky &amp; Richardson 2010, Haapkylä </w:t>
      </w:r>
      <w:r w:rsidRPr="0041475F">
        <w:rPr>
          <w:i/>
          <w:color w:val="000000" w:themeColor="text1"/>
        </w:rPr>
        <w:t xml:space="preserve">et al. </w:t>
      </w:r>
      <w:r w:rsidRPr="0041475F">
        <w:rPr>
          <w:color w:val="000000" w:themeColor="text1"/>
        </w:rPr>
        <w:t xml:space="preserve">2011, 2013, Vega Thurber </w:t>
      </w:r>
      <w:r w:rsidRPr="0041475F">
        <w:rPr>
          <w:i/>
          <w:color w:val="000000" w:themeColor="text1"/>
        </w:rPr>
        <w:t>et al.</w:t>
      </w:r>
      <w:r w:rsidRPr="0041475F">
        <w:rPr>
          <w:color w:val="000000" w:themeColor="text1"/>
        </w:rPr>
        <w:t xml:space="preserve"> 2013). </w:t>
      </w:r>
      <w:r>
        <w:rPr>
          <w:color w:val="000000" w:themeColor="text1"/>
        </w:rPr>
        <w:t xml:space="preserve">That we did not observe a </w:t>
      </w:r>
      <w:r w:rsidRPr="0041475F">
        <w:rPr>
          <w:color w:val="000000" w:themeColor="text1"/>
        </w:rPr>
        <w:t xml:space="preserve">relationship between discharge and change in the index scores in the Mackay Whitsunday region </w:t>
      </w:r>
      <w:r>
        <w:rPr>
          <w:color w:val="000000" w:themeColor="text1"/>
        </w:rPr>
        <w:t xml:space="preserve">may be explained by </w:t>
      </w:r>
      <w:r w:rsidRPr="0041475F">
        <w:rPr>
          <w:color w:val="000000" w:themeColor="text1"/>
        </w:rPr>
        <w:t xml:space="preserve">the relatively low discharge </w:t>
      </w:r>
      <w:r>
        <w:rPr>
          <w:color w:val="000000" w:themeColor="text1"/>
        </w:rPr>
        <w:t>in this</w:t>
      </w:r>
      <w:r w:rsidR="00374EFB">
        <w:rPr>
          <w:color w:val="000000" w:themeColor="text1"/>
        </w:rPr>
        <w:t xml:space="preserve"> region</w:t>
      </w:r>
      <w:r>
        <w:rPr>
          <w:color w:val="000000" w:themeColor="text1"/>
        </w:rPr>
        <w:t xml:space="preserve">, </w:t>
      </w:r>
      <w:r w:rsidRPr="0041475F">
        <w:rPr>
          <w:color w:val="000000" w:themeColor="text1"/>
        </w:rPr>
        <w:t>compared to other</w:t>
      </w:r>
      <w:r w:rsidR="00374EFB">
        <w:rPr>
          <w:color w:val="000000" w:themeColor="text1"/>
        </w:rPr>
        <w:t xml:space="preserve">s, </w:t>
      </w:r>
      <w:r>
        <w:rPr>
          <w:color w:val="000000" w:themeColor="text1"/>
        </w:rPr>
        <w:t>had relatively little influence on the conditions experienced by corals. The strong vertical differentiation in community composition at many of the Mackay Whitsunday Reefs a</w:t>
      </w:r>
      <w:r w:rsidR="00374EFB">
        <w:rPr>
          <w:color w:val="000000" w:themeColor="text1"/>
        </w:rPr>
        <w:t xml:space="preserve">long with </w:t>
      </w:r>
      <w:r>
        <w:rPr>
          <w:color w:val="000000" w:themeColor="text1"/>
        </w:rPr>
        <w:t xml:space="preserve">high coral cover demonstrate </w:t>
      </w:r>
      <w:r w:rsidR="00374EFB">
        <w:rPr>
          <w:color w:val="000000" w:themeColor="text1"/>
        </w:rPr>
        <w:t xml:space="preserve">that </w:t>
      </w:r>
      <w:r>
        <w:rPr>
          <w:color w:val="000000" w:themeColor="text1"/>
        </w:rPr>
        <w:t>communities</w:t>
      </w:r>
      <w:r w:rsidR="00374EFB">
        <w:rPr>
          <w:color w:val="000000" w:themeColor="text1"/>
        </w:rPr>
        <w:t xml:space="preserve"> are</w:t>
      </w:r>
      <w:r>
        <w:rPr>
          <w:color w:val="000000" w:themeColor="text1"/>
        </w:rPr>
        <w:t xml:space="preserve"> tolerant of </w:t>
      </w:r>
      <w:r w:rsidR="00374EFB">
        <w:rPr>
          <w:color w:val="000000" w:themeColor="text1"/>
        </w:rPr>
        <w:t xml:space="preserve">the </w:t>
      </w:r>
      <w:r>
        <w:rPr>
          <w:color w:val="000000" w:themeColor="text1"/>
        </w:rPr>
        <w:t xml:space="preserve">high turbidity </w:t>
      </w:r>
      <w:r w:rsidR="00374EFB">
        <w:rPr>
          <w:color w:val="000000" w:themeColor="text1"/>
        </w:rPr>
        <w:t xml:space="preserve">to which they are often exposed. This tolerance is </w:t>
      </w:r>
      <w:r>
        <w:rPr>
          <w:color w:val="000000" w:themeColor="text1"/>
        </w:rPr>
        <w:t xml:space="preserve">likely to offer a degree of resistance to additional pressures imposed by variable </w:t>
      </w:r>
      <w:r w:rsidR="0042623E">
        <w:rPr>
          <w:color w:val="000000" w:themeColor="text1"/>
        </w:rPr>
        <w:t>run-off</w:t>
      </w:r>
      <w:r w:rsidR="00374EFB">
        <w:rPr>
          <w:color w:val="000000" w:themeColor="text1"/>
        </w:rPr>
        <w:t xml:space="preserve">, a point raised by </w:t>
      </w:r>
      <w:r>
        <w:rPr>
          <w:color w:val="000000" w:themeColor="text1"/>
        </w:rPr>
        <w:t xml:space="preserve">Morgan </w:t>
      </w:r>
      <w:r w:rsidRPr="00F92425">
        <w:rPr>
          <w:i/>
          <w:color w:val="000000" w:themeColor="text1"/>
        </w:rPr>
        <w:t>et al.</w:t>
      </w:r>
      <w:r>
        <w:rPr>
          <w:color w:val="000000" w:themeColor="text1"/>
        </w:rPr>
        <w:t xml:space="preserve"> </w:t>
      </w:r>
      <w:r w:rsidR="00374EFB">
        <w:rPr>
          <w:color w:val="000000" w:themeColor="text1"/>
        </w:rPr>
        <w:t>(</w:t>
      </w:r>
      <w:r>
        <w:rPr>
          <w:color w:val="000000" w:themeColor="text1"/>
        </w:rPr>
        <w:t>2016</w:t>
      </w:r>
      <w:r w:rsidRPr="0041475F">
        <w:rPr>
          <w:color w:val="000000" w:themeColor="text1"/>
        </w:rPr>
        <w:t>). Influential in the results for the Mackay Whitsunday region are declines in the index that occurred in 2006 when discharge was low (1.47km</w:t>
      </w:r>
      <w:r w:rsidRPr="0041475F">
        <w:rPr>
          <w:color w:val="000000" w:themeColor="text1"/>
          <w:vertAlign w:val="superscript"/>
        </w:rPr>
        <w:t>3</w:t>
      </w:r>
      <w:r w:rsidRPr="0041475F">
        <w:rPr>
          <w:color w:val="000000" w:themeColor="text1"/>
        </w:rPr>
        <w:t xml:space="preserve">); these declines remain unexplained. </w:t>
      </w:r>
    </w:p>
    <w:p w14:paraId="2944A9A1" w14:textId="1590521F" w:rsidR="00A462A9" w:rsidRPr="0041475F" w:rsidRDefault="00A462A9" w:rsidP="00A462A9">
      <w:pPr>
        <w:rPr>
          <w:rFonts w:cs="Arial"/>
          <w:color w:val="000000" w:themeColor="text1"/>
        </w:rPr>
      </w:pPr>
      <w:r w:rsidRPr="0041475F">
        <w:rPr>
          <w:rFonts w:cs="Arial"/>
          <w:color w:val="000000" w:themeColor="text1"/>
        </w:rPr>
        <w:t>It should also be noted</w:t>
      </w:r>
      <w:r>
        <w:rPr>
          <w:rFonts w:cs="Arial"/>
          <w:color w:val="000000" w:themeColor="text1"/>
        </w:rPr>
        <w:t>,</w:t>
      </w:r>
      <w:r w:rsidRPr="0041475F">
        <w:rPr>
          <w:rFonts w:cs="Arial"/>
          <w:color w:val="000000" w:themeColor="text1"/>
        </w:rPr>
        <w:t xml:space="preserve"> that excluding changes in index scores influenced by acute events f</w:t>
      </w:r>
      <w:r w:rsidR="008F1BE2">
        <w:rPr>
          <w:rFonts w:cs="Arial"/>
          <w:color w:val="000000" w:themeColor="text1"/>
        </w:rPr>
        <w:t>ro</w:t>
      </w:r>
      <w:r w:rsidRPr="0041475F">
        <w:rPr>
          <w:rFonts w:cs="Arial"/>
          <w:color w:val="000000" w:themeColor="text1"/>
        </w:rPr>
        <w:t xml:space="preserve">m our analysis may underestimate the influence of water quality on index scores. </w:t>
      </w:r>
      <w:r>
        <w:rPr>
          <w:rFonts w:cs="Arial"/>
          <w:color w:val="000000" w:themeColor="text1"/>
        </w:rPr>
        <w:t>In addition to the reducing</w:t>
      </w:r>
      <w:r w:rsidRPr="0041475F">
        <w:rPr>
          <w:rFonts w:cs="Arial"/>
          <w:color w:val="000000" w:themeColor="text1"/>
        </w:rPr>
        <w:t xml:space="preserve"> capacity for recovery</w:t>
      </w:r>
      <w:r>
        <w:rPr>
          <w:rFonts w:cs="Arial"/>
          <w:color w:val="000000" w:themeColor="text1"/>
        </w:rPr>
        <w:t xml:space="preserve">, </w:t>
      </w:r>
      <w:r w:rsidRPr="0041475F">
        <w:rPr>
          <w:rFonts w:cs="Arial"/>
          <w:color w:val="000000" w:themeColor="text1"/>
        </w:rPr>
        <w:t xml:space="preserve">degraded water quality may </w:t>
      </w:r>
      <w:r>
        <w:rPr>
          <w:rFonts w:cs="Arial"/>
          <w:color w:val="000000" w:themeColor="text1"/>
        </w:rPr>
        <w:t xml:space="preserve">also </w:t>
      </w:r>
      <w:r w:rsidRPr="0041475F">
        <w:rPr>
          <w:rFonts w:cs="Arial"/>
          <w:color w:val="000000" w:themeColor="text1"/>
        </w:rPr>
        <w:t>increase the susceptibility of corals to acute disturbance events. Evidence from recent research into the interactions between water quality and climate change</w:t>
      </w:r>
      <w:r w:rsidRPr="0041475F" w:rsidDel="00657E98">
        <w:rPr>
          <w:rFonts w:cs="Arial"/>
          <w:color w:val="000000" w:themeColor="text1"/>
        </w:rPr>
        <w:t xml:space="preserve"> </w:t>
      </w:r>
      <w:r w:rsidRPr="0041475F">
        <w:rPr>
          <w:rFonts w:cs="Arial"/>
          <w:color w:val="000000" w:themeColor="text1"/>
        </w:rPr>
        <w:t xml:space="preserve">suggests that the tolerance to heat stress of corals is reduced by exposure to contaminants including nutrients, herbicides and suspended particulate matter (Wooldridge &amp; Done 2004, Negri </w:t>
      </w:r>
      <w:r w:rsidRPr="0041475F">
        <w:rPr>
          <w:rFonts w:cs="Arial"/>
          <w:i/>
          <w:color w:val="000000" w:themeColor="text1"/>
        </w:rPr>
        <w:t>et al</w:t>
      </w:r>
      <w:r w:rsidRPr="0041475F">
        <w:rPr>
          <w:rFonts w:cs="Arial"/>
          <w:color w:val="000000" w:themeColor="text1"/>
        </w:rPr>
        <w:t xml:space="preserve">. 2011, Wiedenmann </w:t>
      </w:r>
      <w:r w:rsidRPr="0041475F">
        <w:rPr>
          <w:rFonts w:cs="Arial"/>
          <w:i/>
          <w:color w:val="000000" w:themeColor="text1"/>
        </w:rPr>
        <w:t>et al</w:t>
      </w:r>
      <w:r w:rsidRPr="0041475F">
        <w:rPr>
          <w:rFonts w:cs="Arial"/>
          <w:color w:val="000000" w:themeColor="text1"/>
        </w:rPr>
        <w:t xml:space="preserve">. 2013, Fabricius </w:t>
      </w:r>
      <w:r w:rsidRPr="0041475F">
        <w:rPr>
          <w:rFonts w:cs="Arial"/>
          <w:i/>
          <w:color w:val="000000" w:themeColor="text1"/>
        </w:rPr>
        <w:t>et al.</w:t>
      </w:r>
      <w:r w:rsidRPr="0041475F">
        <w:rPr>
          <w:rFonts w:cs="Arial"/>
          <w:color w:val="000000" w:themeColor="text1"/>
        </w:rPr>
        <w:t xml:space="preserve"> 2013b, Wooldridge </w:t>
      </w:r>
      <w:r>
        <w:rPr>
          <w:rFonts w:cs="Arial"/>
          <w:color w:val="000000" w:themeColor="text1"/>
        </w:rPr>
        <w:t>2016</w:t>
      </w:r>
      <w:r w:rsidR="009765E9">
        <w:rPr>
          <w:rFonts w:cs="Arial"/>
          <w:color w:val="000000" w:themeColor="text1"/>
        </w:rPr>
        <w:t xml:space="preserve">, Bessell-Browne </w:t>
      </w:r>
      <w:r w:rsidR="009765E9" w:rsidRPr="00DF305A">
        <w:rPr>
          <w:rFonts w:cs="Arial"/>
          <w:i/>
          <w:color w:val="000000" w:themeColor="text1"/>
        </w:rPr>
        <w:t>et a</w:t>
      </w:r>
      <w:r w:rsidR="009765E9">
        <w:rPr>
          <w:rFonts w:cs="Arial"/>
          <w:color w:val="000000" w:themeColor="text1"/>
        </w:rPr>
        <w:t>l. 2017</w:t>
      </w:r>
      <w:r w:rsidRPr="0041475F">
        <w:rPr>
          <w:rFonts w:cs="Arial"/>
          <w:color w:val="000000" w:themeColor="text1"/>
        </w:rPr>
        <w:t xml:space="preserve">). </w:t>
      </w:r>
      <w:r>
        <w:rPr>
          <w:rFonts w:cs="Arial"/>
          <w:color w:val="000000" w:themeColor="text1"/>
        </w:rPr>
        <w:t xml:space="preserve">Similarly, increased susceptibility to disease may increase the loss of coral cover attributed to </w:t>
      </w:r>
      <w:r w:rsidR="008F1BE2">
        <w:rPr>
          <w:rFonts w:cs="Arial"/>
          <w:color w:val="000000" w:themeColor="text1"/>
        </w:rPr>
        <w:t>cyclones, floods</w:t>
      </w:r>
      <w:r w:rsidR="00374EFB">
        <w:rPr>
          <w:rFonts w:cs="Arial"/>
          <w:color w:val="000000" w:themeColor="text1"/>
        </w:rPr>
        <w:t>, or COTS</w:t>
      </w:r>
      <w:r>
        <w:rPr>
          <w:rFonts w:cs="Arial"/>
          <w:color w:val="000000" w:themeColor="text1"/>
        </w:rPr>
        <w:t xml:space="preserve">. </w:t>
      </w:r>
      <w:r w:rsidRPr="0041475F">
        <w:rPr>
          <w:rFonts w:cs="Arial"/>
          <w:color w:val="000000" w:themeColor="text1"/>
        </w:rPr>
        <w:t xml:space="preserve">With the exception of the Fitzroy Region in 2006, the water temperatures have not shown substantial deviations from the long-term summer climatology over the first 12 years of the MMP. However, this does not reduce the concern for inshore reefs given the persistence of altered water quality conditions and the ongoing threat of summer temperature anomalies due to the effects of climate change. </w:t>
      </w:r>
    </w:p>
    <w:p w14:paraId="4A2C44BA" w14:textId="77777777" w:rsidR="00A462A9" w:rsidRPr="00F439FB" w:rsidRDefault="00A462A9" w:rsidP="00B9528B">
      <w:pPr>
        <w:pStyle w:val="Heading3"/>
      </w:pPr>
      <w:bookmarkStart w:id="285" w:name="_Toc493153340"/>
      <w:r w:rsidRPr="00F439FB">
        <w:t>Coral cover</w:t>
      </w:r>
      <w:bookmarkEnd w:id="285"/>
    </w:p>
    <w:p w14:paraId="1F55791A" w14:textId="5CAB26A2" w:rsidR="00A462A9" w:rsidRPr="00815378" w:rsidRDefault="00A462A9" w:rsidP="00A462A9">
      <w:pPr>
        <w:rPr>
          <w:rFonts w:cs="Arial"/>
          <w:color w:val="000000" w:themeColor="text1"/>
        </w:rPr>
      </w:pPr>
      <w:r w:rsidRPr="00815378">
        <w:rPr>
          <w:rFonts w:cs="Arial"/>
          <w:color w:val="000000" w:themeColor="text1"/>
        </w:rPr>
        <w:t xml:space="preserve">For corals to persist in a location </w:t>
      </w:r>
      <w:r>
        <w:rPr>
          <w:rFonts w:cs="Arial"/>
          <w:color w:val="000000" w:themeColor="text1"/>
        </w:rPr>
        <w:t>they need to be</w:t>
      </w:r>
      <w:r w:rsidRPr="00815378">
        <w:rPr>
          <w:rFonts w:cs="Arial"/>
          <w:color w:val="000000" w:themeColor="text1"/>
        </w:rPr>
        <w:t xml:space="preserve"> able to survive extremes in environmental conditions but also maintain a competitive ability under ambient conditions. Although the coral cover metric is strongly influenced by disturbance events, low cover</w:t>
      </w:r>
      <w:r>
        <w:rPr>
          <w:rFonts w:cs="Arial"/>
          <w:color w:val="000000" w:themeColor="text1"/>
        </w:rPr>
        <w:t>,</w:t>
      </w:r>
      <w:r w:rsidRPr="00815378">
        <w:rPr>
          <w:rFonts w:cs="Arial"/>
          <w:color w:val="000000" w:themeColor="text1"/>
        </w:rPr>
        <w:t xml:space="preserve"> as a response to water quality pressures</w:t>
      </w:r>
      <w:r>
        <w:rPr>
          <w:rFonts w:cs="Arial"/>
          <w:color w:val="000000" w:themeColor="text1"/>
        </w:rPr>
        <w:t>,</w:t>
      </w:r>
      <w:r w:rsidRPr="00815378">
        <w:rPr>
          <w:rFonts w:cs="Arial"/>
          <w:color w:val="000000" w:themeColor="text1"/>
        </w:rPr>
        <w:t xml:space="preserve"> can also be inferred</w:t>
      </w:r>
      <w:r>
        <w:rPr>
          <w:rFonts w:cs="Arial"/>
          <w:color w:val="000000" w:themeColor="text1"/>
        </w:rPr>
        <w:t xml:space="preserve"> from our analyses</w:t>
      </w:r>
      <w:r w:rsidRPr="00815378">
        <w:rPr>
          <w:rFonts w:cs="Arial"/>
          <w:color w:val="000000" w:themeColor="text1"/>
        </w:rPr>
        <w:t xml:space="preserve">. </w:t>
      </w:r>
      <w:r>
        <w:rPr>
          <w:rFonts w:cs="Arial"/>
          <w:color w:val="000000" w:themeColor="text1"/>
        </w:rPr>
        <w:t xml:space="preserve">In 2016, coral cover was higher at reefs with low Chl </w:t>
      </w:r>
      <w:r w:rsidRPr="002A57CF">
        <w:rPr>
          <w:rFonts w:cs="Arial"/>
          <w:i/>
          <w:color w:val="000000" w:themeColor="text1"/>
        </w:rPr>
        <w:t xml:space="preserve">a </w:t>
      </w:r>
      <w:r>
        <w:rPr>
          <w:rFonts w:cs="Arial"/>
          <w:color w:val="000000" w:themeColor="text1"/>
        </w:rPr>
        <w:t>levels. In a</w:t>
      </w:r>
      <w:r w:rsidRPr="00815378">
        <w:rPr>
          <w:rFonts w:cs="Arial"/>
          <w:color w:val="000000" w:themeColor="text1"/>
        </w:rPr>
        <w:t xml:space="preserve">ddition, there are </w:t>
      </w:r>
      <w:r>
        <w:rPr>
          <w:rFonts w:cs="Arial"/>
          <w:color w:val="000000" w:themeColor="text1"/>
        </w:rPr>
        <w:t xml:space="preserve">a </w:t>
      </w:r>
      <w:r w:rsidRPr="00815378">
        <w:rPr>
          <w:rFonts w:cs="Arial"/>
          <w:color w:val="000000" w:themeColor="text1"/>
        </w:rPr>
        <w:t>number of reefs monitored at which coral cover has remained low and not increased during periods free from acute disturbance events. The majority of these reefs have had a persistent cover of macroalgae</w:t>
      </w:r>
      <w:r>
        <w:rPr>
          <w:rFonts w:cs="Arial"/>
          <w:color w:val="000000" w:themeColor="text1"/>
        </w:rPr>
        <w:t>;</w:t>
      </w:r>
      <w:r w:rsidRPr="00815378">
        <w:rPr>
          <w:rFonts w:cs="Arial"/>
          <w:color w:val="000000" w:themeColor="text1"/>
        </w:rPr>
        <w:t xml:space="preserve"> </w:t>
      </w:r>
      <w:r>
        <w:rPr>
          <w:rFonts w:cs="Arial"/>
          <w:color w:val="000000" w:themeColor="text1"/>
        </w:rPr>
        <w:t xml:space="preserve">an attribute of benthic communities again linked to high Chl </w:t>
      </w:r>
      <w:r w:rsidRPr="002A57CF">
        <w:rPr>
          <w:rFonts w:cs="Arial"/>
          <w:i/>
          <w:color w:val="000000" w:themeColor="text1"/>
        </w:rPr>
        <w:t xml:space="preserve">a </w:t>
      </w:r>
      <w:r>
        <w:rPr>
          <w:rFonts w:cs="Arial"/>
          <w:color w:val="000000" w:themeColor="text1"/>
        </w:rPr>
        <w:t>levels.</w:t>
      </w:r>
      <w:r w:rsidR="00E75F5C">
        <w:rPr>
          <w:rFonts w:cs="Arial"/>
          <w:color w:val="000000" w:themeColor="text1"/>
        </w:rPr>
        <w:t xml:space="preserve"> </w:t>
      </w:r>
      <w:r w:rsidRPr="00815378">
        <w:rPr>
          <w:rFonts w:cs="Arial"/>
          <w:color w:val="000000" w:themeColor="text1"/>
        </w:rPr>
        <w:t xml:space="preserve">High turbidity and / or nutrient levels do not, however, preclude high cover of corals on inshore reefs. There is ample evidence from the data presented in this report along with other studies (e.g. Sweatman </w:t>
      </w:r>
      <w:r w:rsidRPr="00815378">
        <w:rPr>
          <w:rFonts w:cs="Arial"/>
          <w:i/>
          <w:color w:val="000000" w:themeColor="text1"/>
        </w:rPr>
        <w:t>et al.</w:t>
      </w:r>
      <w:r w:rsidRPr="00815378">
        <w:rPr>
          <w:rFonts w:cs="Arial"/>
          <w:color w:val="000000" w:themeColor="text1"/>
        </w:rPr>
        <w:t xml:space="preserve"> 2007, Brown </w:t>
      </w:r>
      <w:r w:rsidRPr="00815378">
        <w:rPr>
          <w:rFonts w:cs="Arial"/>
          <w:i/>
          <w:color w:val="000000" w:themeColor="text1"/>
        </w:rPr>
        <w:t>et al.</w:t>
      </w:r>
      <w:r w:rsidRPr="00815378">
        <w:rPr>
          <w:rFonts w:cs="Arial"/>
          <w:color w:val="000000" w:themeColor="text1"/>
        </w:rPr>
        <w:t xml:space="preserve"> 2010, Morgan </w:t>
      </w:r>
      <w:r w:rsidRPr="00815378">
        <w:rPr>
          <w:rFonts w:cs="Arial"/>
          <w:i/>
          <w:color w:val="000000" w:themeColor="text1"/>
        </w:rPr>
        <w:t>et al.</w:t>
      </w:r>
      <w:r w:rsidRPr="00815378">
        <w:rPr>
          <w:rFonts w:cs="Arial"/>
          <w:color w:val="000000" w:themeColor="text1"/>
        </w:rPr>
        <w:t xml:space="preserve"> 2016) that reefs in highly turbid settings can support very high cover of species tolerant to those conditions.</w:t>
      </w:r>
      <w:r w:rsidR="00E75F5C">
        <w:rPr>
          <w:rFonts w:cs="Arial"/>
          <w:color w:val="000000" w:themeColor="text1"/>
        </w:rPr>
        <w:t xml:space="preserve"> </w:t>
      </w:r>
      <w:r w:rsidRPr="00815378">
        <w:rPr>
          <w:rFonts w:cs="Arial"/>
          <w:color w:val="000000" w:themeColor="text1"/>
        </w:rPr>
        <w:t xml:space="preserve">Despite claims for high diversity in turbid habitats based on aggregated diversity over a variety of microhabitats (Brown </w:t>
      </w:r>
      <w:r w:rsidRPr="00815378">
        <w:rPr>
          <w:rFonts w:cs="Arial"/>
          <w:i/>
          <w:color w:val="000000" w:themeColor="text1"/>
        </w:rPr>
        <w:t>et al.</w:t>
      </w:r>
      <w:r w:rsidRPr="00815378">
        <w:rPr>
          <w:rFonts w:cs="Arial"/>
          <w:color w:val="000000" w:themeColor="text1"/>
        </w:rPr>
        <w:t xml:space="preserve"> 2010, Morgan </w:t>
      </w:r>
      <w:r w:rsidRPr="00815378">
        <w:rPr>
          <w:rFonts w:cs="Arial"/>
          <w:i/>
          <w:color w:val="000000" w:themeColor="text1"/>
        </w:rPr>
        <w:t>et al.</w:t>
      </w:r>
      <w:r w:rsidRPr="00815378">
        <w:rPr>
          <w:rFonts w:cs="Arial"/>
          <w:color w:val="000000" w:themeColor="text1"/>
        </w:rPr>
        <w:t xml:space="preserve"> 2016), </w:t>
      </w:r>
      <w:r>
        <w:rPr>
          <w:rFonts w:cs="Arial"/>
          <w:color w:val="000000" w:themeColor="text1"/>
        </w:rPr>
        <w:t xml:space="preserve">from sites </w:t>
      </w:r>
      <w:r w:rsidRPr="00815378">
        <w:rPr>
          <w:rFonts w:cs="Arial"/>
          <w:color w:val="000000" w:themeColor="text1"/>
        </w:rPr>
        <w:t xml:space="preserve">that control for depth and </w:t>
      </w:r>
      <w:r>
        <w:rPr>
          <w:rFonts w:cs="Arial"/>
          <w:color w:val="000000" w:themeColor="text1"/>
        </w:rPr>
        <w:t>exposure to wave energy,</w:t>
      </w:r>
      <w:r w:rsidRPr="00815378">
        <w:rPr>
          <w:rFonts w:cs="Arial"/>
          <w:color w:val="000000" w:themeColor="text1"/>
        </w:rPr>
        <w:t xml:space="preserve"> </w:t>
      </w:r>
      <w:r>
        <w:rPr>
          <w:rFonts w:cs="Arial"/>
          <w:color w:val="000000" w:themeColor="text1"/>
        </w:rPr>
        <w:t xml:space="preserve">it is evident </w:t>
      </w:r>
      <w:r w:rsidRPr="00815378">
        <w:rPr>
          <w:rFonts w:cs="Arial"/>
          <w:color w:val="000000" w:themeColor="text1"/>
        </w:rPr>
        <w:t>that as turbidity increases</w:t>
      </w:r>
      <w:r>
        <w:rPr>
          <w:rFonts w:cs="Arial"/>
          <w:color w:val="000000" w:themeColor="text1"/>
        </w:rPr>
        <w:t>,</w:t>
      </w:r>
      <w:r w:rsidRPr="00815378">
        <w:rPr>
          <w:rFonts w:cs="Arial"/>
          <w:color w:val="000000" w:themeColor="text1"/>
        </w:rPr>
        <w:t xml:space="preserve"> high coral cover typically results from relatively few species tolerant </w:t>
      </w:r>
      <w:r>
        <w:rPr>
          <w:rFonts w:cs="Arial"/>
          <w:color w:val="000000" w:themeColor="text1"/>
        </w:rPr>
        <w:t>of</w:t>
      </w:r>
      <w:r w:rsidRPr="00815378">
        <w:rPr>
          <w:rFonts w:cs="Arial"/>
          <w:color w:val="000000" w:themeColor="text1"/>
        </w:rPr>
        <w:t xml:space="preserve"> their local </w:t>
      </w:r>
      <w:r>
        <w:rPr>
          <w:rFonts w:cs="Arial"/>
          <w:color w:val="000000" w:themeColor="text1"/>
        </w:rPr>
        <w:t xml:space="preserve">environment (De Vantier </w:t>
      </w:r>
      <w:r w:rsidRPr="00A11DF4">
        <w:rPr>
          <w:rFonts w:cs="Arial"/>
          <w:i/>
          <w:color w:val="000000" w:themeColor="text1"/>
        </w:rPr>
        <w:t>et al.</w:t>
      </w:r>
      <w:r>
        <w:rPr>
          <w:rFonts w:cs="Arial"/>
          <w:color w:val="000000" w:themeColor="text1"/>
        </w:rPr>
        <w:t xml:space="preserve"> 2006, Sweatman </w:t>
      </w:r>
      <w:r w:rsidRPr="00A11DF4">
        <w:rPr>
          <w:rFonts w:cs="Arial"/>
          <w:i/>
          <w:color w:val="000000" w:themeColor="text1"/>
        </w:rPr>
        <w:t>et al.</w:t>
      </w:r>
      <w:r>
        <w:rPr>
          <w:rFonts w:cs="Arial"/>
          <w:color w:val="000000" w:themeColor="text1"/>
        </w:rPr>
        <w:t xml:space="preserve"> 2007).</w:t>
      </w:r>
      <w:r>
        <w:rPr>
          <w:rFonts w:cs="Arial"/>
          <w:color w:val="4F81BD" w:themeColor="accent1"/>
        </w:rPr>
        <w:t xml:space="preserve"> </w:t>
      </w:r>
      <w:r w:rsidRPr="00815378">
        <w:rPr>
          <w:rFonts w:cs="Arial"/>
          <w:color w:val="000000" w:themeColor="text1"/>
        </w:rPr>
        <w:t xml:space="preserve">The </w:t>
      </w:r>
      <w:r>
        <w:rPr>
          <w:rFonts w:cs="Arial"/>
          <w:color w:val="000000" w:themeColor="text1"/>
        </w:rPr>
        <w:t xml:space="preserve">almost ubiquitous increase in coral cover observed in 2016, however, demonstrates that across the diversity of habitats monitored, corals retain the capacity for growth when the cumulative pressures of </w:t>
      </w:r>
      <w:r w:rsidR="0042623E">
        <w:rPr>
          <w:rFonts w:cs="Arial"/>
          <w:color w:val="000000" w:themeColor="text1"/>
        </w:rPr>
        <w:t>run-off</w:t>
      </w:r>
      <w:r>
        <w:rPr>
          <w:rFonts w:cs="Arial"/>
          <w:color w:val="000000" w:themeColor="text1"/>
        </w:rPr>
        <w:t xml:space="preserve"> and disturbance events are low. </w:t>
      </w:r>
    </w:p>
    <w:p w14:paraId="2D1392A5" w14:textId="77777777" w:rsidR="00A462A9" w:rsidRPr="00F439FB" w:rsidRDefault="00A462A9" w:rsidP="00B9528B">
      <w:pPr>
        <w:pStyle w:val="Heading3"/>
      </w:pPr>
      <w:bookmarkStart w:id="286" w:name="_Toc493153341"/>
      <w:r w:rsidRPr="00F439FB">
        <w:t>Rate of change in coral cover</w:t>
      </w:r>
      <w:bookmarkEnd w:id="286"/>
    </w:p>
    <w:p w14:paraId="62ED8042" w14:textId="14D065FE" w:rsidR="00A462A9" w:rsidRDefault="00A462A9" w:rsidP="00A462A9">
      <w:pPr>
        <w:rPr>
          <w:rFonts w:cs="Arial"/>
          <w:color w:val="000000" w:themeColor="text1"/>
        </w:rPr>
      </w:pPr>
      <w:r w:rsidRPr="007522AA">
        <w:rPr>
          <w:rFonts w:cs="Arial"/>
          <w:color w:val="000000" w:themeColor="text1"/>
        </w:rPr>
        <w:t xml:space="preserve">The </w:t>
      </w:r>
      <w:r>
        <w:rPr>
          <w:rFonts w:cs="Arial"/>
          <w:color w:val="000000" w:themeColor="text1"/>
        </w:rPr>
        <w:t>Coral Change metric</w:t>
      </w:r>
      <w:r w:rsidRPr="007522AA">
        <w:rPr>
          <w:rFonts w:cs="Arial"/>
          <w:color w:val="000000" w:themeColor="text1"/>
        </w:rPr>
        <w:t xml:space="preserve"> </w:t>
      </w:r>
      <w:r>
        <w:rPr>
          <w:rFonts w:cs="Arial"/>
          <w:color w:val="000000" w:themeColor="text1"/>
        </w:rPr>
        <w:t>assesses</w:t>
      </w:r>
      <w:r w:rsidRPr="007522AA">
        <w:rPr>
          <w:rFonts w:cs="Arial"/>
          <w:color w:val="000000" w:themeColor="text1"/>
        </w:rPr>
        <w:t xml:space="preserve"> the rate of change in coral cover (growth) during years free from acute disturbances. An adequate rate of coral cover increase is essential to ensure the long</w:t>
      </w:r>
      <w:r>
        <w:rPr>
          <w:rFonts w:cs="Arial"/>
          <w:color w:val="000000" w:themeColor="text1"/>
        </w:rPr>
        <w:t>-</w:t>
      </w:r>
      <w:r w:rsidRPr="007522AA">
        <w:rPr>
          <w:rFonts w:cs="Arial"/>
          <w:color w:val="000000" w:themeColor="text1"/>
        </w:rPr>
        <w:t xml:space="preserve">term balance between cover lost to disturbances and that regained </w:t>
      </w:r>
      <w:r>
        <w:rPr>
          <w:rFonts w:cs="Arial"/>
          <w:color w:val="000000" w:themeColor="text1"/>
        </w:rPr>
        <w:t>under</w:t>
      </w:r>
      <w:r w:rsidRPr="007522AA">
        <w:rPr>
          <w:rFonts w:cs="Arial"/>
          <w:color w:val="000000" w:themeColor="text1"/>
        </w:rPr>
        <w:t xml:space="preserve"> </w:t>
      </w:r>
      <w:r>
        <w:rPr>
          <w:rFonts w:cs="Arial"/>
          <w:color w:val="000000" w:themeColor="text1"/>
        </w:rPr>
        <w:t>ambient conditions</w:t>
      </w:r>
      <w:r w:rsidRPr="007522AA">
        <w:rPr>
          <w:rFonts w:cs="Arial"/>
          <w:color w:val="000000" w:themeColor="text1"/>
        </w:rPr>
        <w:t>. The indicator for rate of cover change</w:t>
      </w:r>
      <w:r>
        <w:rPr>
          <w:rFonts w:cs="Arial"/>
          <w:color w:val="000000" w:themeColor="text1"/>
        </w:rPr>
        <w:t xml:space="preserve"> either declined</w:t>
      </w:r>
      <w:r w:rsidR="00515D38">
        <w:rPr>
          <w:rFonts w:cs="Arial"/>
          <w:color w:val="000000" w:themeColor="text1"/>
        </w:rPr>
        <w:t>,</w:t>
      </w:r>
      <w:r>
        <w:rPr>
          <w:rFonts w:cs="Arial"/>
          <w:color w:val="000000" w:themeColor="text1"/>
        </w:rPr>
        <w:t xml:space="preserve"> or remained stable</w:t>
      </w:r>
      <w:r w:rsidR="00515D38">
        <w:rPr>
          <w:rFonts w:cs="Arial"/>
          <w:color w:val="000000" w:themeColor="text1"/>
        </w:rPr>
        <w:t>,</w:t>
      </w:r>
      <w:r>
        <w:rPr>
          <w:rFonts w:cs="Arial"/>
          <w:color w:val="000000" w:themeColor="text1"/>
        </w:rPr>
        <w:t xml:space="preserve"> as index scores within each region declined to low points between 2012 and 2014</w:t>
      </w:r>
      <w:r w:rsidR="00515D38">
        <w:rPr>
          <w:rFonts w:cs="Arial"/>
          <w:color w:val="000000" w:themeColor="text1"/>
        </w:rPr>
        <w:t>;</w:t>
      </w:r>
      <w:r>
        <w:rPr>
          <w:rFonts w:cs="Arial"/>
          <w:color w:val="000000" w:themeColor="text1"/>
        </w:rPr>
        <w:t xml:space="preserve"> a period that coincided</w:t>
      </w:r>
      <w:r w:rsidRPr="007522AA">
        <w:rPr>
          <w:rFonts w:cs="Arial"/>
          <w:color w:val="000000" w:themeColor="text1"/>
        </w:rPr>
        <w:t xml:space="preserve"> broadly with the period of high loads of sediments and nutrients entering the </w:t>
      </w:r>
      <w:r>
        <w:rPr>
          <w:rFonts w:cs="Arial"/>
          <w:color w:val="000000" w:themeColor="text1"/>
        </w:rPr>
        <w:t>Reef</w:t>
      </w:r>
      <w:r w:rsidRPr="007522AA">
        <w:rPr>
          <w:rFonts w:cs="Arial"/>
          <w:color w:val="000000" w:themeColor="text1"/>
        </w:rPr>
        <w:t xml:space="preserve"> (Joo </w:t>
      </w:r>
      <w:r w:rsidRPr="007522AA">
        <w:rPr>
          <w:rFonts w:cs="Arial"/>
          <w:i/>
          <w:color w:val="000000" w:themeColor="text1"/>
        </w:rPr>
        <w:t>et al.</w:t>
      </w:r>
      <w:r w:rsidRPr="007522AA">
        <w:rPr>
          <w:rFonts w:cs="Arial"/>
          <w:color w:val="000000" w:themeColor="text1"/>
        </w:rPr>
        <w:t xml:space="preserve"> 2012, Turner </w:t>
      </w:r>
      <w:r w:rsidRPr="007522AA">
        <w:rPr>
          <w:rFonts w:cs="Arial"/>
          <w:i/>
          <w:color w:val="000000" w:themeColor="text1"/>
        </w:rPr>
        <w:t>et al.</w:t>
      </w:r>
      <w:r w:rsidRPr="007522AA">
        <w:rPr>
          <w:rFonts w:cs="Arial"/>
          <w:color w:val="000000" w:themeColor="text1"/>
        </w:rPr>
        <w:t xml:space="preserve"> 2012, 2013, Wallace </w:t>
      </w:r>
      <w:r w:rsidRPr="007522AA">
        <w:rPr>
          <w:rFonts w:cs="Arial"/>
          <w:i/>
          <w:color w:val="000000" w:themeColor="text1"/>
        </w:rPr>
        <w:t>et al.</w:t>
      </w:r>
      <w:r w:rsidRPr="007522AA">
        <w:rPr>
          <w:rFonts w:cs="Arial"/>
          <w:color w:val="000000" w:themeColor="text1"/>
        </w:rPr>
        <w:t xml:space="preserve"> 2014, 2015). </w:t>
      </w:r>
      <w:r>
        <w:rPr>
          <w:rFonts w:cs="Arial"/>
          <w:color w:val="000000" w:themeColor="text1"/>
        </w:rPr>
        <w:t>During this period the most evident changes in marine water quality were increased concentration of dissolved oxides of nitrogen and dissolved inorganic carbon (</w:t>
      </w:r>
      <w:r w:rsidRPr="007522AA">
        <w:rPr>
          <w:rFonts w:cs="Arial"/>
          <w:color w:val="000000" w:themeColor="text1"/>
          <w:lang w:eastAsia="en-AU"/>
        </w:rPr>
        <w:t>Lønborg</w:t>
      </w:r>
      <w:r w:rsidRPr="007522AA">
        <w:rPr>
          <w:rFonts w:cs="Arial"/>
          <w:color w:val="000000" w:themeColor="text1"/>
        </w:rPr>
        <w:t xml:space="preserve"> </w:t>
      </w:r>
      <w:r w:rsidRPr="007522AA">
        <w:rPr>
          <w:rFonts w:cs="Arial"/>
          <w:i/>
          <w:color w:val="000000" w:themeColor="text1"/>
        </w:rPr>
        <w:t>et al.</w:t>
      </w:r>
      <w:r w:rsidRPr="007522AA">
        <w:rPr>
          <w:rFonts w:cs="Arial"/>
          <w:color w:val="000000" w:themeColor="text1"/>
        </w:rPr>
        <w:t xml:space="preserve"> 2015</w:t>
      </w:r>
      <w:r>
        <w:rPr>
          <w:rFonts w:cs="Arial"/>
          <w:color w:val="000000" w:themeColor="text1"/>
        </w:rPr>
        <w:t xml:space="preserve">). </w:t>
      </w:r>
      <w:r w:rsidRPr="007522AA">
        <w:rPr>
          <w:rFonts w:cs="Arial"/>
          <w:color w:val="000000" w:themeColor="text1"/>
          <w:lang w:eastAsia="en-AU"/>
        </w:rPr>
        <w:t>D</w:t>
      </w:r>
      <w:r>
        <w:rPr>
          <w:rFonts w:cs="Arial"/>
          <w:color w:val="000000" w:themeColor="text1"/>
          <w:lang w:eastAsia="en-AU"/>
        </w:rPr>
        <w:t xml:space="preserve">issolved inorganic carbon </w:t>
      </w:r>
      <w:r w:rsidRPr="007522AA">
        <w:rPr>
          <w:rFonts w:cs="Arial"/>
          <w:color w:val="000000" w:themeColor="text1"/>
          <w:lang w:eastAsia="en-AU"/>
        </w:rPr>
        <w:t xml:space="preserve">constitutes the major carbon source for heterotrophic microbial growth in marine pelagic systems (e.g. Lønborg </w:t>
      </w:r>
      <w:r w:rsidRPr="007522AA">
        <w:rPr>
          <w:rFonts w:cs="Arial"/>
          <w:i/>
          <w:color w:val="000000" w:themeColor="text1"/>
          <w:lang w:eastAsia="en-AU"/>
        </w:rPr>
        <w:t>et al.</w:t>
      </w:r>
      <w:r w:rsidRPr="007522AA">
        <w:rPr>
          <w:rFonts w:cs="Arial"/>
          <w:color w:val="000000" w:themeColor="text1"/>
          <w:lang w:eastAsia="en-AU"/>
        </w:rPr>
        <w:t xml:space="preserve"> 2011) and increases in DOC </w:t>
      </w:r>
      <w:r w:rsidRPr="007522AA">
        <w:rPr>
          <w:rFonts w:cs="Arial"/>
          <w:color w:val="000000" w:themeColor="text1"/>
        </w:rPr>
        <w:t>have been shown to promote m</w:t>
      </w:r>
      <w:r w:rsidRPr="007522AA">
        <w:rPr>
          <w:rFonts w:cs="Arial"/>
          <w:color w:val="000000" w:themeColor="text1"/>
          <w:lang w:eastAsia="en-AU"/>
        </w:rPr>
        <w:t xml:space="preserve">icrobial activity and </w:t>
      </w:r>
      <w:r w:rsidRPr="007522AA">
        <w:rPr>
          <w:rFonts w:cs="Arial"/>
          <w:color w:val="000000" w:themeColor="text1"/>
        </w:rPr>
        <w:t xml:space="preserve">coral diseases (Kline </w:t>
      </w:r>
      <w:r w:rsidRPr="007522AA">
        <w:rPr>
          <w:rFonts w:cs="Arial"/>
          <w:i/>
          <w:color w:val="000000" w:themeColor="text1"/>
        </w:rPr>
        <w:t>et al.</w:t>
      </w:r>
      <w:r w:rsidRPr="007522AA">
        <w:rPr>
          <w:rFonts w:cs="Arial"/>
          <w:color w:val="000000" w:themeColor="text1"/>
        </w:rPr>
        <w:t xml:space="preserve"> 2006, Kuntz </w:t>
      </w:r>
      <w:r w:rsidRPr="007522AA">
        <w:rPr>
          <w:rFonts w:cs="Arial"/>
          <w:i/>
          <w:color w:val="000000" w:themeColor="text1"/>
        </w:rPr>
        <w:t>et al.</w:t>
      </w:r>
      <w:r w:rsidRPr="007522AA">
        <w:rPr>
          <w:rFonts w:cs="Arial"/>
          <w:color w:val="000000" w:themeColor="text1"/>
        </w:rPr>
        <w:t xml:space="preserve"> 2005). In each region we noted peaks in coral disease that corresponded to either the onset of flooding, or, in the case of the Johnstone Russell-Mulgrave region, flooding in catchments to the south. The conclusion that environmental conditions associated with increased loads of sediments and nutrients have been sufficiently stressful to corals to reduce growth rates and/or induce disease in susceptible species is </w:t>
      </w:r>
      <w:r>
        <w:rPr>
          <w:rFonts w:cs="Arial"/>
          <w:color w:val="000000" w:themeColor="text1"/>
        </w:rPr>
        <w:t>consistent with</w:t>
      </w:r>
      <w:r w:rsidRPr="007522AA">
        <w:rPr>
          <w:rFonts w:cs="Arial"/>
          <w:color w:val="000000" w:themeColor="text1"/>
        </w:rPr>
        <w:t xml:space="preserve"> previous observations linking nutrients and organic matter availability to higher incidence and severity of coral disease (Bruno </w:t>
      </w:r>
      <w:r w:rsidRPr="007522AA">
        <w:rPr>
          <w:rFonts w:cs="Arial"/>
          <w:i/>
          <w:color w:val="000000" w:themeColor="text1"/>
        </w:rPr>
        <w:t>et al.</w:t>
      </w:r>
      <w:r w:rsidRPr="007522AA">
        <w:rPr>
          <w:rFonts w:cs="Arial"/>
          <w:color w:val="000000" w:themeColor="text1"/>
        </w:rPr>
        <w:t xml:space="preserve"> 2003, Haapkylä </w:t>
      </w:r>
      <w:r w:rsidRPr="007522AA">
        <w:rPr>
          <w:rFonts w:cs="Arial"/>
          <w:i/>
          <w:color w:val="000000" w:themeColor="text1"/>
        </w:rPr>
        <w:t>et al</w:t>
      </w:r>
      <w:r w:rsidRPr="007522AA">
        <w:rPr>
          <w:rFonts w:cs="Arial"/>
          <w:color w:val="000000" w:themeColor="text1"/>
        </w:rPr>
        <w:t xml:space="preserve">. 2011, Weber </w:t>
      </w:r>
      <w:r w:rsidRPr="007522AA">
        <w:rPr>
          <w:rFonts w:cs="Arial"/>
          <w:i/>
          <w:color w:val="000000" w:themeColor="text1"/>
        </w:rPr>
        <w:t>et al.</w:t>
      </w:r>
      <w:r w:rsidRPr="007522AA">
        <w:rPr>
          <w:rFonts w:cs="Arial"/>
          <w:color w:val="000000" w:themeColor="text1"/>
        </w:rPr>
        <w:t xml:space="preserve"> 2012, Vega Thurber </w:t>
      </w:r>
      <w:r w:rsidRPr="007522AA">
        <w:rPr>
          <w:rFonts w:cs="Arial"/>
          <w:i/>
          <w:color w:val="000000" w:themeColor="text1"/>
        </w:rPr>
        <w:t>et al.</w:t>
      </w:r>
      <w:r w:rsidRPr="007522AA">
        <w:rPr>
          <w:rFonts w:cs="Arial"/>
          <w:color w:val="000000" w:themeColor="text1"/>
        </w:rPr>
        <w:t xml:space="preserve"> 2013).</w:t>
      </w:r>
      <w:r w:rsidR="00E75F5C">
        <w:rPr>
          <w:rFonts w:cs="Arial"/>
          <w:color w:val="000000" w:themeColor="text1"/>
        </w:rPr>
        <w:t xml:space="preserve"> </w:t>
      </w:r>
      <w:r>
        <w:rPr>
          <w:rFonts w:cs="Arial"/>
          <w:color w:val="000000" w:themeColor="text1"/>
        </w:rPr>
        <w:t>In contrast, scores for this indicator increased through to 2016, coincident with relatively low inputs from the catchments.</w:t>
      </w:r>
      <w:r w:rsidR="00E75F5C">
        <w:rPr>
          <w:rFonts w:cs="Arial"/>
          <w:color w:val="000000" w:themeColor="text1"/>
        </w:rPr>
        <w:t xml:space="preserve"> </w:t>
      </w:r>
      <w:r>
        <w:rPr>
          <w:rFonts w:cs="Arial"/>
          <w:color w:val="000000" w:themeColor="text1"/>
        </w:rPr>
        <w:t>The exception was the Johnstone Russell-Mulgrave sub</w:t>
      </w:r>
      <w:r w:rsidR="0008674E">
        <w:rPr>
          <w:rFonts w:cs="Arial"/>
          <w:color w:val="000000" w:themeColor="text1"/>
        </w:rPr>
        <w:t>-</w:t>
      </w:r>
      <w:r>
        <w:rPr>
          <w:rFonts w:cs="Arial"/>
          <w:color w:val="000000" w:themeColor="text1"/>
        </w:rPr>
        <w:t>region where there was no improvement, a result potentially influenced by ongoing low densities of COTS on these reefs.</w:t>
      </w:r>
      <w:r w:rsidR="00E75F5C">
        <w:rPr>
          <w:rFonts w:cs="Arial"/>
          <w:color w:val="000000" w:themeColor="text1"/>
        </w:rPr>
        <w:t xml:space="preserve"> </w:t>
      </w:r>
    </w:p>
    <w:p w14:paraId="4C5E4648" w14:textId="77777777" w:rsidR="00A462A9" w:rsidRPr="00F439FB" w:rsidRDefault="00A462A9" w:rsidP="00B9528B">
      <w:pPr>
        <w:pStyle w:val="Heading3"/>
      </w:pPr>
      <w:bookmarkStart w:id="287" w:name="_Toc493153342"/>
      <w:r w:rsidRPr="00F439FB">
        <w:t>Composition</w:t>
      </w:r>
      <w:bookmarkEnd w:id="287"/>
    </w:p>
    <w:p w14:paraId="57BB1DFC" w14:textId="2CF5F79C" w:rsidR="00A462A9" w:rsidRPr="00F45AEE" w:rsidRDefault="00A462A9" w:rsidP="00A462A9">
      <w:pPr>
        <w:rPr>
          <w:rFonts w:cs="Arial"/>
          <w:color w:val="000000" w:themeColor="text1"/>
        </w:rPr>
      </w:pPr>
      <w:r w:rsidRPr="00F45AEE">
        <w:rPr>
          <w:rFonts w:cs="Arial"/>
          <w:color w:val="000000" w:themeColor="text1"/>
        </w:rPr>
        <w:t xml:space="preserve">It is well documented that compositional differences in coral communities occur along environmental gradients (Done 1982, van Woesik &amp; Done 1997, van Woesik </w:t>
      </w:r>
      <w:r w:rsidRPr="00F45AEE">
        <w:rPr>
          <w:rFonts w:cs="Arial"/>
          <w:i/>
          <w:color w:val="000000" w:themeColor="text1"/>
        </w:rPr>
        <w:t>et al.</w:t>
      </w:r>
      <w:r w:rsidRPr="00F45AEE">
        <w:rPr>
          <w:rFonts w:cs="Arial"/>
          <w:color w:val="000000" w:themeColor="text1"/>
        </w:rPr>
        <w:t xml:space="preserve"> 1999, Fabricius </w:t>
      </w:r>
      <w:r w:rsidRPr="00F45AEE">
        <w:rPr>
          <w:rFonts w:cs="Arial"/>
          <w:i/>
          <w:color w:val="000000" w:themeColor="text1"/>
        </w:rPr>
        <w:t>et al.</w:t>
      </w:r>
      <w:r w:rsidRPr="00F45AEE">
        <w:rPr>
          <w:rFonts w:cs="Arial"/>
          <w:color w:val="000000" w:themeColor="text1"/>
        </w:rPr>
        <w:t xml:space="preserve"> 2005, De’ath &amp; Fabricius 2008, Browne </w:t>
      </w:r>
      <w:r w:rsidRPr="00F45AEE">
        <w:rPr>
          <w:rFonts w:cs="Arial"/>
          <w:i/>
          <w:color w:val="000000" w:themeColor="text1"/>
        </w:rPr>
        <w:t>et al</w:t>
      </w:r>
      <w:r w:rsidRPr="00F45AEE">
        <w:rPr>
          <w:rFonts w:cs="Arial"/>
          <w:color w:val="000000" w:themeColor="text1"/>
        </w:rPr>
        <w:t xml:space="preserve">. 2010, De’ath &amp; Fabricius 2010, Thompson </w:t>
      </w:r>
      <w:r w:rsidRPr="00F45AEE">
        <w:rPr>
          <w:rFonts w:cs="Arial"/>
          <w:i/>
          <w:color w:val="000000" w:themeColor="text1"/>
        </w:rPr>
        <w:t>et al.</w:t>
      </w:r>
      <w:r w:rsidR="00FC7695">
        <w:rPr>
          <w:rFonts w:cs="Arial"/>
          <w:color w:val="000000" w:themeColor="text1"/>
        </w:rPr>
        <w:t xml:space="preserve"> 2010</w:t>
      </w:r>
      <w:r w:rsidRPr="00F45AEE">
        <w:rPr>
          <w:rFonts w:cs="Arial"/>
          <w:color w:val="000000" w:themeColor="text1"/>
        </w:rPr>
        <w:t xml:space="preserve">, Uthicke </w:t>
      </w:r>
      <w:r w:rsidRPr="00F45AEE">
        <w:rPr>
          <w:rFonts w:cs="Arial"/>
          <w:i/>
          <w:color w:val="000000" w:themeColor="text1"/>
        </w:rPr>
        <w:t>et al</w:t>
      </w:r>
      <w:r w:rsidRPr="00F45AEE">
        <w:rPr>
          <w:rFonts w:cs="Arial"/>
          <w:color w:val="000000" w:themeColor="text1"/>
        </w:rPr>
        <w:t xml:space="preserve">. 2010, Browne </w:t>
      </w:r>
      <w:r w:rsidRPr="00F45AEE">
        <w:rPr>
          <w:rFonts w:cs="Arial"/>
          <w:i/>
          <w:color w:val="000000" w:themeColor="text1"/>
        </w:rPr>
        <w:t>et al</w:t>
      </w:r>
      <w:r w:rsidRPr="00F45AEE">
        <w:rPr>
          <w:rFonts w:cs="Arial"/>
          <w:color w:val="000000" w:themeColor="text1"/>
        </w:rPr>
        <w:t xml:space="preserve">. 2012, Fabricius </w:t>
      </w:r>
      <w:r w:rsidRPr="00F45AEE">
        <w:rPr>
          <w:rFonts w:cs="Arial"/>
          <w:i/>
          <w:color w:val="000000" w:themeColor="text1"/>
        </w:rPr>
        <w:t>et al</w:t>
      </w:r>
      <w:r w:rsidRPr="00F45AEE">
        <w:rPr>
          <w:rFonts w:cs="Arial"/>
          <w:color w:val="000000" w:themeColor="text1"/>
        </w:rPr>
        <w:t>. 2012). The relationships between disease and altered environmental conditions</w:t>
      </w:r>
      <w:r>
        <w:rPr>
          <w:rFonts w:cs="Arial"/>
          <w:color w:val="000000" w:themeColor="text1"/>
        </w:rPr>
        <w:t>,</w:t>
      </w:r>
      <w:r w:rsidRPr="00F45AEE">
        <w:rPr>
          <w:rFonts w:cs="Arial"/>
          <w:color w:val="000000" w:themeColor="text1"/>
        </w:rPr>
        <w:t xml:space="preserve"> </w:t>
      </w:r>
      <w:r>
        <w:rPr>
          <w:rFonts w:cs="Arial"/>
          <w:color w:val="000000" w:themeColor="text1"/>
        </w:rPr>
        <w:t>discussed</w:t>
      </w:r>
      <w:r w:rsidRPr="00F45AEE">
        <w:rPr>
          <w:rFonts w:cs="Arial"/>
          <w:color w:val="000000" w:themeColor="text1"/>
        </w:rPr>
        <w:t xml:space="preserve"> above</w:t>
      </w:r>
      <w:r>
        <w:rPr>
          <w:rFonts w:cs="Arial"/>
          <w:color w:val="000000" w:themeColor="text1"/>
        </w:rPr>
        <w:t>,</w:t>
      </w:r>
      <w:r w:rsidRPr="00F45AEE">
        <w:rPr>
          <w:rFonts w:cs="Arial"/>
          <w:color w:val="000000" w:themeColor="text1"/>
        </w:rPr>
        <w:t xml:space="preserve"> demonstrates the dynamic nature of coral community selection occurring on inshore reefs</w:t>
      </w:r>
      <w:r>
        <w:rPr>
          <w:rFonts w:cs="Arial"/>
          <w:color w:val="000000" w:themeColor="text1"/>
        </w:rPr>
        <w:t>. S</w:t>
      </w:r>
      <w:r w:rsidRPr="00F45AEE">
        <w:rPr>
          <w:rFonts w:cs="Arial"/>
          <w:color w:val="000000" w:themeColor="text1"/>
        </w:rPr>
        <w:t>ensitive species gain a foot-hold dur</w:t>
      </w:r>
      <w:r>
        <w:rPr>
          <w:rFonts w:cs="Arial"/>
          <w:color w:val="000000" w:themeColor="text1"/>
        </w:rPr>
        <w:t>ing relatively benign</w:t>
      </w:r>
      <w:r w:rsidRPr="00F45AEE">
        <w:rPr>
          <w:rFonts w:cs="Arial"/>
          <w:color w:val="000000" w:themeColor="text1"/>
        </w:rPr>
        <w:t>,</w:t>
      </w:r>
      <w:r>
        <w:rPr>
          <w:rFonts w:cs="Arial"/>
          <w:color w:val="000000" w:themeColor="text1"/>
        </w:rPr>
        <w:t xml:space="preserve"> low disturbance, conditions,</w:t>
      </w:r>
      <w:r w:rsidRPr="00F45AEE">
        <w:rPr>
          <w:rFonts w:cs="Arial"/>
          <w:color w:val="000000" w:themeColor="text1"/>
        </w:rPr>
        <w:t xml:space="preserve"> only to be removed during periods when environmental conditions are beyond their tolerance. </w:t>
      </w:r>
      <w:r>
        <w:rPr>
          <w:rFonts w:cs="Arial"/>
          <w:color w:val="000000" w:themeColor="text1"/>
        </w:rPr>
        <w:t>The</w:t>
      </w:r>
      <w:r w:rsidRPr="00F439FB">
        <w:rPr>
          <w:rFonts w:cs="Arial"/>
          <w:color w:val="4F81BD" w:themeColor="accent1"/>
        </w:rPr>
        <w:t xml:space="preserve"> </w:t>
      </w:r>
      <w:r w:rsidRPr="00F45AEE">
        <w:rPr>
          <w:rFonts w:cs="Arial"/>
          <w:color w:val="000000" w:themeColor="text1"/>
        </w:rPr>
        <w:t xml:space="preserve">coral community composition indicator has tended to track the trend in coral cover indicating the disproportionate loss, and subsequent recovery, of </w:t>
      </w:r>
      <w:r>
        <w:rPr>
          <w:rFonts w:cs="Arial"/>
          <w:color w:val="000000" w:themeColor="text1"/>
        </w:rPr>
        <w:t>genera</w:t>
      </w:r>
      <w:r w:rsidRPr="00F45AEE">
        <w:rPr>
          <w:rFonts w:cs="Arial"/>
          <w:color w:val="000000" w:themeColor="text1"/>
        </w:rPr>
        <w:t xml:space="preserve"> sensitive to water quality. </w:t>
      </w:r>
      <w:r>
        <w:rPr>
          <w:rFonts w:cs="Arial"/>
          <w:color w:val="000000" w:themeColor="text1"/>
        </w:rPr>
        <w:t xml:space="preserve">In 2016 the observation that there was a higher probability that the community composition indicator had improved at reefs with lower Chl </w:t>
      </w:r>
      <w:r w:rsidRPr="00CC4C22">
        <w:rPr>
          <w:rFonts w:cs="Arial"/>
          <w:i/>
          <w:color w:val="000000" w:themeColor="text1"/>
        </w:rPr>
        <w:t>a</w:t>
      </w:r>
      <w:r>
        <w:rPr>
          <w:rFonts w:cs="Arial"/>
          <w:color w:val="000000" w:themeColor="text1"/>
        </w:rPr>
        <w:t xml:space="preserve"> concentrations, suggests recovery was less evident at those reefs. </w:t>
      </w:r>
      <w:r w:rsidRPr="00F45AEE">
        <w:rPr>
          <w:rFonts w:cs="Arial"/>
          <w:color w:val="000000" w:themeColor="text1"/>
        </w:rPr>
        <w:t xml:space="preserve">The genus most susceptible to poor water quality is </w:t>
      </w:r>
      <w:r w:rsidRPr="00F45AEE">
        <w:rPr>
          <w:rFonts w:cs="Arial"/>
          <w:i/>
          <w:color w:val="000000" w:themeColor="text1"/>
        </w:rPr>
        <w:t>Acropora</w:t>
      </w:r>
      <w:r w:rsidRPr="00F45AEE">
        <w:rPr>
          <w:rFonts w:cs="Arial"/>
          <w:color w:val="000000" w:themeColor="text1"/>
        </w:rPr>
        <w:t>.</w:t>
      </w:r>
      <w:r>
        <w:rPr>
          <w:rFonts w:cs="Arial"/>
          <w:color w:val="000000" w:themeColor="text1"/>
        </w:rPr>
        <w:t xml:space="preserve"> As </w:t>
      </w:r>
      <w:r w:rsidRPr="00976E8C">
        <w:rPr>
          <w:rFonts w:cs="Arial"/>
          <w:i/>
          <w:color w:val="000000" w:themeColor="text1"/>
        </w:rPr>
        <w:t>Acropora</w:t>
      </w:r>
      <w:r w:rsidRPr="00683342">
        <w:rPr>
          <w:rFonts w:cs="Arial"/>
          <w:color w:val="000000" w:themeColor="text1"/>
        </w:rPr>
        <w:t xml:space="preserve"> is</w:t>
      </w:r>
      <w:r w:rsidRPr="00F45AEE">
        <w:rPr>
          <w:rFonts w:cs="Arial"/>
          <w:color w:val="000000" w:themeColor="text1"/>
        </w:rPr>
        <w:t xml:space="preserve"> also</w:t>
      </w:r>
      <w:r>
        <w:rPr>
          <w:rFonts w:cs="Arial"/>
          <w:color w:val="000000" w:themeColor="text1"/>
        </w:rPr>
        <w:t>,</w:t>
      </w:r>
      <w:r w:rsidRPr="00F45AEE">
        <w:rPr>
          <w:rFonts w:cs="Arial"/>
          <w:color w:val="000000" w:themeColor="text1"/>
        </w:rPr>
        <w:t xml:space="preserve"> fragile</w:t>
      </w:r>
      <w:r>
        <w:rPr>
          <w:rFonts w:cs="Arial"/>
          <w:color w:val="000000" w:themeColor="text1"/>
        </w:rPr>
        <w:t xml:space="preserve">, and so particularly </w:t>
      </w:r>
      <w:r w:rsidRPr="00F45AEE">
        <w:rPr>
          <w:rFonts w:cs="Arial"/>
          <w:color w:val="000000" w:themeColor="text1"/>
        </w:rPr>
        <w:t>susceptible to loss of cover during cyclones</w:t>
      </w:r>
      <w:r>
        <w:rPr>
          <w:rFonts w:cs="Arial"/>
          <w:color w:val="000000" w:themeColor="text1"/>
        </w:rPr>
        <w:t xml:space="preserve"> (Fabricius </w:t>
      </w:r>
      <w:r w:rsidRPr="00B102BD">
        <w:rPr>
          <w:rFonts w:cs="Arial"/>
          <w:i/>
          <w:color w:val="000000" w:themeColor="text1"/>
        </w:rPr>
        <w:t>et al</w:t>
      </w:r>
      <w:r>
        <w:rPr>
          <w:rFonts w:cs="Arial"/>
          <w:color w:val="000000" w:themeColor="text1"/>
        </w:rPr>
        <w:t>. 2008)</w:t>
      </w:r>
      <w:r w:rsidRPr="00F45AEE">
        <w:rPr>
          <w:rFonts w:cs="Arial"/>
          <w:color w:val="000000" w:themeColor="text1"/>
        </w:rPr>
        <w:t xml:space="preserve">, </w:t>
      </w:r>
      <w:r>
        <w:rPr>
          <w:rFonts w:cs="Arial"/>
          <w:color w:val="000000" w:themeColor="text1"/>
        </w:rPr>
        <w:t xml:space="preserve">sensitive to thermal bleaching (Marshal &amp; Baird 2000), and </w:t>
      </w:r>
      <w:r w:rsidRPr="00F45AEE">
        <w:rPr>
          <w:rFonts w:cs="Arial"/>
          <w:color w:val="000000" w:themeColor="text1"/>
        </w:rPr>
        <w:t>a preferred prey group for COTS (Pratchett 2007)</w:t>
      </w:r>
      <w:r>
        <w:rPr>
          <w:rFonts w:cs="Arial"/>
          <w:color w:val="000000" w:themeColor="text1"/>
        </w:rPr>
        <w:t>, means</w:t>
      </w:r>
      <w:r w:rsidRPr="00F45AEE">
        <w:rPr>
          <w:rFonts w:cs="Arial"/>
          <w:color w:val="000000" w:themeColor="text1"/>
        </w:rPr>
        <w:t xml:space="preserve"> that trends </w:t>
      </w:r>
      <w:r>
        <w:rPr>
          <w:rFonts w:cs="Arial"/>
          <w:color w:val="000000" w:themeColor="text1"/>
        </w:rPr>
        <w:t xml:space="preserve">in the composition indicator </w:t>
      </w:r>
      <w:r w:rsidRPr="00F45AEE">
        <w:rPr>
          <w:rFonts w:cs="Arial"/>
          <w:color w:val="000000" w:themeColor="text1"/>
        </w:rPr>
        <w:t>cannot unambiguously be interpreted as representing a response to</w:t>
      </w:r>
      <w:r>
        <w:rPr>
          <w:rFonts w:cs="Arial"/>
          <w:color w:val="000000" w:themeColor="text1"/>
        </w:rPr>
        <w:t>,</w:t>
      </w:r>
      <w:r w:rsidRPr="00F45AEE">
        <w:rPr>
          <w:rFonts w:cs="Arial"/>
          <w:color w:val="000000" w:themeColor="text1"/>
        </w:rPr>
        <w:t xml:space="preserve"> and subsequent release from</w:t>
      </w:r>
      <w:r>
        <w:rPr>
          <w:rFonts w:cs="Arial"/>
          <w:color w:val="000000" w:themeColor="text1"/>
        </w:rPr>
        <w:t>,</w:t>
      </w:r>
      <w:r w:rsidRPr="00F45AEE">
        <w:rPr>
          <w:rFonts w:cs="Arial"/>
          <w:color w:val="000000" w:themeColor="text1"/>
        </w:rPr>
        <w:t xml:space="preserve"> water quality pressures alone. Over the longer term, however, there is evidence that the representation of </w:t>
      </w:r>
      <w:r w:rsidRPr="00F45AEE">
        <w:rPr>
          <w:rFonts w:cs="Arial"/>
          <w:i/>
          <w:color w:val="000000" w:themeColor="text1"/>
        </w:rPr>
        <w:t>Acropora</w:t>
      </w:r>
      <w:r w:rsidRPr="00F45AEE">
        <w:rPr>
          <w:rFonts w:cs="Arial"/>
          <w:color w:val="000000" w:themeColor="text1"/>
        </w:rPr>
        <w:t xml:space="preserve"> on reefs in the Burdekin region has declined since the mid-20</w:t>
      </w:r>
      <w:r w:rsidRPr="00F45AEE">
        <w:rPr>
          <w:rFonts w:cs="Arial"/>
          <w:color w:val="000000" w:themeColor="text1"/>
          <w:vertAlign w:val="superscript"/>
        </w:rPr>
        <w:t>th</w:t>
      </w:r>
      <w:r w:rsidRPr="00F45AEE">
        <w:rPr>
          <w:rFonts w:cs="Arial"/>
          <w:color w:val="000000" w:themeColor="text1"/>
        </w:rPr>
        <w:t xml:space="preserve"> century, possibly as a result of increased </w:t>
      </w:r>
      <w:r w:rsidR="0042623E">
        <w:rPr>
          <w:rFonts w:cs="Arial"/>
          <w:color w:val="000000" w:themeColor="text1"/>
        </w:rPr>
        <w:t>run-off</w:t>
      </w:r>
      <w:r w:rsidRPr="00F45AEE">
        <w:rPr>
          <w:rFonts w:cs="Arial"/>
          <w:color w:val="000000" w:themeColor="text1"/>
        </w:rPr>
        <w:t xml:space="preserve"> from the adjacent catchments (Roff </w:t>
      </w:r>
      <w:r w:rsidRPr="00F45AEE">
        <w:rPr>
          <w:rFonts w:cs="Arial"/>
          <w:i/>
          <w:color w:val="000000" w:themeColor="text1"/>
        </w:rPr>
        <w:t>et al.</w:t>
      </w:r>
      <w:r w:rsidRPr="00F45AEE">
        <w:rPr>
          <w:rFonts w:cs="Arial"/>
          <w:color w:val="000000" w:themeColor="text1"/>
        </w:rPr>
        <w:t xml:space="preserve"> 2013). </w:t>
      </w:r>
      <w:r>
        <w:rPr>
          <w:rFonts w:cs="Arial"/>
          <w:color w:val="000000" w:themeColor="text1"/>
        </w:rPr>
        <w:t xml:space="preserve">This consideration makes the recent recovery of this group in the Burdekin Region particularly positive as demonstrates that there remains a capacity for these species to re-establish under the conditions experienced in recent years. </w:t>
      </w:r>
      <w:r w:rsidRPr="00F45AEE">
        <w:rPr>
          <w:rFonts w:cs="Arial"/>
          <w:color w:val="000000" w:themeColor="text1"/>
        </w:rPr>
        <w:t>As</w:t>
      </w:r>
      <w:r>
        <w:rPr>
          <w:rFonts w:cs="Arial"/>
          <w:color w:val="000000" w:themeColor="text1"/>
        </w:rPr>
        <w:t xml:space="preserve"> a</w:t>
      </w:r>
      <w:r w:rsidRPr="00F45AEE">
        <w:rPr>
          <w:rFonts w:cs="Arial"/>
          <w:color w:val="000000" w:themeColor="text1"/>
        </w:rPr>
        <w:t xml:space="preserve"> </w:t>
      </w:r>
      <w:r>
        <w:rPr>
          <w:rFonts w:cs="Arial"/>
          <w:color w:val="000000" w:themeColor="text1"/>
        </w:rPr>
        <w:t>genus including a high diversity of rapidly growing species,</w:t>
      </w:r>
      <w:r w:rsidRPr="00F45AEE">
        <w:rPr>
          <w:rFonts w:cs="Arial"/>
          <w:color w:val="000000" w:themeColor="text1"/>
        </w:rPr>
        <w:t xml:space="preserve"> the </w:t>
      </w:r>
      <w:r w:rsidRPr="00F45AEE">
        <w:rPr>
          <w:rFonts w:cs="Arial"/>
          <w:i/>
          <w:color w:val="000000" w:themeColor="text1"/>
        </w:rPr>
        <w:t>Acropora</w:t>
      </w:r>
      <w:r w:rsidRPr="00F45AEE">
        <w:rPr>
          <w:rFonts w:cs="Arial"/>
          <w:color w:val="000000" w:themeColor="text1"/>
        </w:rPr>
        <w:t xml:space="preserve"> </w:t>
      </w:r>
      <w:r>
        <w:rPr>
          <w:rFonts w:cs="Arial"/>
          <w:color w:val="000000" w:themeColor="text1"/>
        </w:rPr>
        <w:t xml:space="preserve">are a key group for the rapid </w:t>
      </w:r>
      <w:r w:rsidRPr="00F45AEE">
        <w:rPr>
          <w:rFonts w:cs="Arial"/>
          <w:color w:val="000000" w:themeColor="text1"/>
        </w:rPr>
        <w:t xml:space="preserve">recovery of coral cover and </w:t>
      </w:r>
      <w:r>
        <w:rPr>
          <w:rFonts w:cs="Arial"/>
          <w:color w:val="000000" w:themeColor="text1"/>
        </w:rPr>
        <w:t xml:space="preserve">maintenance of </w:t>
      </w:r>
      <w:r w:rsidRPr="00F45AEE">
        <w:rPr>
          <w:rFonts w:cs="Arial"/>
          <w:color w:val="000000" w:themeColor="text1"/>
        </w:rPr>
        <w:t xml:space="preserve">diversity on inshore reefs. </w:t>
      </w:r>
    </w:p>
    <w:p w14:paraId="407A209E" w14:textId="77777777" w:rsidR="00A462A9" w:rsidRPr="00F439FB" w:rsidRDefault="00A462A9" w:rsidP="00B9528B">
      <w:pPr>
        <w:pStyle w:val="Heading3"/>
      </w:pPr>
      <w:bookmarkStart w:id="288" w:name="_Toc493153343"/>
      <w:r w:rsidRPr="00F439FB">
        <w:t>Macroalgae</w:t>
      </w:r>
      <w:bookmarkEnd w:id="288"/>
      <w:r w:rsidRPr="00F439FB">
        <w:t xml:space="preserve"> </w:t>
      </w:r>
    </w:p>
    <w:p w14:paraId="28421F99" w14:textId="7328DE94" w:rsidR="00A462A9" w:rsidRPr="00596571" w:rsidRDefault="00A462A9" w:rsidP="00A462A9">
      <w:pPr>
        <w:rPr>
          <w:rFonts w:cs="Arial"/>
          <w:color w:val="000000" w:themeColor="text1"/>
        </w:rPr>
      </w:pPr>
      <w:r w:rsidRPr="00596571">
        <w:rPr>
          <w:rFonts w:cs="Arial"/>
          <w:color w:val="000000" w:themeColor="text1"/>
        </w:rPr>
        <w:t xml:space="preserve">Macroalgae generally benefit from increased nutrient availability due to </w:t>
      </w:r>
      <w:r w:rsidR="0042623E">
        <w:rPr>
          <w:rFonts w:cs="Arial"/>
          <w:color w:val="000000" w:themeColor="text1"/>
        </w:rPr>
        <w:t>run-off</w:t>
      </w:r>
      <w:r w:rsidRPr="00596571">
        <w:rPr>
          <w:rFonts w:cs="Arial"/>
          <w:color w:val="000000" w:themeColor="text1"/>
        </w:rPr>
        <w:t xml:space="preserve"> (e.g., Schaffelke </w:t>
      </w:r>
      <w:r w:rsidRPr="00596571">
        <w:rPr>
          <w:rFonts w:cs="Arial"/>
          <w:i/>
          <w:color w:val="000000" w:themeColor="text1"/>
        </w:rPr>
        <w:t>et al.</w:t>
      </w:r>
      <w:r w:rsidRPr="00596571">
        <w:rPr>
          <w:rFonts w:cs="Arial"/>
          <w:color w:val="000000" w:themeColor="text1"/>
        </w:rPr>
        <w:t xml:space="preserve"> 2005) and, as coral competitors, supress both coral growth and juvenile settlement or survival (e.g., Tanner 1995, McCook </w:t>
      </w:r>
      <w:r w:rsidRPr="00596571">
        <w:rPr>
          <w:rFonts w:cs="Arial"/>
          <w:i/>
          <w:color w:val="000000" w:themeColor="text1"/>
        </w:rPr>
        <w:t>et al.</w:t>
      </w:r>
      <w:r w:rsidRPr="00596571">
        <w:rPr>
          <w:rFonts w:cs="Arial"/>
          <w:color w:val="000000" w:themeColor="text1"/>
        </w:rPr>
        <w:t xml:space="preserve"> 2001, Birrell </w:t>
      </w:r>
      <w:r w:rsidRPr="00596571">
        <w:rPr>
          <w:rFonts w:cs="Arial"/>
          <w:i/>
          <w:color w:val="000000" w:themeColor="text1"/>
        </w:rPr>
        <w:t>et al.</w:t>
      </w:r>
      <w:r w:rsidRPr="00596571">
        <w:rPr>
          <w:rFonts w:cs="Arial"/>
          <w:color w:val="000000" w:themeColor="text1"/>
        </w:rPr>
        <w:t xml:space="preserve"> 2005, 2008). Clear </w:t>
      </w:r>
      <w:r>
        <w:rPr>
          <w:rFonts w:cs="Arial"/>
          <w:color w:val="000000" w:themeColor="text1"/>
        </w:rPr>
        <w:t xml:space="preserve">correlative </w:t>
      </w:r>
      <w:r w:rsidRPr="00596571">
        <w:rPr>
          <w:rFonts w:cs="Arial"/>
          <w:color w:val="000000" w:themeColor="text1"/>
        </w:rPr>
        <w:t xml:space="preserve">relationships between </w:t>
      </w:r>
      <w:r>
        <w:rPr>
          <w:rFonts w:cs="Arial"/>
          <w:color w:val="000000" w:themeColor="text1"/>
        </w:rPr>
        <w:t>Chl</w:t>
      </w:r>
      <w:r w:rsidRPr="00596571">
        <w:rPr>
          <w:rFonts w:cs="Arial"/>
          <w:color w:val="000000" w:themeColor="text1"/>
        </w:rPr>
        <w:t xml:space="preserve"> </w:t>
      </w:r>
      <w:r w:rsidRPr="00596571">
        <w:rPr>
          <w:rFonts w:cs="Arial"/>
          <w:i/>
          <w:color w:val="000000" w:themeColor="text1"/>
        </w:rPr>
        <w:t>a</w:t>
      </w:r>
      <w:r w:rsidRPr="00596571">
        <w:rPr>
          <w:rFonts w:cs="Arial"/>
          <w:color w:val="000000" w:themeColor="text1"/>
        </w:rPr>
        <w:t xml:space="preserve"> concentrations</w:t>
      </w:r>
      <w:r>
        <w:rPr>
          <w:rFonts w:cs="Arial"/>
          <w:color w:val="000000" w:themeColor="text1"/>
        </w:rPr>
        <w:t>,</w:t>
      </w:r>
      <w:r w:rsidRPr="00596571">
        <w:rPr>
          <w:rFonts w:cs="Arial"/>
          <w:color w:val="000000" w:themeColor="text1"/>
        </w:rPr>
        <w:t xml:space="preserve"> a proxy for nutrient availability</w:t>
      </w:r>
      <w:r>
        <w:rPr>
          <w:rFonts w:cs="Arial"/>
          <w:color w:val="000000" w:themeColor="text1"/>
        </w:rPr>
        <w:t>,</w:t>
      </w:r>
      <w:r w:rsidRPr="00596571">
        <w:rPr>
          <w:rFonts w:cs="Arial"/>
          <w:color w:val="000000" w:themeColor="text1"/>
        </w:rPr>
        <w:t xml:space="preserve"> and the proportion of macroalgae</w:t>
      </w:r>
      <w:r>
        <w:rPr>
          <w:rFonts w:cs="Arial"/>
          <w:color w:val="000000" w:themeColor="text1"/>
        </w:rPr>
        <w:t xml:space="preserve"> link nutrient availability to reduced coral community resilience in inshore areas of the Reef</w:t>
      </w:r>
      <w:r w:rsidRPr="00596571">
        <w:rPr>
          <w:rFonts w:cs="Arial"/>
          <w:color w:val="000000" w:themeColor="text1"/>
        </w:rPr>
        <w:t xml:space="preserve">. Unlike the coral indicators that are plausibly responsive to water quality extremes, </w:t>
      </w:r>
      <w:r>
        <w:rPr>
          <w:rFonts w:cs="Arial"/>
          <w:color w:val="000000" w:themeColor="text1"/>
        </w:rPr>
        <w:t xml:space="preserve">the observation of macroalgae during winter surveys may </w:t>
      </w:r>
      <w:r w:rsidR="00515D38">
        <w:rPr>
          <w:rFonts w:cs="Arial"/>
          <w:color w:val="000000" w:themeColor="text1"/>
        </w:rPr>
        <w:t>suggest</w:t>
      </w:r>
      <w:r>
        <w:rPr>
          <w:rFonts w:cs="Arial"/>
          <w:color w:val="000000" w:themeColor="text1"/>
        </w:rPr>
        <w:t xml:space="preserve"> </w:t>
      </w:r>
      <w:r w:rsidRPr="00596571">
        <w:rPr>
          <w:rFonts w:cs="Arial"/>
          <w:color w:val="000000" w:themeColor="text1"/>
        </w:rPr>
        <w:t>that ambient water quality levels</w:t>
      </w:r>
      <w:r>
        <w:rPr>
          <w:rFonts w:cs="Arial"/>
          <w:color w:val="000000" w:themeColor="text1"/>
        </w:rPr>
        <w:t xml:space="preserve"> are also important for the maintenance of high macroalgal cover</w:t>
      </w:r>
      <w:r w:rsidRPr="00596571">
        <w:rPr>
          <w:rFonts w:cs="Arial"/>
          <w:color w:val="000000" w:themeColor="text1"/>
        </w:rPr>
        <w:t xml:space="preserve">. </w:t>
      </w:r>
      <w:r>
        <w:rPr>
          <w:rFonts w:cs="Arial"/>
          <w:color w:val="000000" w:themeColor="text1"/>
        </w:rPr>
        <w:t xml:space="preserve">Although </w:t>
      </w:r>
      <w:r w:rsidRPr="00596571">
        <w:rPr>
          <w:rFonts w:cs="Arial"/>
          <w:color w:val="000000" w:themeColor="text1"/>
        </w:rPr>
        <w:t xml:space="preserve">reef specific thresholds for macroalgae </w:t>
      </w:r>
      <w:r>
        <w:rPr>
          <w:rFonts w:cs="Arial"/>
          <w:color w:val="000000" w:themeColor="text1"/>
        </w:rPr>
        <w:t xml:space="preserve">allow for increased abundance of macroalgae in response to naturally occurring gradients of water quality, results in </w:t>
      </w:r>
      <w:r w:rsidRPr="00596571">
        <w:rPr>
          <w:rFonts w:cs="Arial"/>
          <w:color w:val="000000" w:themeColor="text1"/>
        </w:rPr>
        <w:t xml:space="preserve">2016 </w:t>
      </w:r>
      <w:r>
        <w:rPr>
          <w:rFonts w:cs="Arial"/>
          <w:color w:val="000000" w:themeColor="text1"/>
        </w:rPr>
        <w:t xml:space="preserve">demonstrate that, where long-term Chl </w:t>
      </w:r>
      <w:r w:rsidRPr="009870E0">
        <w:rPr>
          <w:rFonts w:cs="Arial"/>
          <w:i/>
          <w:color w:val="000000" w:themeColor="text1"/>
        </w:rPr>
        <w:t>a</w:t>
      </w:r>
      <w:r>
        <w:rPr>
          <w:rFonts w:cs="Arial"/>
          <w:color w:val="000000" w:themeColor="text1"/>
        </w:rPr>
        <w:t xml:space="preserve"> concentrations exceed guideline levels, macroalgae are persisting at </w:t>
      </w:r>
      <w:r w:rsidRPr="00596571">
        <w:rPr>
          <w:rFonts w:cs="Arial"/>
          <w:color w:val="000000" w:themeColor="text1"/>
        </w:rPr>
        <w:t>levels likely to have detrimental influences on coral recruitment and growth.</w:t>
      </w:r>
    </w:p>
    <w:p w14:paraId="0BC2EE07" w14:textId="77777777" w:rsidR="00A462A9" w:rsidRDefault="00A462A9" w:rsidP="00A462A9">
      <w:pPr>
        <w:rPr>
          <w:rFonts w:cs="Arial"/>
          <w:color w:val="000000" w:themeColor="text1"/>
        </w:rPr>
      </w:pPr>
      <w:r w:rsidRPr="00596571">
        <w:rPr>
          <w:rFonts w:cs="Arial"/>
          <w:color w:val="000000" w:themeColor="text1"/>
        </w:rPr>
        <w:t xml:space="preserve">It is important to note that the relationship between high </w:t>
      </w:r>
      <w:r>
        <w:rPr>
          <w:rFonts w:cs="Arial"/>
          <w:color w:val="000000" w:themeColor="text1"/>
        </w:rPr>
        <w:t xml:space="preserve">Chl </w:t>
      </w:r>
      <w:r w:rsidRPr="00596571">
        <w:rPr>
          <w:rFonts w:cs="Arial"/>
          <w:i/>
          <w:color w:val="000000" w:themeColor="text1"/>
        </w:rPr>
        <w:t>a</w:t>
      </w:r>
      <w:r w:rsidRPr="00596571">
        <w:rPr>
          <w:rFonts w:cs="Arial"/>
          <w:color w:val="000000" w:themeColor="text1"/>
        </w:rPr>
        <w:t xml:space="preserve"> concentration and macroalgae cover is correlative only and does not </w:t>
      </w:r>
      <w:r>
        <w:rPr>
          <w:rFonts w:cs="Arial"/>
          <w:color w:val="000000" w:themeColor="text1"/>
        </w:rPr>
        <w:t xml:space="preserve">necessarily </w:t>
      </w:r>
      <w:r w:rsidRPr="00596571">
        <w:rPr>
          <w:rFonts w:cs="Arial"/>
          <w:color w:val="000000" w:themeColor="text1"/>
        </w:rPr>
        <w:t xml:space="preserve">indicate a </w:t>
      </w:r>
      <w:r>
        <w:rPr>
          <w:rFonts w:cs="Arial"/>
          <w:color w:val="000000" w:themeColor="text1"/>
        </w:rPr>
        <w:t xml:space="preserve">direct </w:t>
      </w:r>
      <w:r w:rsidRPr="00596571">
        <w:rPr>
          <w:rFonts w:cs="Arial"/>
          <w:color w:val="000000" w:themeColor="text1"/>
        </w:rPr>
        <w:t>cause-effect relationship</w:t>
      </w:r>
      <w:r>
        <w:rPr>
          <w:rFonts w:cs="Arial"/>
          <w:color w:val="000000" w:themeColor="text1"/>
        </w:rPr>
        <w:t xml:space="preserve"> between nutrient concentrations and pressures imposed by macroalgae</w:t>
      </w:r>
      <w:r w:rsidRPr="00596571">
        <w:rPr>
          <w:rFonts w:cs="Arial"/>
          <w:color w:val="000000" w:themeColor="text1"/>
        </w:rPr>
        <w:t xml:space="preserve">. </w:t>
      </w:r>
      <w:r>
        <w:rPr>
          <w:rFonts w:cs="Arial"/>
          <w:color w:val="000000" w:themeColor="text1"/>
        </w:rPr>
        <w:t>Chl</w:t>
      </w:r>
      <w:r w:rsidRPr="00596571">
        <w:rPr>
          <w:rFonts w:cs="Arial"/>
          <w:color w:val="000000" w:themeColor="text1"/>
        </w:rPr>
        <w:t xml:space="preserve"> </w:t>
      </w:r>
      <w:r w:rsidRPr="00596571">
        <w:rPr>
          <w:rFonts w:cs="Arial"/>
          <w:i/>
          <w:color w:val="000000" w:themeColor="text1"/>
        </w:rPr>
        <w:t>a</w:t>
      </w:r>
      <w:r w:rsidRPr="00596571">
        <w:rPr>
          <w:rFonts w:cs="Arial"/>
          <w:color w:val="000000" w:themeColor="text1"/>
        </w:rPr>
        <w:t xml:space="preserve"> may be a proxy for environmental variables or ecological processes</w:t>
      </w:r>
      <w:r>
        <w:rPr>
          <w:rFonts w:cs="Arial"/>
          <w:color w:val="000000" w:themeColor="text1"/>
        </w:rPr>
        <w:t xml:space="preserve"> other than the direct availability of nutrients </w:t>
      </w:r>
      <w:r w:rsidRPr="00596571">
        <w:rPr>
          <w:rFonts w:cs="Arial"/>
          <w:color w:val="000000" w:themeColor="text1"/>
        </w:rPr>
        <w:t xml:space="preserve">that influence macroalgae </w:t>
      </w:r>
      <w:r>
        <w:rPr>
          <w:rFonts w:cs="Arial"/>
          <w:color w:val="000000" w:themeColor="text1"/>
        </w:rPr>
        <w:t>abundance</w:t>
      </w:r>
      <w:r w:rsidRPr="00596571">
        <w:rPr>
          <w:rFonts w:cs="Arial"/>
          <w:color w:val="000000" w:themeColor="text1"/>
        </w:rPr>
        <w:t xml:space="preserve">. Wismer </w:t>
      </w:r>
      <w:r w:rsidRPr="00596571">
        <w:rPr>
          <w:rFonts w:cs="Arial"/>
          <w:i/>
          <w:color w:val="000000" w:themeColor="text1"/>
        </w:rPr>
        <w:t>et al.</w:t>
      </w:r>
      <w:r w:rsidRPr="00596571">
        <w:rPr>
          <w:rFonts w:cs="Arial"/>
          <w:color w:val="000000" w:themeColor="text1"/>
        </w:rPr>
        <w:t xml:space="preserve"> (2009) </w:t>
      </w:r>
      <w:r>
        <w:rPr>
          <w:rFonts w:cs="Arial"/>
          <w:color w:val="000000" w:themeColor="text1"/>
        </w:rPr>
        <w:t xml:space="preserve">demonstrate an inverse relationship between macroalgal cover and herbivore biomass and </w:t>
      </w:r>
      <w:r w:rsidRPr="00596571">
        <w:rPr>
          <w:rFonts w:cs="Arial"/>
          <w:color w:val="000000" w:themeColor="text1"/>
        </w:rPr>
        <w:t xml:space="preserve">Cheal </w:t>
      </w:r>
      <w:r w:rsidRPr="00596571">
        <w:rPr>
          <w:rFonts w:cs="Arial"/>
          <w:i/>
          <w:color w:val="000000" w:themeColor="text1"/>
        </w:rPr>
        <w:t>et al.</w:t>
      </w:r>
      <w:r w:rsidRPr="00596571">
        <w:rPr>
          <w:rFonts w:cs="Arial"/>
          <w:color w:val="000000" w:themeColor="text1"/>
        </w:rPr>
        <w:t xml:space="preserve"> (2013)</w:t>
      </w:r>
      <w:r>
        <w:rPr>
          <w:rFonts w:cs="Arial"/>
          <w:color w:val="000000" w:themeColor="text1"/>
        </w:rPr>
        <w:t xml:space="preserve"> link this relationship to water quality by demonstrating a decline in </w:t>
      </w:r>
      <w:r w:rsidRPr="00596571">
        <w:rPr>
          <w:rFonts w:cs="Arial"/>
          <w:color w:val="000000" w:themeColor="text1"/>
        </w:rPr>
        <w:t>herbivorous fish populations with increasing turbidity</w:t>
      </w:r>
      <w:r>
        <w:rPr>
          <w:rFonts w:cs="Arial"/>
          <w:color w:val="000000" w:themeColor="text1"/>
        </w:rPr>
        <w:t xml:space="preserve">. Importantly, the reduction in herbivore biomass noted by Cheal </w:t>
      </w:r>
      <w:r w:rsidRPr="00245E88">
        <w:rPr>
          <w:rFonts w:cs="Arial"/>
          <w:i/>
          <w:color w:val="000000" w:themeColor="text1"/>
        </w:rPr>
        <w:t>et al.</w:t>
      </w:r>
      <w:r>
        <w:rPr>
          <w:rFonts w:cs="Arial"/>
          <w:color w:val="000000" w:themeColor="text1"/>
        </w:rPr>
        <w:t xml:space="preserve"> (2013) occurred on the LTMP survey reefs included in this report and are among the reefs toward the better end of the strong water quality gradient in inshore waters. The higher turbidity at of the majority of reefs surveyed under the MMP suggest even lower biomass of herbivorous fishes.</w:t>
      </w:r>
      <w:r w:rsidRPr="00596571">
        <w:rPr>
          <w:rFonts w:cs="Arial"/>
          <w:color w:val="000000" w:themeColor="text1"/>
        </w:rPr>
        <w:t xml:space="preserve"> </w:t>
      </w:r>
    </w:p>
    <w:p w14:paraId="503233EC" w14:textId="01EFDBD7" w:rsidR="00A462A9" w:rsidRPr="00596571" w:rsidRDefault="00A462A9" w:rsidP="00A462A9">
      <w:pPr>
        <w:rPr>
          <w:rFonts w:cs="Arial"/>
          <w:color w:val="000000" w:themeColor="text1"/>
        </w:rPr>
      </w:pPr>
      <w:r w:rsidRPr="00596571">
        <w:rPr>
          <w:rFonts w:cs="Arial"/>
          <w:color w:val="000000" w:themeColor="text1"/>
        </w:rPr>
        <w:t>Grazing is a key process for the control of macroalgal blooms and research demonstrat</w:t>
      </w:r>
      <w:r>
        <w:rPr>
          <w:rFonts w:cs="Arial"/>
          <w:color w:val="000000" w:themeColor="text1"/>
        </w:rPr>
        <w:t>es</w:t>
      </w:r>
      <w:r w:rsidRPr="00596571">
        <w:rPr>
          <w:rFonts w:cs="Arial"/>
          <w:color w:val="000000" w:themeColor="text1"/>
        </w:rPr>
        <w:t xml:space="preserve"> the importance of the maintenance of herbivore populations to avoid a phase shift to macroalgae (e.g. Hughes </w:t>
      </w:r>
      <w:r w:rsidRPr="00596571">
        <w:rPr>
          <w:rFonts w:cs="Arial"/>
          <w:i/>
          <w:color w:val="000000" w:themeColor="text1"/>
        </w:rPr>
        <w:t>et al.</w:t>
      </w:r>
      <w:r w:rsidRPr="00596571">
        <w:rPr>
          <w:rFonts w:cs="Arial"/>
          <w:color w:val="000000" w:themeColor="text1"/>
        </w:rPr>
        <w:t xml:space="preserve"> 2007). Within the Burdekin region Hughes </w:t>
      </w:r>
      <w:r w:rsidRPr="00596571">
        <w:rPr>
          <w:rFonts w:cs="Arial"/>
          <w:i/>
          <w:color w:val="000000" w:themeColor="text1"/>
        </w:rPr>
        <w:t>et al.</w:t>
      </w:r>
      <w:r w:rsidRPr="00596571">
        <w:rPr>
          <w:rFonts w:cs="Arial"/>
          <w:color w:val="000000" w:themeColor="text1"/>
        </w:rPr>
        <w:t xml:space="preserve"> </w:t>
      </w:r>
      <w:r>
        <w:rPr>
          <w:rFonts w:cs="Arial"/>
          <w:color w:val="000000" w:themeColor="text1"/>
        </w:rPr>
        <w:t>(</w:t>
      </w:r>
      <w:r w:rsidRPr="00596571">
        <w:rPr>
          <w:rFonts w:cs="Arial"/>
          <w:color w:val="000000" w:themeColor="text1"/>
        </w:rPr>
        <w:t>2007</w:t>
      </w:r>
      <w:r>
        <w:rPr>
          <w:rFonts w:cs="Arial"/>
          <w:color w:val="000000" w:themeColor="text1"/>
        </w:rPr>
        <w:t>)</w:t>
      </w:r>
      <w:r w:rsidRPr="00596571">
        <w:rPr>
          <w:rFonts w:cs="Arial"/>
          <w:color w:val="000000" w:themeColor="text1"/>
        </w:rPr>
        <w:t xml:space="preserve"> demonstrated that dense macroalgal communities could be supported in the absence of grazing on a reef with generally low cover of fleshy macroalgae, partly divorcing macroalgae biomass from direct relationship to </w:t>
      </w:r>
      <w:r>
        <w:rPr>
          <w:rFonts w:cs="Arial"/>
          <w:color w:val="000000" w:themeColor="text1"/>
        </w:rPr>
        <w:t>water-quality</w:t>
      </w:r>
      <w:r w:rsidRPr="00596571">
        <w:rPr>
          <w:rFonts w:cs="Arial"/>
          <w:color w:val="000000" w:themeColor="text1"/>
        </w:rPr>
        <w:t xml:space="preserve"> alone. The relative influences of herbivory and nutrients on coral reef macroalgae is undoubtedly complex and likely to “depend on the species, circumstances and life-history processes under consideration” (Diaz-Pulido &amp; McCook 2003). Irrespective of the underlying mechanism </w:t>
      </w:r>
      <w:r>
        <w:rPr>
          <w:rFonts w:cs="Arial"/>
          <w:color w:val="000000" w:themeColor="text1"/>
        </w:rPr>
        <w:t xml:space="preserve">that </w:t>
      </w:r>
      <w:r w:rsidRPr="00596571">
        <w:rPr>
          <w:rFonts w:cs="Arial"/>
          <w:color w:val="000000" w:themeColor="text1"/>
        </w:rPr>
        <w:t>limit</w:t>
      </w:r>
      <w:r>
        <w:rPr>
          <w:rFonts w:cs="Arial"/>
          <w:color w:val="000000" w:themeColor="text1"/>
        </w:rPr>
        <w:t>s</w:t>
      </w:r>
      <w:r w:rsidRPr="00596571">
        <w:rPr>
          <w:rFonts w:cs="Arial"/>
          <w:color w:val="000000" w:themeColor="text1"/>
        </w:rPr>
        <w:t xml:space="preserve"> macroalgae on reefs with lower </w:t>
      </w:r>
      <w:r>
        <w:rPr>
          <w:rFonts w:cs="Arial"/>
          <w:color w:val="000000" w:themeColor="text1"/>
        </w:rPr>
        <w:t>Chl</w:t>
      </w:r>
      <w:r w:rsidRPr="00596571">
        <w:rPr>
          <w:rFonts w:cs="Arial"/>
          <w:color w:val="000000" w:themeColor="text1"/>
        </w:rPr>
        <w:t xml:space="preserve"> </w:t>
      </w:r>
      <w:r w:rsidRPr="00596571">
        <w:rPr>
          <w:rFonts w:cs="Arial"/>
          <w:i/>
          <w:color w:val="000000" w:themeColor="text1"/>
        </w:rPr>
        <w:t>a</w:t>
      </w:r>
      <w:r w:rsidRPr="00596571">
        <w:rPr>
          <w:rFonts w:cs="Arial"/>
          <w:color w:val="000000" w:themeColor="text1"/>
        </w:rPr>
        <w:t xml:space="preserve"> concentrations</w:t>
      </w:r>
      <w:r>
        <w:rPr>
          <w:rFonts w:cs="Arial"/>
          <w:color w:val="000000" w:themeColor="text1"/>
        </w:rPr>
        <w:t>,</w:t>
      </w:r>
      <w:r w:rsidRPr="00596571">
        <w:rPr>
          <w:rFonts w:cs="Arial"/>
          <w:color w:val="000000" w:themeColor="text1"/>
        </w:rPr>
        <w:t xml:space="preserve"> </w:t>
      </w:r>
      <w:r>
        <w:rPr>
          <w:rFonts w:cs="Arial"/>
          <w:color w:val="000000" w:themeColor="text1"/>
        </w:rPr>
        <w:t>our results</w:t>
      </w:r>
      <w:r w:rsidRPr="00596571">
        <w:rPr>
          <w:rFonts w:cs="Arial"/>
          <w:color w:val="000000" w:themeColor="text1"/>
        </w:rPr>
        <w:t xml:space="preserve"> demonstrate that the</w:t>
      </w:r>
      <w:r>
        <w:rPr>
          <w:rFonts w:cs="Arial"/>
          <w:color w:val="000000" w:themeColor="text1"/>
        </w:rPr>
        <w:t xml:space="preserve"> environmental conditions</w:t>
      </w:r>
      <w:r w:rsidRPr="00596571">
        <w:rPr>
          <w:rFonts w:cs="Arial"/>
          <w:color w:val="000000" w:themeColor="text1"/>
        </w:rPr>
        <w:t xml:space="preserve"> </w:t>
      </w:r>
      <w:r>
        <w:rPr>
          <w:rFonts w:cs="Arial"/>
          <w:color w:val="000000" w:themeColor="text1"/>
        </w:rPr>
        <w:t>at sites with</w:t>
      </w:r>
      <w:r w:rsidRPr="00596571">
        <w:rPr>
          <w:rFonts w:cs="Arial"/>
          <w:color w:val="000000" w:themeColor="text1"/>
        </w:rPr>
        <w:t xml:space="preserve"> </w:t>
      </w:r>
      <w:r>
        <w:rPr>
          <w:rFonts w:cs="Arial"/>
          <w:color w:val="000000" w:themeColor="text1"/>
        </w:rPr>
        <w:t>Chl</w:t>
      </w:r>
      <w:r w:rsidRPr="00596571">
        <w:rPr>
          <w:rFonts w:cs="Arial"/>
          <w:color w:val="000000" w:themeColor="text1"/>
        </w:rPr>
        <w:t xml:space="preserve"> </w:t>
      </w:r>
      <w:r w:rsidRPr="00596571">
        <w:rPr>
          <w:rFonts w:cs="Arial"/>
          <w:i/>
          <w:color w:val="000000" w:themeColor="text1"/>
        </w:rPr>
        <w:t>a</w:t>
      </w:r>
      <w:r w:rsidRPr="00596571">
        <w:rPr>
          <w:rFonts w:cs="Arial"/>
          <w:color w:val="000000" w:themeColor="text1"/>
        </w:rPr>
        <w:t xml:space="preserve"> concentrations above guideline values </w:t>
      </w:r>
      <w:r>
        <w:rPr>
          <w:rFonts w:cs="Arial"/>
          <w:color w:val="000000" w:themeColor="text1"/>
        </w:rPr>
        <w:t>also</w:t>
      </w:r>
      <w:r w:rsidRPr="00596571">
        <w:rPr>
          <w:rFonts w:cs="Arial"/>
          <w:color w:val="000000" w:themeColor="text1"/>
        </w:rPr>
        <w:t xml:space="preserve"> support macroalgal biomass at levels detrimental to coral community resilience.</w:t>
      </w:r>
    </w:p>
    <w:p w14:paraId="30FEB31C" w14:textId="77777777" w:rsidR="00A462A9" w:rsidRPr="00F439FB" w:rsidRDefault="00A462A9" w:rsidP="00B9528B">
      <w:pPr>
        <w:pStyle w:val="Heading3"/>
      </w:pPr>
      <w:bookmarkStart w:id="289" w:name="_Toc493153344"/>
      <w:r w:rsidRPr="00F439FB">
        <w:t>Juvenile density</w:t>
      </w:r>
      <w:bookmarkEnd w:id="289"/>
    </w:p>
    <w:p w14:paraId="362A12DD" w14:textId="69D1752F" w:rsidR="00A462A9" w:rsidRDefault="00A462A9" w:rsidP="00A462A9">
      <w:pPr>
        <w:rPr>
          <w:rFonts w:cs="Arial"/>
          <w:color w:val="000000" w:themeColor="text1"/>
        </w:rPr>
      </w:pPr>
      <w:r w:rsidRPr="00596571">
        <w:rPr>
          <w:rFonts w:cs="Arial"/>
          <w:color w:val="000000" w:themeColor="text1"/>
        </w:rPr>
        <w:t xml:space="preserve">The density of juvenile corals has remained stable or improved in all regions since 2013. This reverses the declining trends that coincided with the period of high nutrient, sediment and pesticide loads entering the Reef from 2008-2012. The early life history stages of corals are sensitive to a range of water quality parameters that vary in response to </w:t>
      </w:r>
      <w:r w:rsidR="0042623E">
        <w:rPr>
          <w:rFonts w:cs="Arial"/>
          <w:color w:val="000000" w:themeColor="text1"/>
        </w:rPr>
        <w:t>run-off</w:t>
      </w:r>
      <w:r w:rsidRPr="00596571">
        <w:rPr>
          <w:rFonts w:cs="Arial"/>
          <w:color w:val="000000" w:themeColor="text1"/>
        </w:rPr>
        <w:t xml:space="preserve"> (Fabricius</w:t>
      </w:r>
      <w:r>
        <w:rPr>
          <w:rFonts w:cs="Arial"/>
          <w:color w:val="000000" w:themeColor="text1"/>
        </w:rPr>
        <w:t xml:space="preserve"> 2011</w:t>
      </w:r>
      <w:r w:rsidRPr="00596571">
        <w:rPr>
          <w:rFonts w:cs="Arial"/>
          <w:color w:val="000000" w:themeColor="text1"/>
        </w:rPr>
        <w:t>). Th</w:t>
      </w:r>
      <w:r>
        <w:rPr>
          <w:rFonts w:cs="Arial"/>
          <w:color w:val="000000" w:themeColor="text1"/>
        </w:rPr>
        <w:t>at the</w:t>
      </w:r>
      <w:r w:rsidRPr="00596571">
        <w:rPr>
          <w:rFonts w:cs="Arial"/>
          <w:color w:val="000000" w:themeColor="text1"/>
        </w:rPr>
        <w:t xml:space="preserve"> observed declines in the number of juvenile corals occurred at reefs across the range of exposures to poor water quality</w:t>
      </w:r>
      <w:r>
        <w:rPr>
          <w:rFonts w:cs="Arial"/>
          <w:color w:val="000000" w:themeColor="text1"/>
        </w:rPr>
        <w:t xml:space="preserve"> </w:t>
      </w:r>
      <w:r w:rsidRPr="00596571">
        <w:rPr>
          <w:rFonts w:cs="Arial"/>
          <w:color w:val="000000" w:themeColor="text1"/>
        </w:rPr>
        <w:t>indicates that the causes of these declines are not clearly linked to a single environmental threshold. Rather, the stressors influencing larval settlement and/or subsequent survival are likely to vary across environmental gradients. Confounding direct links between water quality and coral recruitment will be secondary influences of water quality, such as the presence/absence of persistent macroalgal communities, as well as factors like reduced brood-stock due to disturbance events that are</w:t>
      </w:r>
      <w:r>
        <w:rPr>
          <w:rFonts w:cs="Arial"/>
          <w:color w:val="000000" w:themeColor="text1"/>
        </w:rPr>
        <w:t>,</w:t>
      </w:r>
      <w:r w:rsidRPr="00596571">
        <w:rPr>
          <w:rFonts w:cs="Arial"/>
          <w:color w:val="000000" w:themeColor="text1"/>
        </w:rPr>
        <w:t xml:space="preserve"> </w:t>
      </w:r>
      <w:r>
        <w:rPr>
          <w:rFonts w:cs="Arial"/>
          <w:color w:val="000000" w:themeColor="text1"/>
        </w:rPr>
        <w:t>mostly, independent of</w:t>
      </w:r>
      <w:r w:rsidR="00E75F5C">
        <w:rPr>
          <w:rFonts w:cs="Arial"/>
          <w:color w:val="000000" w:themeColor="text1"/>
        </w:rPr>
        <w:t xml:space="preserve"> </w:t>
      </w:r>
      <w:r w:rsidRPr="00596571">
        <w:rPr>
          <w:rFonts w:cs="Arial"/>
          <w:color w:val="000000" w:themeColor="text1"/>
        </w:rPr>
        <w:t xml:space="preserve">water quality. As this indicator aggregates over at least 2 cohorts of juvenile corals, the influence of acute disturbances that remove juvenile corals will lead to a reduction in juvenile densities for at least 2 years. </w:t>
      </w:r>
    </w:p>
    <w:p w14:paraId="07226C06" w14:textId="79300A01" w:rsidR="00A462A9" w:rsidRDefault="00A462A9" w:rsidP="00A462A9">
      <w:pPr>
        <w:rPr>
          <w:rFonts w:cs="Arial"/>
          <w:color w:val="000000" w:themeColor="text1"/>
        </w:rPr>
      </w:pPr>
      <w:r w:rsidRPr="00596571">
        <w:rPr>
          <w:rFonts w:cs="Arial"/>
          <w:color w:val="000000" w:themeColor="text1"/>
        </w:rPr>
        <w:t xml:space="preserve">The density of juvenile corals remains low in both the Barron Daintree sub-region, where Cyclone Ita substantially impacted communities in 2014, and the Fitzroy Region where flooding in 2011 </w:t>
      </w:r>
      <w:r>
        <w:rPr>
          <w:rFonts w:cs="Arial"/>
          <w:color w:val="000000" w:themeColor="text1"/>
        </w:rPr>
        <w:t xml:space="preserve">removed a high proportion corals in shallow waters </w:t>
      </w:r>
      <w:r w:rsidRPr="00596571">
        <w:rPr>
          <w:rFonts w:cs="Arial"/>
          <w:color w:val="000000" w:themeColor="text1"/>
        </w:rPr>
        <w:t>result</w:t>
      </w:r>
      <w:r>
        <w:rPr>
          <w:rFonts w:cs="Arial"/>
          <w:color w:val="000000" w:themeColor="text1"/>
        </w:rPr>
        <w:t xml:space="preserve">ing </w:t>
      </w:r>
      <w:r w:rsidRPr="00596571">
        <w:rPr>
          <w:rFonts w:cs="Arial"/>
          <w:color w:val="000000" w:themeColor="text1"/>
        </w:rPr>
        <w:t>in a marked reduction of local brood-stock</w:t>
      </w:r>
      <w:r>
        <w:rPr>
          <w:rFonts w:cs="Arial"/>
          <w:color w:val="000000" w:themeColor="text1"/>
        </w:rPr>
        <w:t xml:space="preserve"> and the subsequent proliferation of macroalgae, that has persisted through to 2016</w:t>
      </w:r>
      <w:r w:rsidRPr="00596571">
        <w:rPr>
          <w:rFonts w:cs="Arial"/>
          <w:color w:val="000000" w:themeColor="text1"/>
        </w:rPr>
        <w:t xml:space="preserve"> (Berkelmans </w:t>
      </w:r>
      <w:r w:rsidRPr="00596571">
        <w:rPr>
          <w:rFonts w:cs="Arial"/>
          <w:i/>
          <w:color w:val="000000" w:themeColor="text1"/>
        </w:rPr>
        <w:t>et al.</w:t>
      </w:r>
      <w:r w:rsidRPr="00596571">
        <w:rPr>
          <w:rFonts w:cs="Arial"/>
          <w:color w:val="000000" w:themeColor="text1"/>
        </w:rPr>
        <w:t xml:space="preserve"> 2012, data herein).</w:t>
      </w:r>
      <w:r>
        <w:rPr>
          <w:rFonts w:cs="Arial"/>
          <w:color w:val="000000" w:themeColor="text1"/>
        </w:rPr>
        <w:t xml:space="preserve"> </w:t>
      </w:r>
      <w:r w:rsidRPr="001B59A4">
        <w:rPr>
          <w:rFonts w:cs="Arial"/>
          <w:color w:val="000000" w:themeColor="text1"/>
        </w:rPr>
        <w:t>Elsewhere</w:t>
      </w:r>
      <w:r>
        <w:rPr>
          <w:rFonts w:cs="Arial"/>
          <w:color w:val="000000" w:themeColor="text1"/>
        </w:rPr>
        <w:t>,</w:t>
      </w:r>
      <w:r w:rsidRPr="001B59A4">
        <w:rPr>
          <w:rFonts w:cs="Arial"/>
          <w:color w:val="000000" w:themeColor="text1"/>
        </w:rPr>
        <w:t xml:space="preserve"> the density of juvenile corals has remained high or increased in 2016.</w:t>
      </w:r>
      <w:r w:rsidR="00E75F5C">
        <w:rPr>
          <w:rFonts w:cs="Arial"/>
          <w:color w:val="000000" w:themeColor="text1"/>
        </w:rPr>
        <w:t xml:space="preserve"> </w:t>
      </w:r>
      <w:r w:rsidRPr="001B59A4">
        <w:rPr>
          <w:rFonts w:cs="Arial"/>
          <w:color w:val="000000" w:themeColor="text1"/>
        </w:rPr>
        <w:t xml:space="preserve">In the Herbert Tully sub-region, the high density of juvenile corals largely reflects very high numbers of the genus </w:t>
      </w:r>
      <w:r w:rsidRPr="001B59A4">
        <w:rPr>
          <w:rFonts w:cs="Arial"/>
          <w:i/>
          <w:color w:val="000000" w:themeColor="text1"/>
        </w:rPr>
        <w:t xml:space="preserve">Turbinaria. </w:t>
      </w:r>
      <w:r w:rsidRPr="001B59A4">
        <w:rPr>
          <w:rFonts w:cs="Arial"/>
          <w:color w:val="000000" w:themeColor="text1"/>
        </w:rPr>
        <w:t xml:space="preserve">As this genus was not well represented in the adult community prior to the successive cyclonic disturbances in 2006 and 2011, it is unclear whether this recruitment pattern is simply due to natural variability or indicates the selection for species more </w:t>
      </w:r>
      <w:r w:rsidR="00515D38">
        <w:rPr>
          <w:rFonts w:cs="Arial"/>
          <w:color w:val="000000" w:themeColor="text1"/>
        </w:rPr>
        <w:t>s</w:t>
      </w:r>
      <w:r w:rsidRPr="001B59A4">
        <w:rPr>
          <w:rFonts w:cs="Arial"/>
          <w:color w:val="000000" w:themeColor="text1"/>
        </w:rPr>
        <w:t>uited to the recent environmental conditions</w:t>
      </w:r>
      <w:r w:rsidR="00197EF9">
        <w:rPr>
          <w:rFonts w:cs="Arial"/>
          <w:color w:val="000000" w:themeColor="text1"/>
        </w:rPr>
        <w:t xml:space="preserve"> (Sofonia &amp; Anthony 2008)</w:t>
      </w:r>
      <w:r w:rsidRPr="001B59A4">
        <w:rPr>
          <w:rFonts w:cs="Arial"/>
          <w:color w:val="000000" w:themeColor="text1"/>
        </w:rPr>
        <w:t xml:space="preserve">. </w:t>
      </w:r>
      <w:r w:rsidR="00515D38">
        <w:rPr>
          <w:rFonts w:cs="Arial"/>
          <w:color w:val="000000" w:themeColor="text1"/>
        </w:rPr>
        <w:t>T</w:t>
      </w:r>
      <w:r w:rsidRPr="001B59A4">
        <w:rPr>
          <w:rFonts w:cs="Arial"/>
          <w:color w:val="000000" w:themeColor="text1"/>
        </w:rPr>
        <w:t xml:space="preserve">he genus </w:t>
      </w:r>
      <w:r w:rsidRPr="001B59A4">
        <w:rPr>
          <w:rFonts w:cs="Arial"/>
          <w:i/>
          <w:color w:val="000000" w:themeColor="text1"/>
        </w:rPr>
        <w:t>Turbinaria</w:t>
      </w:r>
      <w:r w:rsidRPr="001B59A4">
        <w:rPr>
          <w:rFonts w:cs="Arial"/>
          <w:color w:val="000000" w:themeColor="text1"/>
        </w:rPr>
        <w:t xml:space="preserve"> has also recruited in higher proportions to several of the more turbid water reefs in the adjacent Burdekin Region. In contrast, at a number of reefs at which water quality is better, increased number of juveniles of the genus </w:t>
      </w:r>
      <w:r w:rsidRPr="001B59A4">
        <w:rPr>
          <w:rFonts w:cs="Arial"/>
          <w:i/>
          <w:color w:val="000000" w:themeColor="text1"/>
        </w:rPr>
        <w:t>Acropora</w:t>
      </w:r>
      <w:r w:rsidRPr="001B59A4">
        <w:rPr>
          <w:rFonts w:cs="Arial"/>
          <w:color w:val="000000" w:themeColor="text1"/>
        </w:rPr>
        <w:t xml:space="preserve"> in recent years indicates the recovery of this disturbance-sensitive group of coral. </w:t>
      </w:r>
    </w:p>
    <w:p w14:paraId="020C9F7E" w14:textId="36328752" w:rsidR="00220401" w:rsidRPr="00F439FB" w:rsidRDefault="00220401" w:rsidP="00220401">
      <w:pPr>
        <w:pStyle w:val="Heading2"/>
      </w:pPr>
      <w:bookmarkStart w:id="290" w:name="_Toc493153345"/>
      <w:r>
        <w:t>6.3 Regional summaries</w:t>
      </w:r>
      <w:bookmarkEnd w:id="290"/>
    </w:p>
    <w:p w14:paraId="46DC75DD" w14:textId="300BF59B" w:rsidR="00A462A9" w:rsidRDefault="00A462A9" w:rsidP="00220401">
      <w:pPr>
        <w:pStyle w:val="Heading3"/>
      </w:pPr>
      <w:bookmarkStart w:id="291" w:name="_Toc493153346"/>
      <w:r>
        <w:t>Wet Tropics</w:t>
      </w:r>
      <w:bookmarkEnd w:id="291"/>
    </w:p>
    <w:p w14:paraId="12A28BEF" w14:textId="2389811E" w:rsidR="00A462A9" w:rsidRPr="00503677" w:rsidRDefault="00A462A9" w:rsidP="00A462A9">
      <w:r>
        <w:t xml:space="preserve">Regionally, the coral index has continued to improve since a low point reached in 2013. The recovery in index scores reiterates previously demonstrated potential for coral communities in this region to recover from disturbances including COTS, cyclones, bleaching </w:t>
      </w:r>
      <w:r w:rsidR="00220401">
        <w:t xml:space="preserve">and </w:t>
      </w:r>
      <w:r>
        <w:t>exposure to flood plumes in both the Barron-Daintree, and Johnstone Russell Mulgrave sub</w:t>
      </w:r>
      <w:r w:rsidR="0008674E">
        <w:t>-</w:t>
      </w:r>
      <w:r>
        <w:t xml:space="preserve">regions </w:t>
      </w:r>
      <w:r w:rsidRPr="00A2357C">
        <w:rPr>
          <w:color w:val="000000" w:themeColor="text1"/>
        </w:rPr>
        <w:t xml:space="preserve">(Ayling &amp; Ayling 2005, Sweatman </w:t>
      </w:r>
      <w:r w:rsidRPr="00A2357C">
        <w:rPr>
          <w:i/>
          <w:color w:val="000000" w:themeColor="text1"/>
        </w:rPr>
        <w:t>et al.</w:t>
      </w:r>
      <w:r w:rsidRPr="00A2357C">
        <w:rPr>
          <w:color w:val="000000" w:themeColor="text1"/>
        </w:rPr>
        <w:t xml:space="preserve"> 2007)</w:t>
      </w:r>
      <w:r>
        <w:rPr>
          <w:color w:val="000000" w:themeColor="text1"/>
        </w:rPr>
        <w:t xml:space="preserve">. </w:t>
      </w:r>
      <w:r w:rsidR="005A7E9F">
        <w:rPr>
          <w:color w:val="000000" w:themeColor="text1"/>
        </w:rPr>
        <w:t>I</w:t>
      </w:r>
      <w:r w:rsidR="005A7E9F">
        <w:t xml:space="preserve">mprovements in the index have </w:t>
      </w:r>
      <w:r w:rsidR="005A7E9F" w:rsidRPr="00786FA8">
        <w:t>coincide</w:t>
      </w:r>
      <w:r w:rsidR="005A7E9F">
        <w:t>d</w:t>
      </w:r>
      <w:r w:rsidR="005A7E9F" w:rsidRPr="00786FA8">
        <w:t xml:space="preserve"> with a</w:t>
      </w:r>
      <w:r w:rsidR="005A7E9F">
        <w:t xml:space="preserve"> period of reduced discharge </w:t>
      </w:r>
      <w:r w:rsidR="005A7E9F" w:rsidRPr="00786FA8">
        <w:t xml:space="preserve">from the adjacent catchments </w:t>
      </w:r>
      <w:r w:rsidR="005A7E9F">
        <w:t xml:space="preserve">and minimal impacts from </w:t>
      </w:r>
      <w:r w:rsidR="00C87197">
        <w:t>acute disturbances</w:t>
      </w:r>
      <w:r w:rsidR="005A7E9F">
        <w:t xml:space="preserve">. </w:t>
      </w:r>
      <w:r w:rsidR="005F71E0">
        <w:t xml:space="preserve">Across the region suppression of coral communities in response to </w:t>
      </w:r>
      <w:r w:rsidR="0042623E">
        <w:t>run-off</w:t>
      </w:r>
      <w:r w:rsidR="005F71E0">
        <w:t xml:space="preserve"> is demonstrated by a greater rate of improvement in the coral index wh</w:t>
      </w:r>
      <w:r w:rsidR="00C87197">
        <w:t>en discharge from local rivers wa</w:t>
      </w:r>
      <w:r w:rsidR="005F71E0">
        <w:t xml:space="preserve">s relatively low. In 2016 low scores, for the Macroalgae index </w:t>
      </w:r>
      <w:r w:rsidR="00A52028">
        <w:t xml:space="preserve">at 2 m depths in the Herbert </w:t>
      </w:r>
      <w:r w:rsidR="005F71E0">
        <w:t xml:space="preserve">Tully </w:t>
      </w:r>
      <w:r w:rsidR="00A52028">
        <w:t xml:space="preserve">Region in particular, may indicate the ongoing pressure of high nutrient availability in that area. Of all the regions, the Wet Tropics continues to be the only </w:t>
      </w:r>
      <w:r w:rsidR="00C87197">
        <w:t>area</w:t>
      </w:r>
      <w:r w:rsidR="00A52028">
        <w:t xml:space="preserve"> for which the current outbreak of </w:t>
      </w:r>
      <w:r w:rsidR="005A7E9F">
        <w:t xml:space="preserve">crown-of-thorns starfish (COTS) </w:t>
      </w:r>
      <w:r w:rsidR="00A52028">
        <w:t xml:space="preserve">has impacted inshore reefs. Recent improvement in the index has occurred despite the ongoing observation of juvenile COTS at Fitzroy Island, the Frankland Group and High Island. </w:t>
      </w:r>
      <w:r w:rsidR="00C87197">
        <w:t>Helping to m</w:t>
      </w:r>
      <w:r w:rsidR="00F41217">
        <w:t>itigate</w:t>
      </w:r>
      <w:r w:rsidR="00A52028">
        <w:t xml:space="preserve"> the impact of </w:t>
      </w:r>
      <w:r w:rsidR="00A52028" w:rsidRPr="008E78BD">
        <w:t xml:space="preserve">COTS </w:t>
      </w:r>
      <w:r w:rsidR="00C87197" w:rsidRPr="008E78BD">
        <w:t>in this region has been the ongoing removal of COTS</w:t>
      </w:r>
      <w:r w:rsidR="00F41217" w:rsidRPr="008E78BD">
        <w:rPr>
          <w:rStyle w:val="FootnoteReference"/>
        </w:rPr>
        <w:footnoteReference w:id="7"/>
      </w:r>
      <w:r w:rsidR="00C87197" w:rsidRPr="008E78BD">
        <w:t xml:space="preserve"> with </w:t>
      </w:r>
      <w:r w:rsidR="008E78BD" w:rsidRPr="008E78BD">
        <w:t xml:space="preserve">13,339 </w:t>
      </w:r>
      <w:r w:rsidR="00F41217" w:rsidRPr="008E78BD">
        <w:t xml:space="preserve">starfish </w:t>
      </w:r>
      <w:r w:rsidR="00C87197" w:rsidRPr="008E78BD">
        <w:t xml:space="preserve">removed </w:t>
      </w:r>
      <w:r w:rsidR="008E78BD" w:rsidRPr="008E78BD">
        <w:t xml:space="preserve">from the monitoring reefs in this region prior to </w:t>
      </w:r>
      <w:r w:rsidR="00F41217" w:rsidRPr="008E78BD">
        <w:t xml:space="preserve">surveys in 2016. </w:t>
      </w:r>
      <w:r w:rsidR="008E78BD" w:rsidRPr="008E78BD">
        <w:t>The</w:t>
      </w:r>
      <w:r w:rsidR="005F71E0" w:rsidRPr="008E78BD">
        <w:t xml:space="preserve"> observatio</w:t>
      </w:r>
      <w:r w:rsidR="008E78BD" w:rsidRPr="008E78BD">
        <w:t>n of juvenile COTS at Fitzroy, t</w:t>
      </w:r>
      <w:r w:rsidR="005F71E0" w:rsidRPr="008E78BD">
        <w:t>he Frankland Group and High Island present the likelihood</w:t>
      </w:r>
      <w:r w:rsidR="005F71E0">
        <w:t xml:space="preserve"> of further loss of corals as this cohort matures</w:t>
      </w:r>
      <w:r w:rsidR="008E78BD">
        <w:t>, suggesting ongoing benefit of population control t</w:t>
      </w:r>
      <w:r w:rsidR="00220401">
        <w:t>o protect these valuable</w:t>
      </w:r>
      <w:r w:rsidR="008E78BD">
        <w:t xml:space="preserve"> sites</w:t>
      </w:r>
      <w:r w:rsidR="00220401">
        <w:t xml:space="preserve"> for tourism</w:t>
      </w:r>
      <w:r w:rsidR="008E78BD">
        <w:t>.</w:t>
      </w:r>
      <w:r w:rsidR="005F71E0">
        <w:t xml:space="preserve"> </w:t>
      </w:r>
      <w:r w:rsidR="005A7E9F">
        <w:t xml:space="preserve">Within the region, improvement in the index is most evident in the Herbert Tully sub-region where </w:t>
      </w:r>
      <w:r w:rsidR="00E823D7">
        <w:t xml:space="preserve">recover from the severe impacts of Cyclone Yasi is clearly occurring. </w:t>
      </w:r>
      <w:r w:rsidR="00220401">
        <w:t>In the Herbert Tully sub-region, of</w:t>
      </w:r>
      <w:r w:rsidR="005A7E9F">
        <w:t xml:space="preserve"> the five metrics included in the coral index it was only Macroalgae at 5 m depth that had not improved through to 2016</w:t>
      </w:r>
      <w:r w:rsidR="00E823D7">
        <w:t xml:space="preserve">, although as mentioned above, macro algae cover does remain high at 2 m depths. </w:t>
      </w:r>
      <w:r>
        <w:rPr>
          <w:color w:val="000000" w:themeColor="text1"/>
        </w:rPr>
        <w:t>The current recovery in the Barron Daintree sub</w:t>
      </w:r>
      <w:r w:rsidR="0008674E">
        <w:rPr>
          <w:color w:val="000000" w:themeColor="text1"/>
        </w:rPr>
        <w:t>-</w:t>
      </w:r>
      <w:r>
        <w:rPr>
          <w:color w:val="000000" w:themeColor="text1"/>
        </w:rPr>
        <w:t>region is only just beginning following a low point in the index in 2014. Limiting improvement in the index in the Barron Daintree sub-region in 2016 is the continued increase of macroalgae at 2</w:t>
      </w:r>
      <w:r w:rsidR="0008674E">
        <w:rPr>
          <w:color w:val="000000" w:themeColor="text1"/>
        </w:rPr>
        <w:t xml:space="preserve"> </w:t>
      </w:r>
      <w:r>
        <w:rPr>
          <w:color w:val="000000" w:themeColor="text1"/>
        </w:rPr>
        <w:t xml:space="preserve">m depth </w:t>
      </w:r>
      <w:r w:rsidR="00220401">
        <w:rPr>
          <w:color w:val="000000" w:themeColor="text1"/>
        </w:rPr>
        <w:t xml:space="preserve">at </w:t>
      </w:r>
      <w:r>
        <w:rPr>
          <w:color w:val="000000" w:themeColor="text1"/>
        </w:rPr>
        <w:t xml:space="preserve">Snapper North </w:t>
      </w:r>
      <w:r w:rsidR="0008674E">
        <w:rPr>
          <w:color w:val="000000" w:themeColor="text1"/>
        </w:rPr>
        <w:t>and ongoing low densities of juvenile corals.</w:t>
      </w:r>
      <w:r w:rsidR="00E823D7">
        <w:rPr>
          <w:color w:val="000000" w:themeColor="text1"/>
        </w:rPr>
        <w:t xml:space="preserve"> </w:t>
      </w:r>
      <w:r w:rsidR="00573DBE">
        <w:rPr>
          <w:color w:val="000000" w:themeColor="text1"/>
        </w:rPr>
        <w:t>In addition to any nutrient related pressures implicated in the high levels of Macroalgae at some reefs, are the legacies</w:t>
      </w:r>
      <w:r w:rsidR="00E823D7">
        <w:rPr>
          <w:color w:val="000000" w:themeColor="text1"/>
        </w:rPr>
        <w:t xml:space="preserve"> of cyclones </w:t>
      </w:r>
      <w:r w:rsidR="00573DBE">
        <w:rPr>
          <w:color w:val="000000" w:themeColor="text1"/>
        </w:rPr>
        <w:t xml:space="preserve">and COTS </w:t>
      </w:r>
      <w:r w:rsidR="00E823D7">
        <w:rPr>
          <w:color w:val="000000" w:themeColor="text1"/>
        </w:rPr>
        <w:t xml:space="preserve">that </w:t>
      </w:r>
      <w:r w:rsidR="00573DBE">
        <w:rPr>
          <w:color w:val="000000" w:themeColor="text1"/>
        </w:rPr>
        <w:t>have recently reduced coral cover across the region and for which recovery is expectedly gradual.</w:t>
      </w:r>
      <w:r w:rsidR="008C0BCA">
        <w:rPr>
          <w:color w:val="000000" w:themeColor="text1"/>
        </w:rPr>
        <w:t xml:space="preserve"> Any link between nutrient availability and outbreaks of COTS on the Reef in general (</w:t>
      </w:r>
      <w:r w:rsidR="008C0BCA">
        <w:rPr>
          <w:rFonts w:cs="Arial"/>
          <w:color w:val="000000" w:themeColor="text1"/>
        </w:rPr>
        <w:t xml:space="preserve">most recently, </w:t>
      </w:r>
      <w:r w:rsidR="008C0BCA" w:rsidRPr="00344663">
        <w:rPr>
          <w:rFonts w:cs="Arial"/>
          <w:color w:val="000000" w:themeColor="text1"/>
        </w:rPr>
        <w:t xml:space="preserve">Pratchett </w:t>
      </w:r>
      <w:r w:rsidR="008C0BCA" w:rsidRPr="008C0BCA">
        <w:rPr>
          <w:rFonts w:cs="Arial"/>
          <w:i/>
          <w:color w:val="000000" w:themeColor="text1"/>
        </w:rPr>
        <w:t>et al</w:t>
      </w:r>
      <w:r w:rsidR="008C0BCA" w:rsidRPr="00344663">
        <w:rPr>
          <w:rFonts w:cs="Arial"/>
          <w:color w:val="000000" w:themeColor="text1"/>
        </w:rPr>
        <w:t>. 2014, Wooldridge &amp; Brodie 2015</w:t>
      </w:r>
      <w:r w:rsidR="008C0BCA">
        <w:rPr>
          <w:rFonts w:cs="Arial"/>
          <w:color w:val="000000" w:themeColor="text1"/>
        </w:rPr>
        <w:t xml:space="preserve">) </w:t>
      </w:r>
      <w:r w:rsidR="008C0BCA">
        <w:rPr>
          <w:color w:val="000000" w:themeColor="text1"/>
        </w:rPr>
        <w:t xml:space="preserve">are </w:t>
      </w:r>
      <w:r w:rsidR="00573DBE">
        <w:rPr>
          <w:color w:val="000000" w:themeColor="text1"/>
        </w:rPr>
        <w:t>thus implicate in the current index scores</w:t>
      </w:r>
      <w:r w:rsidR="008C0BCA">
        <w:rPr>
          <w:color w:val="000000" w:themeColor="text1"/>
        </w:rPr>
        <w:t xml:space="preserve">. </w:t>
      </w:r>
    </w:p>
    <w:p w14:paraId="332D3C1F" w14:textId="77777777" w:rsidR="00A462A9" w:rsidRDefault="00A462A9" w:rsidP="00B9528B">
      <w:pPr>
        <w:pStyle w:val="Heading3"/>
      </w:pPr>
      <w:bookmarkStart w:id="292" w:name="_Toc493153347"/>
      <w:r>
        <w:t>Burdekin</w:t>
      </w:r>
      <w:bookmarkEnd w:id="292"/>
    </w:p>
    <w:p w14:paraId="696846F1" w14:textId="29D3F236" w:rsidR="00A462A9" w:rsidRDefault="00A462A9" w:rsidP="00A462A9">
      <w:pPr>
        <w:rPr>
          <w:rFonts w:cs="Arial"/>
        </w:rPr>
      </w:pPr>
      <w:r>
        <w:rPr>
          <w:rFonts w:cs="Arial"/>
        </w:rPr>
        <w:t xml:space="preserve">Since 2012 coral communities have continued </w:t>
      </w:r>
      <w:r w:rsidR="00573DBE">
        <w:rPr>
          <w:rFonts w:cs="Arial"/>
        </w:rPr>
        <w:t xml:space="preserve">to </w:t>
      </w:r>
      <w:r>
        <w:rPr>
          <w:rFonts w:cs="Arial"/>
        </w:rPr>
        <w:t xml:space="preserve">recover during a period free from </w:t>
      </w:r>
      <w:r w:rsidRPr="002C27E4">
        <w:rPr>
          <w:rFonts w:cs="Arial"/>
        </w:rPr>
        <w:t>acute disturbance</w:t>
      </w:r>
      <w:r>
        <w:rPr>
          <w:rFonts w:cs="Arial"/>
        </w:rPr>
        <w:t xml:space="preserve"> events and low rainfall that has limited </w:t>
      </w:r>
      <w:r w:rsidR="0042623E">
        <w:rPr>
          <w:rFonts w:cs="Arial"/>
        </w:rPr>
        <w:t>run-off</w:t>
      </w:r>
      <w:r>
        <w:rPr>
          <w:rFonts w:cs="Arial"/>
        </w:rPr>
        <w:t xml:space="preserve"> for</w:t>
      </w:r>
      <w:r w:rsidR="00573DBE">
        <w:rPr>
          <w:rFonts w:cs="Arial"/>
        </w:rPr>
        <w:t>m</w:t>
      </w:r>
      <w:r>
        <w:rPr>
          <w:rFonts w:cs="Arial"/>
        </w:rPr>
        <w:t xml:space="preserve"> the adjacent catchments. The only metric not to have improved since 2012 was Macroalgae. The lack of improvement in the macroalgae metric was due to both the temporary removal, as a result of Cyclone Yasi, that improved metric scores in 2011 and also 2012 as well as the persistence of high cover of at Magnetic Island, Pandora South, Lad</w:t>
      </w:r>
      <w:r w:rsidR="00573DBE">
        <w:rPr>
          <w:rFonts w:cs="Arial"/>
        </w:rPr>
        <w:t>y Elliot 2 m and Havannah Island 5 m</w:t>
      </w:r>
      <w:r>
        <w:rPr>
          <w:rFonts w:cs="Arial"/>
        </w:rPr>
        <w:t>. The persistence of macroalgae suggests the ongoing availability of nutrients at levels detrimental to coral communities at these locations. Despite the ongoing low scores for Macroalgae, changes in the index, when reefs are not impacted by acute disturbance events, demonstrate an inverse relationship to discharge from the regions rivers. It was not until 2014, a year into a period of below median discharges from the region’s rivers, that the average rates of hard coral increase began matching modelled expectations. In addition to generally low rates of cover increase, stress to corals was explicitly observed as increased levels of disease in 2007-2009 coinciding with a shift from a period of below</w:t>
      </w:r>
      <w:r w:rsidR="0008674E">
        <w:rPr>
          <w:rFonts w:cs="Arial"/>
        </w:rPr>
        <w:t>,</w:t>
      </w:r>
      <w:r>
        <w:rPr>
          <w:rFonts w:cs="Arial"/>
        </w:rPr>
        <w:t xml:space="preserve"> to a period of above</w:t>
      </w:r>
      <w:r w:rsidR="0008674E">
        <w:rPr>
          <w:rFonts w:cs="Arial"/>
        </w:rPr>
        <w:t>,</w:t>
      </w:r>
      <w:r>
        <w:rPr>
          <w:rFonts w:cs="Arial"/>
        </w:rPr>
        <w:t xml:space="preserve"> median discharges. A moderate increase in disease was also noted in 2011, again following a large discharge year. This expression of disease and downturn in the rate of cover increase also coincided with a shift </w:t>
      </w:r>
      <w:r w:rsidR="008F1BE2">
        <w:rPr>
          <w:rFonts w:cs="Arial"/>
        </w:rPr>
        <w:t xml:space="preserve">in </w:t>
      </w:r>
      <w:r>
        <w:rPr>
          <w:rFonts w:cs="Arial"/>
        </w:rPr>
        <w:t>community composition at deeper sites toward communities tolerant of poor water quality. In combination</w:t>
      </w:r>
      <w:r w:rsidR="0008674E">
        <w:rPr>
          <w:rFonts w:cs="Arial"/>
        </w:rPr>
        <w:t>,</w:t>
      </w:r>
      <w:r>
        <w:rPr>
          <w:rFonts w:cs="Arial"/>
        </w:rPr>
        <w:t xml:space="preserve"> these results are consistent with</w:t>
      </w:r>
      <w:r w:rsidRPr="000A11FE">
        <w:t xml:space="preserve"> </w:t>
      </w:r>
      <w:r>
        <w:t xml:space="preserve">the well </w:t>
      </w:r>
      <w:r w:rsidRPr="000A11FE">
        <w:t xml:space="preserve">documented link between increased </w:t>
      </w:r>
      <w:r w:rsidR="0042623E">
        <w:t>run-off</w:t>
      </w:r>
      <w:r w:rsidRPr="000A11FE">
        <w:t xml:space="preserve"> </w:t>
      </w:r>
      <w:r>
        <w:t xml:space="preserve">and stress in coral communities, expressed as increased levels of coral disease </w:t>
      </w:r>
      <w:r w:rsidRPr="000A11FE">
        <w:t xml:space="preserve">(Bruno </w:t>
      </w:r>
      <w:r w:rsidRPr="000A11FE">
        <w:rPr>
          <w:i/>
        </w:rPr>
        <w:t>et al.</w:t>
      </w:r>
      <w:r w:rsidRPr="000A11FE">
        <w:t xml:space="preserve"> 2003, </w:t>
      </w:r>
      <w:r w:rsidRPr="000A11FE">
        <w:rPr>
          <w:rFonts w:cs="Arial"/>
        </w:rPr>
        <w:t xml:space="preserve">Kline </w:t>
      </w:r>
      <w:r w:rsidRPr="000A11FE">
        <w:rPr>
          <w:rFonts w:cs="Arial"/>
          <w:i/>
        </w:rPr>
        <w:t>et al</w:t>
      </w:r>
      <w:r w:rsidRPr="000A11FE">
        <w:rPr>
          <w:rFonts w:cs="Arial"/>
        </w:rPr>
        <w:t xml:space="preserve">. 2006, Kuntz </w:t>
      </w:r>
      <w:r w:rsidRPr="000A11FE">
        <w:rPr>
          <w:rFonts w:cs="Arial"/>
          <w:i/>
        </w:rPr>
        <w:t>et al</w:t>
      </w:r>
      <w:r w:rsidRPr="000A11FE">
        <w:rPr>
          <w:rFonts w:cs="Arial"/>
        </w:rPr>
        <w:t>. 2005, Voss &amp; Richardson 2006,</w:t>
      </w:r>
      <w:r>
        <w:rPr>
          <w:rFonts w:cs="Arial"/>
        </w:rPr>
        <w:t xml:space="preserve"> </w:t>
      </w:r>
      <w:r w:rsidRPr="000A11FE">
        <w:t xml:space="preserve">Kaczmarsky &amp; Richardson 2010, Haapkylä </w:t>
      </w:r>
      <w:r w:rsidRPr="000A11FE">
        <w:rPr>
          <w:i/>
        </w:rPr>
        <w:t xml:space="preserve">et al. </w:t>
      </w:r>
      <w:r w:rsidRPr="000A11FE">
        <w:t xml:space="preserve">2011, 2013, Vega Thurber </w:t>
      </w:r>
      <w:r w:rsidRPr="000A11FE">
        <w:rPr>
          <w:i/>
        </w:rPr>
        <w:t>et al.</w:t>
      </w:r>
      <w:r w:rsidRPr="000A11FE">
        <w:t xml:space="preserve"> 2013)</w:t>
      </w:r>
      <w:r>
        <w:rPr>
          <w:rFonts w:cs="Arial"/>
        </w:rPr>
        <w:t xml:space="preserve">. </w:t>
      </w:r>
    </w:p>
    <w:p w14:paraId="60766D4B" w14:textId="685A19CD" w:rsidR="00A462A9" w:rsidRDefault="00A462A9" w:rsidP="00A462A9">
      <w:pPr>
        <w:rPr>
          <w:rFonts w:cs="Arial"/>
        </w:rPr>
      </w:pPr>
      <w:r>
        <w:rPr>
          <w:rFonts w:cs="Arial"/>
        </w:rPr>
        <w:t xml:space="preserve">In addition to likely links to </w:t>
      </w:r>
      <w:r w:rsidR="0042623E">
        <w:rPr>
          <w:rFonts w:cs="Arial"/>
        </w:rPr>
        <w:t>run-off</w:t>
      </w:r>
      <w:r w:rsidR="008F1BE2">
        <w:rPr>
          <w:rFonts w:cs="Arial"/>
        </w:rPr>
        <w:t>,</w:t>
      </w:r>
      <w:r>
        <w:rPr>
          <w:rFonts w:cs="Arial"/>
        </w:rPr>
        <w:t xml:space="preserve"> the decline in the index through to 2012 reflected the damage incurred during Cyclone Yasi</w:t>
      </w:r>
      <w:r w:rsidR="0008674E">
        <w:rPr>
          <w:rFonts w:cs="Arial"/>
        </w:rPr>
        <w:t xml:space="preserve"> and</w:t>
      </w:r>
      <w:r>
        <w:rPr>
          <w:rFonts w:cs="Arial"/>
        </w:rPr>
        <w:t xml:space="preserve"> other minor storms</w:t>
      </w:r>
      <w:r w:rsidR="00573DBE">
        <w:rPr>
          <w:rFonts w:cs="Arial"/>
        </w:rPr>
        <w:t>,</w:t>
      </w:r>
      <w:r>
        <w:rPr>
          <w:rFonts w:cs="Arial"/>
        </w:rPr>
        <w:t xml:space="preserve"> that account for 57% of the coral cover lost in the region since 2005. Historically</w:t>
      </w:r>
      <w:r w:rsidR="0008674E">
        <w:rPr>
          <w:rFonts w:cs="Arial"/>
        </w:rPr>
        <w:t>,</w:t>
      </w:r>
      <w:r>
        <w:rPr>
          <w:rFonts w:cs="Arial"/>
        </w:rPr>
        <w:t xml:space="preserve"> recovery from acute events, in particular coral bleaching</w:t>
      </w:r>
      <w:r w:rsidR="0008674E">
        <w:rPr>
          <w:rFonts w:cs="Arial"/>
        </w:rPr>
        <w:t>,</w:t>
      </w:r>
      <w:r>
        <w:rPr>
          <w:rFonts w:cs="Arial"/>
        </w:rPr>
        <w:t xml:space="preserve"> has been </w:t>
      </w:r>
      <w:r w:rsidR="0008674E">
        <w:rPr>
          <w:rFonts w:cs="Arial"/>
        </w:rPr>
        <w:t>s</w:t>
      </w:r>
      <w:r>
        <w:rPr>
          <w:rFonts w:cs="Arial"/>
        </w:rPr>
        <w:t>low (</w:t>
      </w:r>
      <w:r w:rsidRPr="002C27E4">
        <w:rPr>
          <w:rFonts w:cs="Arial"/>
        </w:rPr>
        <w:t xml:space="preserve">Sweatman </w:t>
      </w:r>
      <w:r w:rsidRPr="002C27E4">
        <w:rPr>
          <w:rFonts w:cs="Arial"/>
          <w:i/>
        </w:rPr>
        <w:t>et al</w:t>
      </w:r>
      <w:r w:rsidRPr="002C27E4">
        <w:rPr>
          <w:rFonts w:cs="Arial"/>
        </w:rPr>
        <w:t>. 2007</w:t>
      </w:r>
      <w:r>
        <w:rPr>
          <w:rFonts w:cs="Arial"/>
        </w:rPr>
        <w:t xml:space="preserve">, Cheal </w:t>
      </w:r>
      <w:r w:rsidRPr="009133AE">
        <w:rPr>
          <w:rFonts w:cs="Arial"/>
          <w:i/>
        </w:rPr>
        <w:t>et al.</w:t>
      </w:r>
      <w:r w:rsidR="00072F4D">
        <w:rPr>
          <w:rFonts w:cs="Arial"/>
        </w:rPr>
        <w:t xml:space="preserve"> 2013</w:t>
      </w:r>
      <w:r>
        <w:rPr>
          <w:rFonts w:cs="Arial"/>
        </w:rPr>
        <w:t>). Generally</w:t>
      </w:r>
      <w:r w:rsidR="0008674E">
        <w:rPr>
          <w:rFonts w:cs="Arial"/>
        </w:rPr>
        <w:t>,</w:t>
      </w:r>
      <w:r>
        <w:rPr>
          <w:rFonts w:cs="Arial"/>
        </w:rPr>
        <w:t xml:space="preserve"> low densities of </w:t>
      </w:r>
      <w:r w:rsidRPr="002C27E4">
        <w:rPr>
          <w:rFonts w:cs="Arial"/>
        </w:rPr>
        <w:t xml:space="preserve">juvenile corals </w:t>
      </w:r>
      <w:r>
        <w:rPr>
          <w:rFonts w:cs="Arial"/>
        </w:rPr>
        <w:t>imply that slow recovery of coral communities may, in part, reflect recruitment limitation. In addition to possible suppression of the recruitment process where macroalgae cover is high (</w:t>
      </w:r>
      <w:r w:rsidRPr="00596571">
        <w:rPr>
          <w:rFonts w:cs="Arial"/>
          <w:color w:val="000000" w:themeColor="text1"/>
        </w:rPr>
        <w:t xml:space="preserve">Tanner 1995, McCook </w:t>
      </w:r>
      <w:r w:rsidRPr="00596571">
        <w:rPr>
          <w:rFonts w:cs="Arial"/>
          <w:i/>
          <w:color w:val="000000" w:themeColor="text1"/>
        </w:rPr>
        <w:t>et al.</w:t>
      </w:r>
      <w:r w:rsidRPr="00596571">
        <w:rPr>
          <w:rFonts w:cs="Arial"/>
          <w:color w:val="000000" w:themeColor="text1"/>
        </w:rPr>
        <w:t xml:space="preserve"> 2001, Birrell </w:t>
      </w:r>
      <w:r w:rsidRPr="00596571">
        <w:rPr>
          <w:rFonts w:cs="Arial"/>
          <w:i/>
          <w:color w:val="000000" w:themeColor="text1"/>
        </w:rPr>
        <w:t>et al.</w:t>
      </w:r>
      <w:r w:rsidRPr="00596571">
        <w:rPr>
          <w:rFonts w:cs="Arial"/>
          <w:color w:val="000000" w:themeColor="text1"/>
        </w:rPr>
        <w:t xml:space="preserve"> 2005, 2008</w:t>
      </w:r>
      <w:r>
        <w:rPr>
          <w:rFonts w:cs="Arial"/>
          <w:color w:val="000000" w:themeColor="text1"/>
        </w:rPr>
        <w:t xml:space="preserve">), low settlement of coral larvae in this region (Thompson </w:t>
      </w:r>
      <w:r w:rsidRPr="00AF0C29">
        <w:rPr>
          <w:rFonts w:cs="Arial"/>
          <w:i/>
          <w:color w:val="000000" w:themeColor="text1"/>
        </w:rPr>
        <w:t>et al.</w:t>
      </w:r>
      <w:r>
        <w:rPr>
          <w:rFonts w:cs="Arial"/>
          <w:color w:val="000000" w:themeColor="text1"/>
        </w:rPr>
        <w:t xml:space="preserve"> 2013) may also indicate limited availability of brood-stock. Preliminary h</w:t>
      </w:r>
      <w:r w:rsidRPr="002C27E4">
        <w:rPr>
          <w:rFonts w:cs="Arial"/>
        </w:rPr>
        <w:t xml:space="preserve">ydrodynamic modelling (Luick </w:t>
      </w:r>
      <w:r w:rsidRPr="002C27E4">
        <w:rPr>
          <w:rFonts w:cs="Arial"/>
          <w:i/>
        </w:rPr>
        <w:t>et al.</w:t>
      </w:r>
      <w:r w:rsidRPr="002C27E4">
        <w:rPr>
          <w:rFonts w:cs="Arial"/>
        </w:rPr>
        <w:t xml:space="preserve"> 2007, Connie 2.0</w:t>
      </w:r>
      <w:r w:rsidRPr="002C27E4">
        <w:rPr>
          <w:rFonts w:cs="Arial"/>
          <w:vertAlign w:val="superscript"/>
        </w:rPr>
        <w:footnoteReference w:id="8"/>
      </w:r>
      <w:r w:rsidRPr="002C27E4">
        <w:rPr>
          <w:rFonts w:cs="Arial"/>
        </w:rPr>
        <w:t xml:space="preserve">) and differences in population genetics of corals (Mackenzie </w:t>
      </w:r>
      <w:r w:rsidRPr="002C27E4">
        <w:rPr>
          <w:rFonts w:cs="Arial"/>
          <w:i/>
        </w:rPr>
        <w:t>et al.</w:t>
      </w:r>
      <w:r w:rsidRPr="002C27E4">
        <w:rPr>
          <w:rFonts w:cs="Arial"/>
        </w:rPr>
        <w:t xml:space="preserve"> 2004) </w:t>
      </w:r>
      <w:r>
        <w:rPr>
          <w:rFonts w:cs="Arial"/>
        </w:rPr>
        <w:t xml:space="preserve">both </w:t>
      </w:r>
      <w:r w:rsidRPr="002C27E4">
        <w:rPr>
          <w:rFonts w:cs="Arial"/>
        </w:rPr>
        <w:t>indicate limited connectivity between Halifax Bay and reefs further offshore. This isolation, coupled with the widespread loss of cover in 1998 and 2002</w:t>
      </w:r>
      <w:r w:rsidR="0008674E">
        <w:rPr>
          <w:rFonts w:cs="Arial"/>
        </w:rPr>
        <w:t>,</w:t>
      </w:r>
      <w:r w:rsidRPr="002C27E4">
        <w:rPr>
          <w:rFonts w:cs="Arial"/>
        </w:rPr>
        <w:t xml:space="preserve"> as a result of thermal bleaching (Berkelmans </w:t>
      </w:r>
      <w:r w:rsidRPr="002C27E4">
        <w:rPr>
          <w:rFonts w:cs="Arial"/>
          <w:i/>
        </w:rPr>
        <w:t>et al</w:t>
      </w:r>
      <w:r w:rsidRPr="002C27E4">
        <w:rPr>
          <w:rFonts w:cs="Arial"/>
        </w:rPr>
        <w:t>. 2004)</w:t>
      </w:r>
      <w:r w:rsidR="0008674E">
        <w:rPr>
          <w:rFonts w:cs="Arial"/>
        </w:rPr>
        <w:t>,</w:t>
      </w:r>
      <w:r w:rsidRPr="002C27E4">
        <w:rPr>
          <w:rFonts w:cs="Arial"/>
        </w:rPr>
        <w:t xml:space="preserve"> may explain the low densities of juvenile colonies observed (Done </w:t>
      </w:r>
      <w:r w:rsidRPr="002C27E4">
        <w:rPr>
          <w:rFonts w:cs="Arial"/>
          <w:i/>
        </w:rPr>
        <w:t>et al.</w:t>
      </w:r>
      <w:r w:rsidRPr="002C27E4">
        <w:rPr>
          <w:rFonts w:cs="Arial"/>
        </w:rPr>
        <w:t xml:space="preserve"> 2007, Sweatman </w:t>
      </w:r>
      <w:r w:rsidRPr="002C27E4">
        <w:rPr>
          <w:rFonts w:cs="Arial"/>
          <w:i/>
        </w:rPr>
        <w:t>et al</w:t>
      </w:r>
      <w:r w:rsidRPr="002C27E4">
        <w:rPr>
          <w:rFonts w:cs="Arial"/>
        </w:rPr>
        <w:t xml:space="preserve">. 2007). </w:t>
      </w:r>
      <w:r>
        <w:rPr>
          <w:rFonts w:cs="Arial"/>
        </w:rPr>
        <w:t xml:space="preserve">Further work is required to more fully investigate the role of connectivity in limiting recovery potential of inshore reefs in this, and all other regions. </w:t>
      </w:r>
    </w:p>
    <w:p w14:paraId="3A4BC165" w14:textId="77777777" w:rsidR="00A462A9" w:rsidRDefault="00A462A9" w:rsidP="00B9528B">
      <w:pPr>
        <w:pStyle w:val="Heading3"/>
      </w:pPr>
      <w:bookmarkStart w:id="293" w:name="_Toc493153348"/>
      <w:r>
        <w:t>Whitsundays</w:t>
      </w:r>
      <w:bookmarkEnd w:id="293"/>
    </w:p>
    <w:p w14:paraId="07470FCB" w14:textId="06204DEC" w:rsidR="00A462A9" w:rsidRPr="004A1923" w:rsidRDefault="00A462A9" w:rsidP="00A462A9">
      <w:r>
        <w:t xml:space="preserve">In combination, high turbidity and </w:t>
      </w:r>
      <w:r w:rsidR="008F1BE2">
        <w:t xml:space="preserve">the </w:t>
      </w:r>
      <w:r>
        <w:t>sheltered nature of most monitoring sites</w:t>
      </w:r>
      <w:r w:rsidR="008F1BE2">
        <w:t xml:space="preserve"> </w:t>
      </w:r>
      <w:r>
        <w:t>leads to high rates of se</w:t>
      </w:r>
      <w:r w:rsidR="00FC7695">
        <w:t>dimentation</w:t>
      </w:r>
      <w:r>
        <w:t xml:space="preserve">, </w:t>
      </w:r>
      <w:r w:rsidR="0066479F">
        <w:t xml:space="preserve">which </w:t>
      </w:r>
      <w:r>
        <w:t xml:space="preserve">limits the proliferation of macroalgae and has selected for </w:t>
      </w:r>
      <w:r w:rsidRPr="00403C04">
        <w:t>coral</w:t>
      </w:r>
      <w:r>
        <w:t>s</w:t>
      </w:r>
      <w:r w:rsidRPr="00403C04">
        <w:t xml:space="preserve"> </w:t>
      </w:r>
      <w:r>
        <w:t>tolerant</w:t>
      </w:r>
      <w:r w:rsidRPr="00403C04">
        <w:t xml:space="preserve"> </w:t>
      </w:r>
      <w:r>
        <w:t xml:space="preserve">to </w:t>
      </w:r>
      <w:r w:rsidRPr="00403C04">
        <w:t>th</w:t>
      </w:r>
      <w:r>
        <w:t>e</w:t>
      </w:r>
      <w:r w:rsidRPr="00403C04">
        <w:t>se conditions</w:t>
      </w:r>
      <w:r>
        <w:t xml:space="preserve"> (Thompson </w:t>
      </w:r>
      <w:r w:rsidRPr="00713F82">
        <w:rPr>
          <w:i/>
        </w:rPr>
        <w:t>et al</w:t>
      </w:r>
      <w:r>
        <w:t>. 201</w:t>
      </w:r>
      <w:r w:rsidR="00FC7695">
        <w:t>4b</w:t>
      </w:r>
      <w:r>
        <w:t>). The current ‘good’ condition of reefs reflects both the tolerance of coral communities to their environmental setting but also the relatively low frequency and intensity of acute disturbance events to have impacted the reefs in this region in recent years. From 2005 to 2016 the only major disturbance was Cyclone Ului (</w:t>
      </w:r>
      <w:r w:rsidRPr="00C37DDB">
        <w:t>2010</w:t>
      </w:r>
      <w:r>
        <w:t xml:space="preserve">) </w:t>
      </w:r>
      <w:r w:rsidR="0066479F">
        <w:t xml:space="preserve">which </w:t>
      </w:r>
      <w:r>
        <w:t>contributed to the decline in the coral index though to 2012. Although this was the only region for which the change in index scores was not related to regional discharge, consistently low scores for the Coral Change metric imply a general suppression of coral growth potentially indicating persistently stressful environmental conditions.</w:t>
      </w:r>
      <w:r w:rsidR="00E75F5C">
        <w:t xml:space="preserve"> </w:t>
      </w:r>
      <w:r>
        <w:t xml:space="preserve">Improvement in the coral index through to 2016 was largely due to rapid recovery of communities at 2 m depths where, cover of the family Acroporidae rapidly increased. The more consistent improvement in index scores at 2 m depths compared to 5 m depths implicates turbidity as an ongoing pressure </w:t>
      </w:r>
      <w:r w:rsidR="0066479F">
        <w:t xml:space="preserve">on </w:t>
      </w:r>
      <w:r>
        <w:t>the deeper coral communities in this region.</w:t>
      </w:r>
      <w:r w:rsidR="00E75F5C">
        <w:t xml:space="preserve"> </w:t>
      </w:r>
    </w:p>
    <w:p w14:paraId="59FA4AA1" w14:textId="4DFF4183" w:rsidR="003E02BD" w:rsidRDefault="003E02BD" w:rsidP="00000F96">
      <w:pPr>
        <w:pStyle w:val="Heading3"/>
      </w:pPr>
      <w:bookmarkStart w:id="294" w:name="_Toc493153349"/>
      <w:r>
        <w:t>Fitzroy</w:t>
      </w:r>
      <w:bookmarkEnd w:id="294"/>
      <w:r w:rsidR="00E75F5C">
        <w:t xml:space="preserve"> </w:t>
      </w:r>
    </w:p>
    <w:p w14:paraId="3F373ADF" w14:textId="36CE7141" w:rsidR="00A462A9" w:rsidRDefault="00A462A9" w:rsidP="00A462A9">
      <w:r>
        <w:t>The current poor score for the coral index reflects a decline in condition following the cumulative impacts of thermal stress in 2006, a series of cyclones and storms</w:t>
      </w:r>
      <w:r w:rsidR="00305EC7">
        <w:t>,</w:t>
      </w:r>
      <w:r>
        <w:t xml:space="preserve"> and flooding of the Fitzroy River that variously exposed corals to lethal levels of salinity (Jones &amp; Berkelmans 2014) and introduced high loads of nutrients and suspended sediments into Keppel Bay. </w:t>
      </w:r>
      <w:r w:rsidRPr="00FF1F90">
        <w:t xml:space="preserve">The consistent pattern of high incidence of disease amongst coral communities following each of the recent floods supports the hypotheses </w:t>
      </w:r>
      <w:r>
        <w:t>that</w:t>
      </w:r>
      <w:r w:rsidRPr="00FF1F90">
        <w:t xml:space="preserve"> reduced salinity (Haapkylä </w:t>
      </w:r>
      <w:r w:rsidRPr="00FF1F90">
        <w:rPr>
          <w:i/>
        </w:rPr>
        <w:t>et al.</w:t>
      </w:r>
      <w:r w:rsidRPr="00FF1F90">
        <w:t xml:space="preserve"> 2011), and increased nutrient enrichment (Vega Thurber </w:t>
      </w:r>
      <w:r w:rsidRPr="00FF1F90">
        <w:rPr>
          <w:i/>
        </w:rPr>
        <w:t>et al.</w:t>
      </w:r>
      <w:r w:rsidRPr="00FF1F90">
        <w:t xml:space="preserve"> 2013) play a role in facilitating coral disease. Reduction in light levels over extended periods of time as a result of higher turbidity from increased concentrations of suspended sediments as well as dense plankton blooms following floods is another plausible explanation for reduced fitness of corals (Cooper </w:t>
      </w:r>
      <w:r w:rsidRPr="00FF1F90">
        <w:rPr>
          <w:i/>
        </w:rPr>
        <w:t>et al</w:t>
      </w:r>
      <w:r w:rsidRPr="00FF1F90">
        <w:t xml:space="preserve">. 2007) that may </w:t>
      </w:r>
      <w:r>
        <w:t>have supressed the recovery of coral communities.</w:t>
      </w:r>
    </w:p>
    <w:p w14:paraId="44DA40E6" w14:textId="11F1A285" w:rsidR="00A462A9" w:rsidRDefault="00A462A9" w:rsidP="00A462A9">
      <w:pPr>
        <w:rPr>
          <w:rFonts w:cs="Arial"/>
        </w:rPr>
      </w:pPr>
      <w:r w:rsidRPr="008C0567">
        <w:rPr>
          <w:rFonts w:cs="Arial"/>
        </w:rPr>
        <w:t>Variation</w:t>
      </w:r>
      <w:r w:rsidR="00305EC7">
        <w:rPr>
          <w:rFonts w:cs="Arial"/>
        </w:rPr>
        <w:t xml:space="preserve"> </w:t>
      </w:r>
      <w:r w:rsidR="0066479F">
        <w:rPr>
          <w:rFonts w:cs="Arial"/>
        </w:rPr>
        <w:t xml:space="preserve">in recovery from disturbances </w:t>
      </w:r>
      <w:r w:rsidR="00305EC7">
        <w:rPr>
          <w:rFonts w:cs="Arial"/>
        </w:rPr>
        <w:t xml:space="preserve">among reefs </w:t>
      </w:r>
      <w:r>
        <w:rPr>
          <w:rFonts w:cs="Arial"/>
        </w:rPr>
        <w:t>illustrates</w:t>
      </w:r>
      <w:r w:rsidRPr="008C0567">
        <w:rPr>
          <w:rFonts w:cs="Arial"/>
        </w:rPr>
        <w:t xml:space="preserve"> the role of water quality</w:t>
      </w:r>
      <w:r>
        <w:rPr>
          <w:rFonts w:cs="Arial"/>
        </w:rPr>
        <w:t xml:space="preserve"> in supressing coral community resilience. Following coral bleaching in 2006 recovery of coral cover was</w:t>
      </w:r>
      <w:r w:rsidRPr="008C0567">
        <w:rPr>
          <w:rFonts w:cs="Arial"/>
        </w:rPr>
        <w:t xml:space="preserve"> inversely related to the persistence of macroalgae. At the three </w:t>
      </w:r>
      <w:r w:rsidRPr="008C0567">
        <w:rPr>
          <w:rFonts w:cs="Arial"/>
          <w:i/>
        </w:rPr>
        <w:t>Acropora sp</w:t>
      </w:r>
      <w:r w:rsidRPr="008C0567">
        <w:rPr>
          <w:rFonts w:cs="Arial"/>
        </w:rPr>
        <w:t xml:space="preserve">. dominated communities </w:t>
      </w:r>
      <w:r>
        <w:rPr>
          <w:rFonts w:cs="Arial"/>
        </w:rPr>
        <w:t>with highest</w:t>
      </w:r>
      <w:r w:rsidR="00E75F5C">
        <w:rPr>
          <w:rFonts w:cs="Arial"/>
        </w:rPr>
        <w:t xml:space="preserve"> </w:t>
      </w:r>
      <w:r>
        <w:rPr>
          <w:rFonts w:cs="Arial"/>
        </w:rPr>
        <w:t xml:space="preserve">Chl </w:t>
      </w:r>
      <w:r w:rsidRPr="00663F7B">
        <w:rPr>
          <w:rFonts w:cs="Arial"/>
          <w:i/>
        </w:rPr>
        <w:t>a</w:t>
      </w:r>
      <w:r>
        <w:rPr>
          <w:rFonts w:cs="Arial"/>
        </w:rPr>
        <w:t xml:space="preserve"> concentrations</w:t>
      </w:r>
      <w:r w:rsidRPr="00273117">
        <w:rPr>
          <w:rFonts w:cs="Arial"/>
          <w:color w:val="548DD4" w:themeColor="text2" w:themeTint="99"/>
        </w:rPr>
        <w:t xml:space="preserve"> </w:t>
      </w:r>
      <w:r w:rsidRPr="00CE7678">
        <w:rPr>
          <w:rFonts w:cs="Arial"/>
          <w:color w:val="000000" w:themeColor="text1"/>
        </w:rPr>
        <w:t>(Keppel</w:t>
      </w:r>
      <w:r>
        <w:rPr>
          <w:rFonts w:cs="Arial"/>
          <w:color w:val="000000" w:themeColor="text1"/>
        </w:rPr>
        <w:t>s South, Middle and North Keppel</w:t>
      </w:r>
      <w:r w:rsidRPr="00F301BD">
        <w:rPr>
          <w:rFonts w:cs="Arial"/>
          <w:color w:val="000000" w:themeColor="text1"/>
        </w:rPr>
        <w:t>)</w:t>
      </w:r>
      <w:r w:rsidRPr="00F301BD">
        <w:rPr>
          <w:rFonts w:cs="Arial"/>
          <w:color w:val="548DD4" w:themeColor="text2" w:themeTint="99"/>
        </w:rPr>
        <w:t xml:space="preserve"> </w:t>
      </w:r>
      <w:r w:rsidRPr="00F301BD">
        <w:rPr>
          <w:rFonts w:cs="Arial"/>
        </w:rPr>
        <w:t xml:space="preserve">macroalgae cover (predominantly </w:t>
      </w:r>
      <w:r w:rsidRPr="00F301BD">
        <w:rPr>
          <w:rFonts w:cs="Arial"/>
          <w:i/>
        </w:rPr>
        <w:t>Lobophora variegata</w:t>
      </w:r>
      <w:r w:rsidRPr="00F301BD">
        <w:rPr>
          <w:rFonts w:cs="Arial"/>
        </w:rPr>
        <w:t xml:space="preserve">) rapidly increased and persisted at high density, whilst rates of change in coral cover remained low </w:t>
      </w:r>
      <w:r>
        <w:rPr>
          <w:rFonts w:cs="Arial"/>
        </w:rPr>
        <w:t xml:space="preserve">or </w:t>
      </w:r>
      <w:r w:rsidRPr="00F301BD">
        <w:rPr>
          <w:rFonts w:cs="Arial"/>
        </w:rPr>
        <w:t xml:space="preserve">coral cover continued to decline. In contrast, at Barren, where </w:t>
      </w:r>
      <w:r>
        <w:rPr>
          <w:rFonts w:cs="Arial"/>
        </w:rPr>
        <w:t xml:space="preserve">Chl </w:t>
      </w:r>
      <w:r w:rsidRPr="00305EC7">
        <w:rPr>
          <w:rFonts w:cs="Arial"/>
          <w:i/>
        </w:rPr>
        <w:t>a</w:t>
      </w:r>
      <w:r>
        <w:rPr>
          <w:rFonts w:cs="Arial"/>
        </w:rPr>
        <w:t xml:space="preserve"> concentration is lower</w:t>
      </w:r>
      <w:r w:rsidRPr="00F301BD">
        <w:rPr>
          <w:rFonts w:cs="Arial"/>
        </w:rPr>
        <w:t xml:space="preserve">, the bloom of </w:t>
      </w:r>
      <w:r w:rsidRPr="00F301BD">
        <w:rPr>
          <w:rFonts w:cs="Arial"/>
          <w:i/>
        </w:rPr>
        <w:t>L. variegata</w:t>
      </w:r>
      <w:r w:rsidRPr="00F301BD">
        <w:rPr>
          <w:rFonts w:cs="Arial"/>
        </w:rPr>
        <w:t xml:space="preserve"> was less pronounced and recovery of the coral community clearly pr</w:t>
      </w:r>
      <w:r w:rsidRPr="008C0567">
        <w:rPr>
          <w:rFonts w:cs="Arial"/>
        </w:rPr>
        <w:t>ogressed</w:t>
      </w:r>
      <w:r w:rsidRPr="00273117">
        <w:rPr>
          <w:rFonts w:cs="Arial"/>
        </w:rPr>
        <w:t xml:space="preserve">. </w:t>
      </w:r>
      <w:r>
        <w:rPr>
          <w:rFonts w:cs="Arial"/>
        </w:rPr>
        <w:t xml:space="preserve">There is clear evidence that the abundance of macroalgae on </w:t>
      </w:r>
      <w:r w:rsidRPr="00713F82">
        <w:rPr>
          <w:rFonts w:cs="Arial"/>
        </w:rPr>
        <w:t>the Reef</w:t>
      </w:r>
      <w:r>
        <w:rPr>
          <w:rFonts w:cs="Arial"/>
        </w:rPr>
        <w:t xml:space="preserve"> is higher where Chl</w:t>
      </w:r>
      <w:r w:rsidRPr="0057309A">
        <w:rPr>
          <w:rFonts w:cs="Arial"/>
        </w:rPr>
        <w:t xml:space="preserve"> </w:t>
      </w:r>
      <w:r w:rsidRPr="00DD6D82">
        <w:rPr>
          <w:rFonts w:cs="Arial"/>
          <w:i/>
        </w:rPr>
        <w:t>a</w:t>
      </w:r>
      <w:r w:rsidRPr="0057309A">
        <w:rPr>
          <w:rFonts w:cs="Arial"/>
        </w:rPr>
        <w:t xml:space="preserve"> </w:t>
      </w:r>
      <w:r>
        <w:rPr>
          <w:rFonts w:cs="Arial"/>
        </w:rPr>
        <w:t xml:space="preserve">concentrations </w:t>
      </w:r>
      <w:r w:rsidRPr="0057309A">
        <w:rPr>
          <w:rFonts w:cs="Arial"/>
        </w:rPr>
        <w:t xml:space="preserve">(as a proxy for nutrients) </w:t>
      </w:r>
      <w:r>
        <w:rPr>
          <w:rFonts w:cs="Arial"/>
        </w:rPr>
        <w:t xml:space="preserve">are above the annual </w:t>
      </w:r>
      <w:r w:rsidR="001D5EAA">
        <w:rPr>
          <w:rFonts w:cs="Arial"/>
        </w:rPr>
        <w:t>guideline value</w:t>
      </w:r>
      <w:r>
        <w:rPr>
          <w:rFonts w:cs="Arial"/>
        </w:rPr>
        <w:t>s for coastal and mid-shelf waters of 0.45µgL</w:t>
      </w:r>
      <w:r w:rsidRPr="00CE7678">
        <w:rPr>
          <w:rFonts w:cs="Arial"/>
          <w:vertAlign w:val="superscript"/>
        </w:rPr>
        <w:t>-1</w:t>
      </w:r>
      <w:r>
        <w:rPr>
          <w:rFonts w:cs="Arial"/>
        </w:rPr>
        <w:t xml:space="preserve"> (</w:t>
      </w:r>
      <w:r w:rsidR="00072F4D">
        <w:rPr>
          <w:rFonts w:cs="Arial"/>
        </w:rPr>
        <w:t>De’ath &amp; Fabricius 2008</w:t>
      </w:r>
      <w:r>
        <w:rPr>
          <w:rFonts w:cs="Arial"/>
        </w:rPr>
        <w:t xml:space="preserve">, Thompson </w:t>
      </w:r>
      <w:r w:rsidRPr="009A51D8">
        <w:rPr>
          <w:rFonts w:cs="Arial"/>
          <w:i/>
        </w:rPr>
        <w:t>et al</w:t>
      </w:r>
      <w:r>
        <w:rPr>
          <w:rFonts w:cs="Arial"/>
          <w:i/>
        </w:rPr>
        <w:t>.</w:t>
      </w:r>
      <w:r>
        <w:rPr>
          <w:rFonts w:cs="Arial"/>
        </w:rPr>
        <w:t xml:space="preserve"> 2016, section 8 this report) strongly suggesting that the persistence of macroalgae is related to nutrient levels</w:t>
      </w:r>
      <w:r w:rsidRPr="0057309A">
        <w:rPr>
          <w:rFonts w:cs="Arial"/>
        </w:rPr>
        <w:t>.</w:t>
      </w:r>
      <w:r>
        <w:rPr>
          <w:rFonts w:cs="Arial"/>
        </w:rPr>
        <w:t xml:space="preserve"> The continued increases in macroalgae at Middle Is and North Keppel recorded this year despite the lack of significant </w:t>
      </w:r>
      <w:r w:rsidR="0042623E">
        <w:rPr>
          <w:rFonts w:cs="Arial"/>
        </w:rPr>
        <w:t>run-off</w:t>
      </w:r>
      <w:r>
        <w:rPr>
          <w:rFonts w:cs="Arial"/>
        </w:rPr>
        <w:t xml:space="preserve"> events in recent years suggests either local inputs or chronic lev</w:t>
      </w:r>
      <w:r w:rsidR="00445AF4">
        <w:rPr>
          <w:rFonts w:cs="Arial"/>
        </w:rPr>
        <w:t>els of nutrients in the system.</w:t>
      </w:r>
    </w:p>
    <w:p w14:paraId="49A17272" w14:textId="271E4DD8" w:rsidR="00A462A9" w:rsidRPr="00220401" w:rsidRDefault="00A462A9" w:rsidP="00A462A9">
      <w:pPr>
        <w:rPr>
          <w:rFonts w:cs="Arial"/>
        </w:rPr>
      </w:pPr>
      <w:r>
        <w:rPr>
          <w:rFonts w:cs="Arial"/>
        </w:rPr>
        <w:t xml:space="preserve">In contrast to persistent macroalgae, there has been a continued improvement in the juvenile density metric and a maintained rate of increase in coral cover; both key factors countering a long-term phase shift to macroalgae dominated states. </w:t>
      </w:r>
      <w:r>
        <w:t>F</w:t>
      </w:r>
      <w:r w:rsidRPr="008C0567">
        <w:t xml:space="preserve">ollowing the initial improvements observed last year, </w:t>
      </w:r>
      <w:r>
        <w:t xml:space="preserve">despite remaining ‘poor’ in 2016, </w:t>
      </w:r>
      <w:r w:rsidRPr="008C0567">
        <w:t xml:space="preserve">the coral index </w:t>
      </w:r>
      <w:r>
        <w:t>continues to indicate</w:t>
      </w:r>
      <w:r w:rsidRPr="008C0567">
        <w:t xml:space="preserve"> </w:t>
      </w:r>
      <w:r>
        <w:t xml:space="preserve">coral communities </w:t>
      </w:r>
      <w:r w:rsidR="0066479F">
        <w:t xml:space="preserve">are resilient </w:t>
      </w:r>
      <w:r>
        <w:t xml:space="preserve">when spared from acute disturbance events and high contaminant loads from the catchment </w:t>
      </w:r>
      <w:r w:rsidRPr="008C0567">
        <w:t xml:space="preserve">(Garzon-Garcia </w:t>
      </w:r>
      <w:r w:rsidRPr="008C0567">
        <w:rPr>
          <w:i/>
        </w:rPr>
        <w:t>et al.</w:t>
      </w:r>
      <w:r w:rsidRPr="008C0567">
        <w:t xml:space="preserve"> 2015)</w:t>
      </w:r>
      <w:r>
        <w:t xml:space="preserve">. </w:t>
      </w:r>
    </w:p>
    <w:p w14:paraId="500B38CB" w14:textId="2C08B95B" w:rsidR="00220401" w:rsidRPr="00F439FB" w:rsidRDefault="00220401" w:rsidP="00220401">
      <w:pPr>
        <w:pStyle w:val="Heading2"/>
      </w:pPr>
      <w:bookmarkStart w:id="295" w:name="_Toc471376419"/>
      <w:bookmarkStart w:id="296" w:name="_Toc493153350"/>
      <w:r>
        <w:t xml:space="preserve">6.3 </w:t>
      </w:r>
      <w:bookmarkEnd w:id="295"/>
      <w:r>
        <w:t>Conclusion</w:t>
      </w:r>
      <w:bookmarkEnd w:id="296"/>
    </w:p>
    <w:p w14:paraId="598E94E4" w14:textId="509D118A" w:rsidR="00220401" w:rsidRDefault="00220401" w:rsidP="00220401">
      <w:pPr>
        <w:rPr>
          <w:rFonts w:cs="Arial"/>
          <w:color w:val="000000" w:themeColor="text1"/>
        </w:rPr>
      </w:pPr>
      <w:r w:rsidRPr="00EF7D66">
        <w:rPr>
          <w:rFonts w:cs="Arial"/>
          <w:color w:val="000000" w:themeColor="text1"/>
        </w:rPr>
        <w:t>The cumulative impacts of tropical cyclones and storms</w:t>
      </w:r>
      <w:r>
        <w:rPr>
          <w:rFonts w:cs="Arial"/>
          <w:color w:val="000000" w:themeColor="text1"/>
        </w:rPr>
        <w:t>, feeding by COTS, and thermal stress,</w:t>
      </w:r>
      <w:r w:rsidRPr="00EF7D66">
        <w:rPr>
          <w:rFonts w:cs="Arial"/>
          <w:color w:val="000000" w:themeColor="text1"/>
        </w:rPr>
        <w:t xml:space="preserve"> along with elevated loads of contaminants introduced to the Reef during a period of high discharges from adjacent catchments</w:t>
      </w:r>
      <w:r>
        <w:rPr>
          <w:rFonts w:cs="Arial"/>
          <w:color w:val="000000" w:themeColor="text1"/>
        </w:rPr>
        <w:t>,</w:t>
      </w:r>
      <w:r w:rsidRPr="00EF7D66">
        <w:rPr>
          <w:rFonts w:cs="Arial"/>
          <w:color w:val="000000" w:themeColor="text1"/>
        </w:rPr>
        <w:t xml:space="preserve"> resulted in clear declines in the condition of coral communities on inshore reefs</w:t>
      </w:r>
      <w:r>
        <w:rPr>
          <w:rFonts w:cs="Arial"/>
          <w:color w:val="000000" w:themeColor="text1"/>
        </w:rPr>
        <w:t xml:space="preserve"> through to 2012-2014</w:t>
      </w:r>
      <w:r w:rsidRPr="00EF7D66">
        <w:rPr>
          <w:rFonts w:cs="Arial"/>
          <w:color w:val="000000" w:themeColor="text1"/>
        </w:rPr>
        <w:t>.</w:t>
      </w:r>
      <w:r>
        <w:rPr>
          <w:rFonts w:cs="Arial"/>
          <w:color w:val="000000" w:themeColor="text1"/>
        </w:rPr>
        <w:t xml:space="preserve"> With the abatement of acute disturbances and lower loads of sediments and nutrients entering the Reef in recent years, coral communities have shown clear recovery. The long-term persistence of inshore coral communities will depend on the balance between frequency and severity of cumulative pressures and corals ability to recover. It is the overarching goal of Reef plan to ensure that </w:t>
      </w:r>
      <w:r w:rsidR="0042623E">
        <w:rPr>
          <w:rFonts w:cs="Arial"/>
          <w:color w:val="000000" w:themeColor="text1"/>
        </w:rPr>
        <w:t>run-off</w:t>
      </w:r>
      <w:r>
        <w:rPr>
          <w:rFonts w:cs="Arial"/>
          <w:color w:val="000000" w:themeColor="text1"/>
        </w:rPr>
        <w:t xml:space="preserve"> entering the reef does not alter this balance. </w:t>
      </w:r>
    </w:p>
    <w:p w14:paraId="4DF2E42A" w14:textId="197D142C" w:rsidR="00220401" w:rsidRDefault="00220401" w:rsidP="00220401">
      <w:pPr>
        <w:rPr>
          <w:rFonts w:cs="Arial"/>
          <w:color w:val="000000" w:themeColor="text1"/>
        </w:rPr>
      </w:pPr>
      <w:r>
        <w:rPr>
          <w:rFonts w:cs="Arial"/>
          <w:color w:val="000000" w:themeColor="text1"/>
        </w:rPr>
        <w:t xml:space="preserve">Disentangling the influence of </w:t>
      </w:r>
      <w:r w:rsidR="0042623E">
        <w:rPr>
          <w:rFonts w:cs="Arial"/>
          <w:color w:val="000000" w:themeColor="text1"/>
        </w:rPr>
        <w:t>run-off</w:t>
      </w:r>
      <w:r>
        <w:rPr>
          <w:rFonts w:cs="Arial"/>
          <w:color w:val="000000" w:themeColor="text1"/>
        </w:rPr>
        <w:t xml:space="preserve"> in observed declines in coral community condition, or the ability of communities to recover, remains difficult for two primary reasons. Firstly, coral’s threshold to the cumulative pressures associated with water quality are likely to be spatially variable because of the selection, and acclimation, of corals in response to location specific conditions. Secondly, extrinsic variability, along with low concentrations of many constituents of water quality limits the ability to quantify additional pressures resulting from </w:t>
      </w:r>
      <w:r w:rsidR="0042623E">
        <w:rPr>
          <w:rFonts w:cs="Arial"/>
          <w:color w:val="000000" w:themeColor="text1"/>
        </w:rPr>
        <w:t>run-off</w:t>
      </w:r>
      <w:r>
        <w:rPr>
          <w:rFonts w:cs="Arial"/>
          <w:color w:val="000000" w:themeColor="text1"/>
        </w:rPr>
        <w:t xml:space="preserve"> at the scales relevant to the communities monitored. In combination, these issues limit the ability to quantify critical thresholds for water quality that are appropriate to the diversity of coral communities found on inshore reefs. However, focusing on the response of the coral communities (as measured by differences in index scores) does allow identification of when and where communities have been least resilient. Spatially, it is clear that the guideline value for Chl </w:t>
      </w:r>
      <w:r w:rsidRPr="002A7BCF">
        <w:rPr>
          <w:rFonts w:cs="Arial"/>
          <w:i/>
          <w:color w:val="000000" w:themeColor="text1"/>
        </w:rPr>
        <w:t>a</w:t>
      </w:r>
      <w:r>
        <w:rPr>
          <w:rFonts w:cs="Arial"/>
          <w:color w:val="000000" w:themeColor="text1"/>
        </w:rPr>
        <w:t xml:space="preserve"> approximates a threshold for macroalgae that, in turn, appears to influence coral community resilience. Management options that reduce the availability of nutrients required to support Chl </w:t>
      </w:r>
      <w:r w:rsidRPr="002A7BCF">
        <w:rPr>
          <w:rFonts w:cs="Arial"/>
          <w:i/>
          <w:color w:val="000000" w:themeColor="text1"/>
        </w:rPr>
        <w:t>a</w:t>
      </w:r>
      <w:r>
        <w:rPr>
          <w:rFonts w:cs="Arial"/>
          <w:color w:val="000000" w:themeColor="text1"/>
        </w:rPr>
        <w:t xml:space="preserve"> levels beyond the threshold may also benefit coral communities be reducing the negative influence of macroalgae. That there is also a relationship between changes in coral index scores and </w:t>
      </w:r>
      <w:r w:rsidR="0042623E">
        <w:rPr>
          <w:rFonts w:cs="Arial"/>
          <w:color w:val="000000" w:themeColor="text1"/>
        </w:rPr>
        <w:t>run-off</w:t>
      </w:r>
      <w:r>
        <w:rPr>
          <w:rFonts w:cs="Arial"/>
          <w:color w:val="000000" w:themeColor="text1"/>
        </w:rPr>
        <w:t xml:space="preserve">, or DIN , in most regions further implicates concentrations of contaminants being introduced to the Reef as having in the potential to suppress the recovery of coral communities. </w:t>
      </w:r>
    </w:p>
    <w:p w14:paraId="11EA931E" w14:textId="7AA8A8C2" w:rsidR="008A1A24" w:rsidRPr="00F439FB" w:rsidRDefault="00220401">
      <w:pPr>
        <w:rPr>
          <w:color w:val="4F81BD" w:themeColor="accent1"/>
        </w:rPr>
      </w:pPr>
      <w:r>
        <w:rPr>
          <w:rFonts w:cs="Arial"/>
          <w:color w:val="000000" w:themeColor="text1"/>
        </w:rPr>
        <w:t xml:space="preserve">Although the observed response of coral index scores to </w:t>
      </w:r>
      <w:r w:rsidR="0042623E">
        <w:rPr>
          <w:rFonts w:cs="Arial"/>
          <w:color w:val="000000" w:themeColor="text1"/>
        </w:rPr>
        <w:t>run-off</w:t>
      </w:r>
      <w:r>
        <w:rPr>
          <w:rFonts w:cs="Arial"/>
          <w:color w:val="000000" w:themeColor="text1"/>
        </w:rPr>
        <w:t xml:space="preserve"> is not strong the consistent direction of the relationship</w:t>
      </w:r>
      <w:r w:rsidR="0066479F">
        <w:rPr>
          <w:rFonts w:cs="Arial"/>
          <w:color w:val="000000" w:themeColor="text1"/>
        </w:rPr>
        <w:t xml:space="preserve"> (i.e. </w:t>
      </w:r>
      <w:r>
        <w:rPr>
          <w:rFonts w:cs="Arial"/>
          <w:color w:val="000000" w:themeColor="text1"/>
        </w:rPr>
        <w:t xml:space="preserve">higher rates of improvement when </w:t>
      </w:r>
      <w:r w:rsidR="0042623E">
        <w:rPr>
          <w:rFonts w:cs="Arial"/>
          <w:color w:val="000000" w:themeColor="text1"/>
        </w:rPr>
        <w:t>run-off</w:t>
      </w:r>
      <w:r>
        <w:rPr>
          <w:rFonts w:cs="Arial"/>
          <w:color w:val="000000" w:themeColor="text1"/>
        </w:rPr>
        <w:t xml:space="preserve"> is low</w:t>
      </w:r>
      <w:r w:rsidR="0066479F">
        <w:rPr>
          <w:rFonts w:cs="Arial"/>
          <w:color w:val="000000" w:themeColor="text1"/>
        </w:rPr>
        <w:t>)</w:t>
      </w:r>
      <w:r>
        <w:rPr>
          <w:rFonts w:cs="Arial"/>
          <w:color w:val="000000" w:themeColor="text1"/>
        </w:rPr>
        <w:t xml:space="preserve">, does suggest the sensitivity of community recovery to contaminant concentrations in </w:t>
      </w:r>
      <w:r w:rsidR="0042623E">
        <w:rPr>
          <w:rFonts w:cs="Arial"/>
          <w:color w:val="000000" w:themeColor="text1"/>
        </w:rPr>
        <w:t>run-off</w:t>
      </w:r>
      <w:r>
        <w:rPr>
          <w:rFonts w:cs="Arial"/>
          <w:color w:val="000000" w:themeColor="text1"/>
        </w:rPr>
        <w:t xml:space="preserve">. Given </w:t>
      </w:r>
      <w:r w:rsidR="004C7D77">
        <w:rPr>
          <w:rFonts w:cs="Arial"/>
          <w:color w:val="000000" w:themeColor="text1"/>
        </w:rPr>
        <w:t xml:space="preserve">projections for increased severity and/or frequency of </w:t>
      </w:r>
      <w:r w:rsidR="005876AE">
        <w:rPr>
          <w:rFonts w:cs="Arial"/>
          <w:color w:val="000000" w:themeColor="text1"/>
        </w:rPr>
        <w:t xml:space="preserve">pressures as a result of climate change, and human activities in general </w:t>
      </w:r>
      <w:r w:rsidRPr="008E2CAB">
        <w:rPr>
          <w:rFonts w:cs="Arial"/>
          <w:color w:val="000000" w:themeColor="text1"/>
        </w:rPr>
        <w:t xml:space="preserve">(Steffen </w:t>
      </w:r>
      <w:r w:rsidRPr="008E2CAB">
        <w:rPr>
          <w:rFonts w:cs="Arial"/>
          <w:i/>
          <w:color w:val="000000" w:themeColor="text1"/>
        </w:rPr>
        <w:t>et al</w:t>
      </w:r>
      <w:r w:rsidRPr="008E2CAB">
        <w:rPr>
          <w:rFonts w:cs="Arial"/>
          <w:color w:val="000000" w:themeColor="text1"/>
        </w:rPr>
        <w:t>. 2013</w:t>
      </w:r>
      <w:r w:rsidR="005876AE">
        <w:rPr>
          <w:rFonts w:cs="Arial"/>
          <w:color w:val="000000" w:themeColor="text1"/>
        </w:rPr>
        <w:t xml:space="preserve">, Halpern </w:t>
      </w:r>
      <w:r w:rsidR="005876AE" w:rsidRPr="005876AE">
        <w:rPr>
          <w:rFonts w:cs="Arial"/>
          <w:i/>
          <w:color w:val="000000" w:themeColor="text1"/>
        </w:rPr>
        <w:t>et al.</w:t>
      </w:r>
      <w:r w:rsidR="005876AE">
        <w:rPr>
          <w:rFonts w:cs="Arial"/>
          <w:color w:val="000000" w:themeColor="text1"/>
        </w:rPr>
        <w:t xml:space="preserve"> 2015</w:t>
      </w:r>
      <w:r w:rsidRPr="008E2CAB">
        <w:rPr>
          <w:rFonts w:cs="Arial"/>
          <w:color w:val="000000" w:themeColor="text1"/>
        </w:rPr>
        <w:t>)</w:t>
      </w:r>
      <w:r w:rsidR="005876AE">
        <w:rPr>
          <w:rFonts w:cs="Arial"/>
          <w:color w:val="000000" w:themeColor="text1"/>
        </w:rPr>
        <w:t xml:space="preserve">, the importance of reducing </w:t>
      </w:r>
      <w:r>
        <w:rPr>
          <w:rFonts w:cs="Arial"/>
          <w:color w:val="000000" w:themeColor="text1"/>
        </w:rPr>
        <w:t xml:space="preserve">local pressures, so as to reduce cumulative pressures and foster improved recovery becomes </w:t>
      </w:r>
      <w:r w:rsidR="005876AE">
        <w:rPr>
          <w:rFonts w:cs="Arial"/>
          <w:color w:val="000000" w:themeColor="text1"/>
        </w:rPr>
        <w:t xml:space="preserve">increasingly </w:t>
      </w:r>
      <w:r>
        <w:rPr>
          <w:rFonts w:cs="Arial"/>
          <w:color w:val="000000" w:themeColor="text1"/>
        </w:rPr>
        <w:t xml:space="preserve">essential to the long-term maintained of these communities. </w:t>
      </w:r>
      <w:r w:rsidRPr="008E2CAB">
        <w:rPr>
          <w:rFonts w:cs="Arial"/>
          <w:color w:val="000000" w:themeColor="text1"/>
        </w:rPr>
        <w:t xml:space="preserve">The GBRMPA Strategic Assessment identified </w:t>
      </w:r>
      <w:r>
        <w:rPr>
          <w:rFonts w:cs="Arial"/>
          <w:color w:val="000000" w:themeColor="text1"/>
        </w:rPr>
        <w:t>the</w:t>
      </w:r>
      <w:r w:rsidRPr="008E2CAB">
        <w:rPr>
          <w:rFonts w:cs="Arial"/>
          <w:color w:val="000000" w:themeColor="text1"/>
        </w:rPr>
        <w:t xml:space="preserve"> cumulative impact</w:t>
      </w:r>
      <w:r>
        <w:rPr>
          <w:rFonts w:cs="Arial"/>
          <w:color w:val="000000" w:themeColor="text1"/>
        </w:rPr>
        <w:t xml:space="preserve"> of </w:t>
      </w:r>
      <w:r w:rsidRPr="008E2CAB">
        <w:rPr>
          <w:rFonts w:cs="Arial"/>
          <w:color w:val="000000" w:themeColor="text1"/>
        </w:rPr>
        <w:t>multiple pressures</w:t>
      </w:r>
      <w:r>
        <w:rPr>
          <w:rFonts w:cs="Arial"/>
          <w:color w:val="000000" w:themeColor="text1"/>
        </w:rPr>
        <w:t xml:space="preserve"> on coral ecosystems </w:t>
      </w:r>
      <w:r w:rsidRPr="008E2CAB">
        <w:rPr>
          <w:rFonts w:cs="Arial"/>
          <w:color w:val="000000" w:themeColor="text1"/>
        </w:rPr>
        <w:t xml:space="preserve">as a key knowledge gap and the management of these impacts as a major strategic challenge (GBRMPA 2014a). </w:t>
      </w:r>
      <w:r>
        <w:rPr>
          <w:rFonts w:cs="Arial"/>
          <w:color w:val="000000" w:themeColor="text1"/>
        </w:rPr>
        <w:t xml:space="preserve">While the results presented here do not provide clear guidance in terms of load reductions required to improve coral condition in the inshore Reef they do support the premise of Reef Plan that the loads entering the reef, during high rain fall periods in particular, are reducing the resilience of these communities. </w:t>
      </w:r>
    </w:p>
    <w:p w14:paraId="3A59BF2F" w14:textId="77777777" w:rsidR="00502A11" w:rsidRDefault="008A1A24" w:rsidP="00502A11">
      <w:pPr>
        <w:jc w:val="left"/>
        <w:rPr>
          <w:rFonts w:eastAsia="SimSun"/>
          <w:b/>
          <w:i/>
          <w:color w:val="4F81BD" w:themeColor="accent1"/>
          <w:kern w:val="28"/>
          <w:sz w:val="32"/>
          <w:szCs w:val="28"/>
        </w:rPr>
      </w:pPr>
      <w:r w:rsidRPr="00F439FB">
        <w:br w:type="page"/>
      </w:r>
      <w:bookmarkStart w:id="297" w:name="_Toc374701391"/>
      <w:bookmarkEnd w:id="42"/>
      <w:bookmarkEnd w:id="43"/>
      <w:bookmarkEnd w:id="44"/>
      <w:bookmarkEnd w:id="45"/>
      <w:bookmarkEnd w:id="46"/>
      <w:bookmarkEnd w:id="47"/>
      <w:bookmarkEnd w:id="48"/>
      <w:bookmarkEnd w:id="49"/>
      <w:bookmarkEnd w:id="50"/>
    </w:p>
    <w:p w14:paraId="2008357C" w14:textId="77777777" w:rsidR="00502A11" w:rsidRPr="00A803D4" w:rsidRDefault="00502A11" w:rsidP="00B05739">
      <w:pPr>
        <w:pStyle w:val="Heading1"/>
        <w:numPr>
          <w:ilvl w:val="0"/>
          <w:numId w:val="42"/>
        </w:numPr>
        <w:rPr>
          <w:rStyle w:val="Heading2Char1"/>
          <w:rFonts w:eastAsia="SimSun" w:cs="Times New Roman"/>
          <w:b/>
          <w:bCs w:val="0"/>
          <w:color w:val="auto"/>
          <w:sz w:val="32"/>
          <w:szCs w:val="28"/>
        </w:rPr>
      </w:pPr>
      <w:bookmarkStart w:id="298" w:name="_Toc493153351"/>
      <w:r>
        <w:t>Case Study - Coral Bleaching 2016</w:t>
      </w:r>
      <w:bookmarkEnd w:id="298"/>
    </w:p>
    <w:p w14:paraId="75F88D7E" w14:textId="335F06E6" w:rsidR="00502A11" w:rsidRPr="007F05E7" w:rsidRDefault="00502A11" w:rsidP="00502A11">
      <w:pPr>
        <w:rPr>
          <w:rFonts w:cs="Arial"/>
          <w:lang w:val="en-AU"/>
        </w:rPr>
      </w:pPr>
      <w:r w:rsidRPr="007F05E7">
        <w:rPr>
          <w:rFonts w:cs="Arial"/>
          <w:lang w:val="en-AU"/>
        </w:rPr>
        <w:t xml:space="preserve">The 2016 mass bleaching event on the Reef </w:t>
      </w:r>
      <w:r w:rsidR="0066479F">
        <w:rPr>
          <w:rFonts w:cs="Arial"/>
          <w:lang w:val="en-AU"/>
        </w:rPr>
        <w:t>was the culmination of</w:t>
      </w:r>
      <w:r w:rsidR="0066479F" w:rsidRPr="007F05E7">
        <w:rPr>
          <w:rFonts w:cs="Arial"/>
          <w:lang w:val="en-AU"/>
        </w:rPr>
        <w:t xml:space="preserve"> </w:t>
      </w:r>
      <w:r w:rsidRPr="007F05E7">
        <w:rPr>
          <w:rFonts w:cs="Arial"/>
          <w:lang w:val="en-AU"/>
        </w:rPr>
        <w:t xml:space="preserve">a global bleaching event that </w:t>
      </w:r>
      <w:r>
        <w:rPr>
          <w:rFonts w:cs="Arial"/>
          <w:lang w:val="en-AU"/>
        </w:rPr>
        <w:t>began</w:t>
      </w:r>
      <w:r w:rsidRPr="007F05E7">
        <w:rPr>
          <w:rFonts w:cs="Arial"/>
          <w:lang w:val="en-AU"/>
        </w:rPr>
        <w:t xml:space="preserve"> in 2014. This global event was driven by record-breaking sea surface temperatures </w:t>
      </w:r>
      <w:r>
        <w:rPr>
          <w:rFonts w:cs="Arial"/>
          <w:lang w:val="en-AU"/>
        </w:rPr>
        <w:t xml:space="preserve">and </w:t>
      </w:r>
      <w:r w:rsidRPr="007F05E7">
        <w:rPr>
          <w:rFonts w:cs="Arial"/>
          <w:lang w:val="en-AU"/>
        </w:rPr>
        <w:t xml:space="preserve">supported by a strong and unusually protracted El Niño event (Mann </w:t>
      </w:r>
      <w:r w:rsidRPr="005B52B1">
        <w:rPr>
          <w:rFonts w:cs="Arial"/>
          <w:i/>
          <w:lang w:val="en-AU"/>
        </w:rPr>
        <w:t>et al</w:t>
      </w:r>
      <w:r>
        <w:rPr>
          <w:rFonts w:cs="Arial"/>
          <w:i/>
          <w:lang w:val="en-AU"/>
        </w:rPr>
        <w:t>.</w:t>
      </w:r>
      <w:r w:rsidRPr="007F05E7">
        <w:rPr>
          <w:rFonts w:cs="Arial"/>
          <w:lang w:val="en-AU"/>
        </w:rPr>
        <w:t xml:space="preserve"> 2016). For Australia, the strong El Niño reduced monsoonal activity over northern </w:t>
      </w:r>
      <w:r>
        <w:rPr>
          <w:rFonts w:cs="Arial"/>
          <w:lang w:val="en-AU"/>
        </w:rPr>
        <w:t>areas of the Reef</w:t>
      </w:r>
      <w:r w:rsidR="00EB2206">
        <w:rPr>
          <w:rFonts w:cs="Arial"/>
          <w:lang w:val="en-AU"/>
        </w:rPr>
        <w:t xml:space="preserve"> </w:t>
      </w:r>
      <w:r w:rsidRPr="007F05E7">
        <w:rPr>
          <w:rFonts w:cs="Arial"/>
          <w:lang w:val="en-AU"/>
        </w:rPr>
        <w:t>during the 2016 austral summer, resulting in long periods without cloud cover that caused additional coral stress. For the five months between February and June 2016</w:t>
      </w:r>
      <w:r>
        <w:rPr>
          <w:rFonts w:cs="Arial"/>
          <w:lang w:val="en-AU"/>
        </w:rPr>
        <w:t>,</w:t>
      </w:r>
      <w:r w:rsidRPr="007F05E7">
        <w:rPr>
          <w:rFonts w:cs="Arial"/>
          <w:lang w:val="en-AU"/>
        </w:rPr>
        <w:t xml:space="preserve"> the Australian Bureau of Meteorology recorded the hottest ever average sea surface temperatures across the </w:t>
      </w:r>
      <w:r>
        <w:rPr>
          <w:rFonts w:cs="Arial"/>
          <w:lang w:val="en-AU"/>
        </w:rPr>
        <w:t>Reef</w:t>
      </w:r>
      <w:r w:rsidRPr="007F05E7">
        <w:rPr>
          <w:rFonts w:cs="Arial"/>
          <w:lang w:val="en-AU"/>
        </w:rPr>
        <w:t xml:space="preserve">. However, this heat stress was not distributed uniformly, as local weather patterns provided storms, rain, and heavy cloud cover (for example from ex tropical cyclones Winston and Tatiana) that influenced local sea surface temperatures. Indeed, the influence of local weather patterns varied the intensity of coral bleaching both within and among regions, leaving large areas of the </w:t>
      </w:r>
      <w:r>
        <w:rPr>
          <w:rFonts w:cs="Arial"/>
          <w:lang w:val="en-AU"/>
        </w:rPr>
        <w:t>Reef</w:t>
      </w:r>
      <w:r w:rsidRPr="007F05E7">
        <w:rPr>
          <w:rFonts w:cs="Arial"/>
          <w:lang w:val="en-AU"/>
        </w:rPr>
        <w:t xml:space="preserve"> with only minor disturbances. </w:t>
      </w:r>
    </w:p>
    <w:p w14:paraId="5B59047F" w14:textId="5F719CFD" w:rsidR="00502A11" w:rsidRPr="007F05E7" w:rsidRDefault="00502A11" w:rsidP="00502A11">
      <w:pPr>
        <w:rPr>
          <w:rFonts w:cs="Arial"/>
          <w:lang w:val="en-AU"/>
        </w:rPr>
      </w:pPr>
      <w:r w:rsidRPr="007F05E7">
        <w:rPr>
          <w:rFonts w:cs="Arial"/>
          <w:lang w:val="en-AU"/>
        </w:rPr>
        <w:t xml:space="preserve">To estimate the extent of mass bleaching on the </w:t>
      </w:r>
      <w:r>
        <w:rPr>
          <w:rFonts w:cs="Arial"/>
          <w:lang w:val="en-AU"/>
        </w:rPr>
        <w:t>Reef</w:t>
      </w:r>
      <w:r w:rsidRPr="007F05E7">
        <w:rPr>
          <w:rFonts w:cs="Arial"/>
          <w:lang w:val="en-AU"/>
        </w:rPr>
        <w:t xml:space="preserve">, a partnership of research agencies and collaborators under Australia’s National Coral Bleaching Taskforce conducted a series of coordinated surveys of the </w:t>
      </w:r>
      <w:r>
        <w:rPr>
          <w:rFonts w:cs="Arial"/>
          <w:lang w:val="en-AU"/>
        </w:rPr>
        <w:t>Reef</w:t>
      </w:r>
      <w:r w:rsidRPr="007F05E7">
        <w:rPr>
          <w:rFonts w:cs="Arial"/>
          <w:lang w:val="en-AU"/>
        </w:rPr>
        <w:t xml:space="preserve"> between March and June 2016. The Australian Research Centre of Excellence for Coral Reef Studies carried out both aerial and in-water surveys. The Australian Institute of Marine Science (AIMS) and the Great Barrier Reef Marine Park Authority (GBRMPA) carried out in-water surveys. This section looks at the results from the Eye on the Reef program</w:t>
      </w:r>
      <w:r w:rsidR="007C08AD">
        <w:rPr>
          <w:rFonts w:cs="Arial"/>
          <w:lang w:val="en-AU"/>
        </w:rPr>
        <w:t xml:space="preserve"> (EotR)</w:t>
      </w:r>
      <w:r w:rsidRPr="007F05E7">
        <w:rPr>
          <w:rFonts w:cs="Arial"/>
          <w:lang w:val="en-AU"/>
        </w:rPr>
        <w:t xml:space="preserve">, GBRMPA’s principal monitoring group, in order to place the bleaching pattern observed by the AIMS MMP in context with the wider bleaching event. Information on the </w:t>
      </w:r>
      <w:r w:rsidR="007C08AD">
        <w:rPr>
          <w:rFonts w:cs="Arial"/>
          <w:lang w:val="en-AU"/>
        </w:rPr>
        <w:t>EotR</w:t>
      </w:r>
      <w:r w:rsidRPr="007F05E7">
        <w:rPr>
          <w:rFonts w:cs="Arial"/>
          <w:lang w:val="en-AU"/>
        </w:rPr>
        <w:t xml:space="preserve"> draws heavily from their September 2016 interim report (Great Barrier Reef Marine Park Authority 2016). </w:t>
      </w:r>
    </w:p>
    <w:p w14:paraId="010E615E" w14:textId="77777777" w:rsidR="00502A11" w:rsidRPr="007F05E7" w:rsidRDefault="00502A11" w:rsidP="00502A11">
      <w:pPr>
        <w:pStyle w:val="Heading2"/>
      </w:pPr>
      <w:bookmarkStart w:id="299" w:name="_Toc493153352"/>
      <w:r>
        <w:t xml:space="preserve">7.1 </w:t>
      </w:r>
      <w:r w:rsidRPr="007F05E7">
        <w:t>Methods</w:t>
      </w:r>
      <w:bookmarkEnd w:id="299"/>
    </w:p>
    <w:p w14:paraId="1FBA15D6" w14:textId="69AF2E92" w:rsidR="00502A11" w:rsidRDefault="00502A11" w:rsidP="00502A11">
      <w:pPr>
        <w:rPr>
          <w:rFonts w:cs="Arial"/>
          <w:lang w:val="en-AU"/>
        </w:rPr>
      </w:pPr>
      <w:r w:rsidRPr="007F05E7">
        <w:rPr>
          <w:rFonts w:cs="Arial"/>
          <w:lang w:val="en-AU"/>
        </w:rPr>
        <w:t xml:space="preserve">The in-water survey methods used by the EotR and MMP both utilise a visual assessment category system to record bleaching </w:t>
      </w:r>
      <w:r>
        <w:rPr>
          <w:rFonts w:cs="Arial"/>
          <w:lang w:val="en-AU"/>
        </w:rPr>
        <w:t>severity (</w:t>
      </w:r>
      <w:r w:rsidR="007C08AD">
        <w:rPr>
          <w:rFonts w:cs="Arial"/>
          <w:lang w:val="en-AU"/>
        </w:rPr>
        <w:fldChar w:fldCharType="begin"/>
      </w:r>
      <w:r w:rsidR="007C08AD">
        <w:rPr>
          <w:rFonts w:cs="Arial"/>
          <w:lang w:val="en-AU"/>
        </w:rPr>
        <w:instrText xml:space="preserve"> REF _Ref491172572 \h </w:instrText>
      </w:r>
      <w:r w:rsidR="007C08AD">
        <w:rPr>
          <w:rFonts w:cs="Arial"/>
          <w:lang w:val="en-AU"/>
        </w:rPr>
      </w:r>
      <w:r w:rsidR="007C08AD">
        <w:rPr>
          <w:rFonts w:cs="Arial"/>
          <w:lang w:val="en-AU"/>
        </w:rPr>
        <w:fldChar w:fldCharType="separate"/>
      </w:r>
      <w:r w:rsidR="00D806F2">
        <w:t xml:space="preserve">Table </w:t>
      </w:r>
      <w:r w:rsidR="00D806F2">
        <w:rPr>
          <w:noProof/>
        </w:rPr>
        <w:t>16</w:t>
      </w:r>
      <w:r w:rsidR="007C08AD">
        <w:rPr>
          <w:rFonts w:cs="Arial"/>
          <w:lang w:val="en-AU"/>
        </w:rPr>
        <w:fldChar w:fldCharType="end"/>
      </w:r>
      <w:r>
        <w:rPr>
          <w:rFonts w:cs="Arial"/>
          <w:lang w:val="en-AU"/>
        </w:rPr>
        <w:t>) and recent mortality attributed to bleaching (</w:t>
      </w:r>
      <w:r w:rsidR="007C08AD">
        <w:rPr>
          <w:rFonts w:cs="Arial"/>
          <w:lang w:val="en-AU"/>
        </w:rPr>
        <w:fldChar w:fldCharType="begin"/>
      </w:r>
      <w:r w:rsidR="007C08AD">
        <w:rPr>
          <w:rFonts w:cs="Arial"/>
          <w:lang w:val="en-AU"/>
        </w:rPr>
        <w:instrText xml:space="preserve"> REF _Ref491172588 \h </w:instrText>
      </w:r>
      <w:r w:rsidR="007C08AD">
        <w:rPr>
          <w:rFonts w:cs="Arial"/>
          <w:lang w:val="en-AU"/>
        </w:rPr>
      </w:r>
      <w:r w:rsidR="007C08AD">
        <w:rPr>
          <w:rFonts w:cs="Arial"/>
          <w:lang w:val="en-AU"/>
        </w:rPr>
        <w:fldChar w:fldCharType="separate"/>
      </w:r>
      <w:r w:rsidR="00D806F2">
        <w:t xml:space="preserve">Table </w:t>
      </w:r>
      <w:r w:rsidR="00D806F2">
        <w:rPr>
          <w:noProof/>
        </w:rPr>
        <w:t>17</w:t>
      </w:r>
      <w:r w:rsidR="007C08AD">
        <w:rPr>
          <w:rFonts w:cs="Arial"/>
          <w:lang w:val="en-AU"/>
        </w:rPr>
        <w:fldChar w:fldCharType="end"/>
      </w:r>
      <w:r>
        <w:rPr>
          <w:rFonts w:cs="Arial"/>
          <w:lang w:val="en-AU"/>
        </w:rPr>
        <w:t>)</w:t>
      </w:r>
      <w:r w:rsidRPr="007F05E7">
        <w:rPr>
          <w:rFonts w:cs="Arial"/>
          <w:lang w:val="en-AU"/>
        </w:rPr>
        <w:t>.</w:t>
      </w:r>
      <w:r w:rsidRPr="006A123F">
        <w:rPr>
          <w:rFonts w:cs="Arial"/>
          <w:lang w:val="en-AU"/>
        </w:rPr>
        <w:t xml:space="preserve"> </w:t>
      </w:r>
      <w:r w:rsidR="00952494">
        <w:rPr>
          <w:rFonts w:cs="Arial"/>
          <w:lang w:val="en-AU"/>
        </w:rPr>
        <w:t xml:space="preserve">The sampling method used for the </w:t>
      </w:r>
      <w:r w:rsidR="00090C49">
        <w:rPr>
          <w:rFonts w:cs="Arial"/>
          <w:lang w:val="en-AU"/>
        </w:rPr>
        <w:t>EotR</w:t>
      </w:r>
      <w:r w:rsidR="00952494">
        <w:rPr>
          <w:rFonts w:cs="Arial"/>
          <w:lang w:val="en-AU"/>
        </w:rPr>
        <w:t xml:space="preserve"> surveys was the reef health and impact survey (RHIS, Beeden </w:t>
      </w:r>
      <w:r w:rsidR="00952494" w:rsidRPr="00952494">
        <w:rPr>
          <w:rFonts w:cs="Arial"/>
          <w:i/>
          <w:lang w:val="en-AU"/>
        </w:rPr>
        <w:t>et al.</w:t>
      </w:r>
      <w:r w:rsidR="00952494">
        <w:rPr>
          <w:rFonts w:cs="Arial"/>
          <w:lang w:val="en-AU"/>
        </w:rPr>
        <w:t xml:space="preserve"> 2014</w:t>
      </w:r>
      <w:r w:rsidRPr="007F05E7">
        <w:rPr>
          <w:rFonts w:cs="Arial"/>
          <w:lang w:val="en-AU"/>
        </w:rPr>
        <w:t xml:space="preserve">), </w:t>
      </w:r>
      <w:r w:rsidR="00952494">
        <w:rPr>
          <w:rFonts w:cs="Arial"/>
          <w:lang w:val="en-AU"/>
        </w:rPr>
        <w:t>the basic unit of which is a 5 m diameter circle in which bleaching impact</w:t>
      </w:r>
      <w:r w:rsidR="00EC3281">
        <w:rPr>
          <w:rFonts w:cs="Arial"/>
          <w:lang w:val="en-AU"/>
        </w:rPr>
        <w:t>s were estimated. At each reef groups of three RHIS surveys comprised a sample with samples in 1 to 3 m depths at three locations around each reef broadly undertaken in the north-west, south-west and north-east aspects of the reef slope. At the north-east location additional samples were taken at 3-6 m and 6-9 m depths</w:t>
      </w:r>
      <w:r w:rsidR="00090C49">
        <w:rPr>
          <w:rFonts w:cs="Arial"/>
          <w:lang w:val="en-AU"/>
        </w:rPr>
        <w:t xml:space="preserve">. Within these units the effects of bleaching were visually estimated as detailed in </w:t>
      </w:r>
      <w:r w:rsidR="00E54AF3">
        <w:rPr>
          <w:rFonts w:cs="Arial"/>
          <w:lang w:val="en-AU"/>
        </w:rPr>
        <w:fldChar w:fldCharType="begin"/>
      </w:r>
      <w:r w:rsidR="00E54AF3">
        <w:rPr>
          <w:rFonts w:cs="Arial"/>
          <w:lang w:val="en-AU"/>
        </w:rPr>
        <w:instrText xml:space="preserve"> REF _Ref491172572 \h </w:instrText>
      </w:r>
      <w:r w:rsidR="00E54AF3">
        <w:rPr>
          <w:rFonts w:cs="Arial"/>
          <w:lang w:val="en-AU"/>
        </w:rPr>
      </w:r>
      <w:r w:rsidR="00E54AF3">
        <w:rPr>
          <w:rFonts w:cs="Arial"/>
          <w:lang w:val="en-AU"/>
        </w:rPr>
        <w:fldChar w:fldCharType="separate"/>
      </w:r>
      <w:r w:rsidR="00D806F2">
        <w:t xml:space="preserve">Table </w:t>
      </w:r>
      <w:r w:rsidR="00D806F2">
        <w:rPr>
          <w:noProof/>
        </w:rPr>
        <w:t>16</w:t>
      </w:r>
      <w:r w:rsidR="00E54AF3">
        <w:rPr>
          <w:rFonts w:cs="Arial"/>
          <w:lang w:val="en-AU"/>
        </w:rPr>
        <w:fldChar w:fldCharType="end"/>
      </w:r>
      <w:r w:rsidR="00E54AF3">
        <w:rPr>
          <w:rFonts w:cs="Arial"/>
          <w:lang w:val="en-AU"/>
        </w:rPr>
        <w:t xml:space="preserve"> and </w:t>
      </w:r>
      <w:r w:rsidR="00E54AF3">
        <w:rPr>
          <w:rFonts w:cs="Arial"/>
          <w:lang w:val="en-AU"/>
        </w:rPr>
        <w:fldChar w:fldCharType="begin"/>
      </w:r>
      <w:r w:rsidR="00E54AF3">
        <w:rPr>
          <w:rFonts w:cs="Arial"/>
          <w:lang w:val="en-AU"/>
        </w:rPr>
        <w:instrText xml:space="preserve"> REF _Ref491172588 \h </w:instrText>
      </w:r>
      <w:r w:rsidR="00E54AF3">
        <w:rPr>
          <w:rFonts w:cs="Arial"/>
          <w:lang w:val="en-AU"/>
        </w:rPr>
      </w:r>
      <w:r w:rsidR="00E54AF3">
        <w:rPr>
          <w:rFonts w:cs="Arial"/>
          <w:lang w:val="en-AU"/>
        </w:rPr>
        <w:fldChar w:fldCharType="separate"/>
      </w:r>
      <w:r w:rsidR="00D806F2">
        <w:t xml:space="preserve">Table </w:t>
      </w:r>
      <w:r w:rsidR="00D806F2">
        <w:rPr>
          <w:noProof/>
        </w:rPr>
        <w:t>17</w:t>
      </w:r>
      <w:r w:rsidR="00E54AF3">
        <w:rPr>
          <w:rFonts w:cs="Arial"/>
          <w:lang w:val="en-AU"/>
        </w:rPr>
        <w:fldChar w:fldCharType="end"/>
      </w:r>
      <w:r w:rsidR="00E54AF3">
        <w:rPr>
          <w:rFonts w:cs="Arial"/>
          <w:lang w:val="en-AU"/>
        </w:rPr>
        <w:t>.</w:t>
      </w:r>
      <w:r w:rsidR="00E75F5C">
        <w:rPr>
          <w:rFonts w:cs="Arial"/>
          <w:lang w:val="en-AU"/>
        </w:rPr>
        <w:t xml:space="preserve"> </w:t>
      </w:r>
      <w:r w:rsidR="00E54AF3">
        <w:rPr>
          <w:rFonts w:cs="Arial"/>
          <w:lang w:val="en-AU"/>
        </w:rPr>
        <w:t>D</w:t>
      </w:r>
      <w:r w:rsidRPr="007F05E7">
        <w:rPr>
          <w:rFonts w:cs="Arial"/>
          <w:lang w:val="en-AU"/>
        </w:rPr>
        <w:t>etails of the scuba search methods used by the MMP</w:t>
      </w:r>
      <w:r>
        <w:rPr>
          <w:rFonts w:cs="Arial"/>
          <w:lang w:val="en-AU"/>
        </w:rPr>
        <w:t xml:space="preserve"> are provided in </w:t>
      </w:r>
      <w:r w:rsidRPr="00FB7B84">
        <w:rPr>
          <w:rFonts w:cs="Arial"/>
          <w:lang w:val="en-AU"/>
        </w:rPr>
        <w:t xml:space="preserve">Section </w:t>
      </w:r>
      <w:r>
        <w:rPr>
          <w:rFonts w:cs="Arial"/>
          <w:lang w:val="en-AU"/>
        </w:rPr>
        <w:t>4.</w:t>
      </w:r>
      <w:r w:rsidR="00E54AF3">
        <w:rPr>
          <w:rFonts w:cs="Arial"/>
          <w:lang w:val="en-AU"/>
        </w:rPr>
        <w:t>3.5</w:t>
      </w:r>
      <w:r w:rsidRPr="00FB7B84">
        <w:rPr>
          <w:rFonts w:cs="Arial"/>
          <w:lang w:val="en-AU"/>
        </w:rPr>
        <w:t xml:space="preserve"> of this</w:t>
      </w:r>
      <w:r>
        <w:rPr>
          <w:rFonts w:cs="Arial"/>
          <w:lang w:val="en-AU"/>
        </w:rPr>
        <w:t xml:space="preserve"> report</w:t>
      </w:r>
      <w:r w:rsidRPr="007F05E7">
        <w:rPr>
          <w:rFonts w:cs="Arial"/>
          <w:lang w:val="en-AU"/>
        </w:rPr>
        <w:t>.</w:t>
      </w:r>
    </w:p>
    <w:p w14:paraId="4F89005A" w14:textId="12BF4FB6" w:rsidR="00EB2206" w:rsidRDefault="00EB2206" w:rsidP="00EB2206">
      <w:pPr>
        <w:pStyle w:val="Caption"/>
      </w:pPr>
      <w:bookmarkStart w:id="300" w:name="_Ref491172572"/>
      <w:bookmarkStart w:id="301" w:name="_Toc491847035"/>
      <w:bookmarkStart w:id="302" w:name="_Ref469988704"/>
      <w:r>
        <w:t xml:space="preserve">Table </w:t>
      </w:r>
      <w:r>
        <w:fldChar w:fldCharType="begin"/>
      </w:r>
      <w:r>
        <w:instrText xml:space="preserve"> SEQ Table \* ARABIC </w:instrText>
      </w:r>
      <w:r>
        <w:fldChar w:fldCharType="separate"/>
      </w:r>
      <w:r w:rsidR="00D806F2">
        <w:rPr>
          <w:noProof/>
        </w:rPr>
        <w:t>16</w:t>
      </w:r>
      <w:r>
        <w:fldChar w:fldCharType="end"/>
      </w:r>
      <w:bookmarkEnd w:id="300"/>
      <w:r>
        <w:t xml:space="preserve"> </w:t>
      </w:r>
      <w:r w:rsidRPr="00B30A60">
        <w:t>Bleaching categorisation used by GBRMPA Eye on the Reef and AIMS MMP surveys.</w:t>
      </w:r>
      <w:bookmarkEnd w:id="301"/>
    </w:p>
    <w:tbl>
      <w:tblPr>
        <w:tblStyle w:val="TableGrid2"/>
        <w:tblW w:w="0" w:type="auto"/>
        <w:tblInd w:w="108" w:type="dxa"/>
        <w:tblLayout w:type="fixed"/>
        <w:tblLook w:val="04A0" w:firstRow="1" w:lastRow="0" w:firstColumn="1" w:lastColumn="0" w:noHBand="0" w:noVBand="1"/>
      </w:tblPr>
      <w:tblGrid>
        <w:gridCol w:w="1134"/>
        <w:gridCol w:w="4395"/>
        <w:gridCol w:w="1134"/>
        <w:gridCol w:w="2835"/>
      </w:tblGrid>
      <w:tr w:rsidR="00502A11" w:rsidRPr="00FB7B84" w14:paraId="649FED82" w14:textId="77777777" w:rsidTr="00817833">
        <w:tc>
          <w:tcPr>
            <w:tcW w:w="5529" w:type="dxa"/>
            <w:gridSpan w:val="2"/>
            <w:tcBorders>
              <w:right w:val="double" w:sz="4" w:space="0" w:color="auto"/>
            </w:tcBorders>
          </w:tcPr>
          <w:bookmarkEnd w:id="302"/>
          <w:p w14:paraId="18FDE3CF" w14:textId="77777777" w:rsidR="00502A11" w:rsidRPr="00AB59C5" w:rsidRDefault="00502A11" w:rsidP="00817833">
            <w:pPr>
              <w:jc w:val="center"/>
              <w:rPr>
                <w:rStyle w:val="IntenseReference"/>
                <w:rFonts w:eastAsiaTheme="minorHAnsi"/>
              </w:rPr>
            </w:pPr>
            <w:r w:rsidRPr="00AB59C5">
              <w:rPr>
                <w:rStyle w:val="IntenseReference"/>
                <w:rFonts w:eastAsiaTheme="minorHAnsi"/>
              </w:rPr>
              <w:t>GBRMPA categories</w:t>
            </w:r>
          </w:p>
        </w:tc>
        <w:tc>
          <w:tcPr>
            <w:tcW w:w="3969" w:type="dxa"/>
            <w:gridSpan w:val="2"/>
            <w:tcBorders>
              <w:left w:val="double" w:sz="4" w:space="0" w:color="auto"/>
            </w:tcBorders>
          </w:tcPr>
          <w:p w14:paraId="5F1931FF" w14:textId="77777777" w:rsidR="00502A11" w:rsidRPr="00AB59C5" w:rsidRDefault="00502A11" w:rsidP="00817833">
            <w:pPr>
              <w:jc w:val="center"/>
              <w:rPr>
                <w:rStyle w:val="IntenseReference"/>
                <w:rFonts w:eastAsiaTheme="minorHAnsi"/>
              </w:rPr>
            </w:pPr>
            <w:r w:rsidRPr="00AB59C5">
              <w:rPr>
                <w:rStyle w:val="IntenseReference"/>
                <w:rFonts w:eastAsiaTheme="minorHAnsi"/>
              </w:rPr>
              <w:t>MMP categories</w:t>
            </w:r>
          </w:p>
        </w:tc>
      </w:tr>
      <w:tr w:rsidR="00502A11" w:rsidRPr="00FB7B84" w14:paraId="746984ED" w14:textId="77777777" w:rsidTr="00817833">
        <w:tc>
          <w:tcPr>
            <w:tcW w:w="1134" w:type="dxa"/>
          </w:tcPr>
          <w:p w14:paraId="6667875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Category</w:t>
            </w:r>
          </w:p>
        </w:tc>
        <w:tc>
          <w:tcPr>
            <w:tcW w:w="4395" w:type="dxa"/>
            <w:tcBorders>
              <w:right w:val="double" w:sz="4" w:space="0" w:color="auto"/>
            </w:tcBorders>
          </w:tcPr>
          <w:p w14:paraId="2CBF0844" w14:textId="77777777" w:rsidR="00502A11" w:rsidRPr="00AB59C5" w:rsidRDefault="00502A11" w:rsidP="00817833">
            <w:pPr>
              <w:jc w:val="center"/>
              <w:rPr>
                <w:rStyle w:val="IntenseReference"/>
                <w:rFonts w:eastAsiaTheme="minorHAnsi"/>
              </w:rPr>
            </w:pPr>
            <w:r w:rsidRPr="00AB59C5">
              <w:rPr>
                <w:rStyle w:val="IntenseReference"/>
                <w:rFonts w:eastAsiaTheme="minorHAnsi"/>
              </w:rPr>
              <w:t>Bleaching severity</w:t>
            </w:r>
          </w:p>
        </w:tc>
        <w:tc>
          <w:tcPr>
            <w:tcW w:w="1134" w:type="dxa"/>
            <w:tcBorders>
              <w:left w:val="double" w:sz="4" w:space="0" w:color="auto"/>
            </w:tcBorders>
          </w:tcPr>
          <w:p w14:paraId="37ACEA6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Category</w:t>
            </w:r>
          </w:p>
        </w:tc>
        <w:tc>
          <w:tcPr>
            <w:tcW w:w="2835" w:type="dxa"/>
          </w:tcPr>
          <w:p w14:paraId="7FA83E43" w14:textId="77777777" w:rsidR="00502A11" w:rsidRPr="00AB59C5" w:rsidRDefault="00502A11" w:rsidP="00817833">
            <w:pPr>
              <w:jc w:val="center"/>
              <w:rPr>
                <w:rStyle w:val="IntenseReference"/>
                <w:rFonts w:eastAsiaTheme="minorHAnsi"/>
              </w:rPr>
            </w:pPr>
            <w:r w:rsidRPr="00AB59C5">
              <w:rPr>
                <w:rStyle w:val="IntenseReference"/>
                <w:rFonts w:eastAsiaTheme="minorHAnsi"/>
              </w:rPr>
              <w:t>Proportion of colonies bleached white, or fluorescing</w:t>
            </w:r>
          </w:p>
        </w:tc>
      </w:tr>
      <w:tr w:rsidR="00502A11" w:rsidRPr="00FB7B84" w14:paraId="601E6722" w14:textId="77777777" w:rsidTr="00817833">
        <w:tc>
          <w:tcPr>
            <w:tcW w:w="1134" w:type="dxa"/>
          </w:tcPr>
          <w:p w14:paraId="0F1D6A37" w14:textId="77777777" w:rsidR="00502A11" w:rsidRPr="00AB59C5" w:rsidRDefault="00502A11" w:rsidP="00817833">
            <w:pPr>
              <w:jc w:val="center"/>
              <w:rPr>
                <w:rStyle w:val="IntenseReference"/>
                <w:rFonts w:eastAsiaTheme="minorHAnsi"/>
              </w:rPr>
            </w:pPr>
            <w:r w:rsidRPr="00AB59C5">
              <w:rPr>
                <w:rStyle w:val="IntenseReference"/>
                <w:rFonts w:eastAsiaTheme="minorHAnsi"/>
              </w:rPr>
              <w:t>None</w:t>
            </w:r>
          </w:p>
        </w:tc>
        <w:tc>
          <w:tcPr>
            <w:tcW w:w="4395" w:type="dxa"/>
            <w:tcBorders>
              <w:right w:val="double" w:sz="4" w:space="0" w:color="auto"/>
            </w:tcBorders>
          </w:tcPr>
          <w:p w14:paraId="76808C08"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tc>
        <w:tc>
          <w:tcPr>
            <w:tcW w:w="1134" w:type="dxa"/>
            <w:tcBorders>
              <w:left w:val="double" w:sz="4" w:space="0" w:color="auto"/>
            </w:tcBorders>
          </w:tcPr>
          <w:p w14:paraId="3C88F6C2"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tc>
        <w:tc>
          <w:tcPr>
            <w:tcW w:w="2835" w:type="dxa"/>
          </w:tcPr>
          <w:p w14:paraId="6D6F4106"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tc>
      </w:tr>
      <w:tr w:rsidR="00502A11" w:rsidRPr="00FB7B84" w14:paraId="5DA89F99" w14:textId="77777777" w:rsidTr="00817833">
        <w:tc>
          <w:tcPr>
            <w:tcW w:w="1134" w:type="dxa"/>
          </w:tcPr>
          <w:p w14:paraId="0967692F" w14:textId="77777777" w:rsidR="00502A11" w:rsidRPr="00AB59C5" w:rsidRDefault="00502A11" w:rsidP="00817833">
            <w:pPr>
              <w:jc w:val="center"/>
              <w:rPr>
                <w:rStyle w:val="IntenseReference"/>
                <w:rFonts w:eastAsiaTheme="minorHAnsi"/>
              </w:rPr>
            </w:pPr>
          </w:p>
          <w:p w14:paraId="5F3ADDC7" w14:textId="77777777" w:rsidR="00502A11" w:rsidRPr="00AB59C5" w:rsidRDefault="00502A11" w:rsidP="00817833">
            <w:pPr>
              <w:jc w:val="center"/>
              <w:rPr>
                <w:rStyle w:val="IntenseReference"/>
                <w:rFonts w:eastAsiaTheme="minorHAnsi"/>
              </w:rPr>
            </w:pPr>
            <w:r w:rsidRPr="00AB59C5">
              <w:rPr>
                <w:rStyle w:val="IntenseReference"/>
                <w:rFonts w:eastAsiaTheme="minorHAnsi"/>
              </w:rPr>
              <w:t>Minor</w:t>
            </w:r>
          </w:p>
        </w:tc>
        <w:tc>
          <w:tcPr>
            <w:tcW w:w="4395" w:type="dxa"/>
            <w:tcBorders>
              <w:right w:val="double" w:sz="4" w:space="0" w:color="auto"/>
            </w:tcBorders>
          </w:tcPr>
          <w:p w14:paraId="705B13DA" w14:textId="77777777" w:rsidR="00502A11" w:rsidRPr="00AB59C5" w:rsidRDefault="00502A11" w:rsidP="00817833">
            <w:pPr>
              <w:jc w:val="left"/>
              <w:rPr>
                <w:rStyle w:val="IntenseReference"/>
                <w:rFonts w:eastAsiaTheme="minorHAnsi"/>
              </w:rPr>
            </w:pPr>
            <w:r w:rsidRPr="00AB59C5">
              <w:rPr>
                <w:rStyle w:val="IntenseReference"/>
                <w:rFonts w:eastAsiaTheme="minorHAnsi"/>
              </w:rPr>
              <w:t>10-50% bleaching in sensitive taxa</w:t>
            </w:r>
          </w:p>
          <w:p w14:paraId="711575FF" w14:textId="77777777" w:rsidR="00502A11" w:rsidRPr="00AB59C5" w:rsidRDefault="00502A11" w:rsidP="00817833">
            <w:pPr>
              <w:jc w:val="left"/>
              <w:rPr>
                <w:rStyle w:val="IntenseReference"/>
                <w:rFonts w:eastAsiaTheme="minorHAnsi"/>
              </w:rPr>
            </w:pPr>
            <w:r w:rsidRPr="00AB59C5">
              <w:rPr>
                <w:rStyle w:val="IntenseReference"/>
                <w:rFonts w:eastAsiaTheme="minorHAnsi"/>
              </w:rPr>
              <w:t>&lt;10% bleaching in low-sensitive taxa</w:t>
            </w:r>
          </w:p>
          <w:p w14:paraId="5F5CB5BD" w14:textId="77777777" w:rsidR="00502A11" w:rsidRPr="00AB59C5" w:rsidRDefault="00502A11" w:rsidP="00817833">
            <w:pPr>
              <w:jc w:val="left"/>
              <w:rPr>
                <w:rStyle w:val="IntenseReference"/>
                <w:rFonts w:eastAsiaTheme="minorHAnsi"/>
              </w:rPr>
            </w:pPr>
            <w:r w:rsidRPr="00AB59C5">
              <w:rPr>
                <w:rStyle w:val="IntenseReference"/>
                <w:rFonts w:eastAsiaTheme="minorHAnsi"/>
              </w:rPr>
              <w:t>Paling of very low-sensitive taxa</w:t>
            </w:r>
          </w:p>
        </w:tc>
        <w:tc>
          <w:tcPr>
            <w:tcW w:w="1134" w:type="dxa"/>
            <w:tcBorders>
              <w:left w:val="double" w:sz="4" w:space="0" w:color="auto"/>
            </w:tcBorders>
          </w:tcPr>
          <w:p w14:paraId="02B5087A"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p w14:paraId="7612EA9D" w14:textId="77777777" w:rsidR="00502A11" w:rsidRPr="00AB59C5" w:rsidRDefault="00502A11" w:rsidP="00817833">
            <w:pPr>
              <w:jc w:val="center"/>
              <w:rPr>
                <w:rStyle w:val="IntenseReference"/>
                <w:rFonts w:eastAsiaTheme="minorHAnsi"/>
              </w:rPr>
            </w:pPr>
            <w:r w:rsidRPr="00AB59C5">
              <w:rPr>
                <w:rStyle w:val="IntenseReference"/>
                <w:rFonts w:eastAsiaTheme="minorHAnsi"/>
              </w:rPr>
              <w:t>1-</w:t>
            </w:r>
          </w:p>
          <w:p w14:paraId="4EBF6F04" w14:textId="77777777" w:rsidR="00502A11" w:rsidRPr="00AB59C5" w:rsidRDefault="00502A11" w:rsidP="00817833">
            <w:pPr>
              <w:jc w:val="center"/>
              <w:rPr>
                <w:rStyle w:val="IntenseReference"/>
                <w:rFonts w:eastAsiaTheme="minorHAnsi"/>
              </w:rPr>
            </w:pPr>
            <w:r w:rsidRPr="00AB59C5">
              <w:rPr>
                <w:rStyle w:val="IntenseReference"/>
                <w:rFonts w:eastAsiaTheme="minorHAnsi"/>
              </w:rPr>
              <w:t>1+</w:t>
            </w:r>
          </w:p>
        </w:tc>
        <w:tc>
          <w:tcPr>
            <w:tcW w:w="2835" w:type="dxa"/>
          </w:tcPr>
          <w:p w14:paraId="2112BF1A" w14:textId="77777777" w:rsidR="00502A11" w:rsidRPr="00AB59C5" w:rsidRDefault="00502A11" w:rsidP="00817833">
            <w:pPr>
              <w:jc w:val="center"/>
              <w:rPr>
                <w:rStyle w:val="IntenseReference"/>
                <w:rFonts w:eastAsiaTheme="minorHAnsi"/>
              </w:rPr>
            </w:pPr>
            <w:r w:rsidRPr="00AB59C5">
              <w:rPr>
                <w:rStyle w:val="IntenseReference"/>
                <w:rFonts w:eastAsiaTheme="minorHAnsi"/>
              </w:rPr>
              <w:t>Individual colonies</w:t>
            </w:r>
          </w:p>
          <w:p w14:paraId="673A0955" w14:textId="77777777" w:rsidR="00502A11" w:rsidRPr="00AB59C5" w:rsidRDefault="00502A11" w:rsidP="00817833">
            <w:pPr>
              <w:jc w:val="center"/>
              <w:rPr>
                <w:rStyle w:val="IntenseReference"/>
                <w:rFonts w:eastAsiaTheme="minorHAnsi"/>
              </w:rPr>
            </w:pPr>
            <w:r w:rsidRPr="00AB59C5">
              <w:rPr>
                <w:rStyle w:val="IntenseReference"/>
                <w:rFonts w:eastAsiaTheme="minorHAnsi"/>
              </w:rPr>
              <w:t>1-5%</w:t>
            </w:r>
          </w:p>
          <w:p w14:paraId="3884E742" w14:textId="77777777" w:rsidR="00502A11" w:rsidRPr="00AB59C5" w:rsidRDefault="00502A11" w:rsidP="00817833">
            <w:pPr>
              <w:jc w:val="center"/>
              <w:rPr>
                <w:rStyle w:val="IntenseReference"/>
                <w:rFonts w:eastAsiaTheme="minorHAnsi"/>
              </w:rPr>
            </w:pPr>
            <w:r w:rsidRPr="00AB59C5">
              <w:rPr>
                <w:rStyle w:val="IntenseReference"/>
                <w:rFonts w:eastAsiaTheme="minorHAnsi"/>
              </w:rPr>
              <w:t>6-10%</w:t>
            </w:r>
          </w:p>
        </w:tc>
      </w:tr>
      <w:tr w:rsidR="00502A11" w:rsidRPr="00FB7B84" w14:paraId="7FF3CABD" w14:textId="77777777" w:rsidTr="00817833">
        <w:tc>
          <w:tcPr>
            <w:tcW w:w="1134" w:type="dxa"/>
          </w:tcPr>
          <w:p w14:paraId="28FF9B82" w14:textId="77777777" w:rsidR="00502A11" w:rsidRPr="00AB59C5" w:rsidRDefault="00502A11" w:rsidP="00817833">
            <w:pPr>
              <w:jc w:val="center"/>
              <w:rPr>
                <w:rStyle w:val="IntenseReference"/>
                <w:rFonts w:eastAsiaTheme="minorHAnsi"/>
              </w:rPr>
            </w:pPr>
          </w:p>
          <w:p w14:paraId="70FD856B" w14:textId="77777777" w:rsidR="00502A11" w:rsidRPr="00AB59C5" w:rsidRDefault="00502A11" w:rsidP="00817833">
            <w:pPr>
              <w:jc w:val="center"/>
              <w:rPr>
                <w:rStyle w:val="IntenseReference"/>
                <w:rFonts w:eastAsiaTheme="minorHAnsi"/>
              </w:rPr>
            </w:pPr>
            <w:r w:rsidRPr="00AB59C5">
              <w:rPr>
                <w:rStyle w:val="IntenseReference"/>
                <w:rFonts w:eastAsiaTheme="minorHAnsi"/>
              </w:rPr>
              <w:t>Moderate</w:t>
            </w:r>
          </w:p>
        </w:tc>
        <w:tc>
          <w:tcPr>
            <w:tcW w:w="4395" w:type="dxa"/>
            <w:tcBorders>
              <w:right w:val="double" w:sz="4" w:space="0" w:color="auto"/>
            </w:tcBorders>
          </w:tcPr>
          <w:p w14:paraId="48F446BE" w14:textId="77777777" w:rsidR="00502A11" w:rsidRPr="00AB59C5" w:rsidRDefault="00502A11" w:rsidP="00817833">
            <w:pPr>
              <w:jc w:val="left"/>
              <w:rPr>
                <w:rStyle w:val="IntenseReference"/>
                <w:rFonts w:eastAsiaTheme="minorHAnsi"/>
              </w:rPr>
            </w:pPr>
            <w:r w:rsidRPr="00AB59C5">
              <w:rPr>
                <w:rStyle w:val="IntenseReference"/>
                <w:rFonts w:eastAsiaTheme="minorHAnsi"/>
              </w:rPr>
              <w:t>&gt;50% bleaching in sensitive taxa</w:t>
            </w:r>
          </w:p>
          <w:p w14:paraId="5E4ABE03" w14:textId="77777777" w:rsidR="00502A11" w:rsidRPr="00AB59C5" w:rsidRDefault="00502A11" w:rsidP="00817833">
            <w:pPr>
              <w:jc w:val="left"/>
              <w:rPr>
                <w:rStyle w:val="IntenseReference"/>
                <w:rFonts w:eastAsiaTheme="minorHAnsi"/>
              </w:rPr>
            </w:pPr>
            <w:r w:rsidRPr="00AB59C5">
              <w:rPr>
                <w:rStyle w:val="IntenseReference"/>
                <w:rFonts w:eastAsiaTheme="minorHAnsi"/>
              </w:rPr>
              <w:t>10-50% bleaching in low-sensitive taxa</w:t>
            </w:r>
          </w:p>
          <w:p w14:paraId="746874DE" w14:textId="77777777" w:rsidR="00502A11" w:rsidRPr="00AB59C5" w:rsidRDefault="00502A11" w:rsidP="00817833">
            <w:pPr>
              <w:jc w:val="left"/>
              <w:rPr>
                <w:rStyle w:val="IntenseReference"/>
                <w:rFonts w:eastAsiaTheme="minorHAnsi"/>
              </w:rPr>
            </w:pPr>
            <w:r w:rsidRPr="00AB59C5">
              <w:rPr>
                <w:rStyle w:val="IntenseReference"/>
                <w:rFonts w:eastAsiaTheme="minorHAnsi"/>
              </w:rPr>
              <w:t>&lt;10% bleaching in very low-sensitive taxa</w:t>
            </w:r>
          </w:p>
          <w:p w14:paraId="66586B8C" w14:textId="77777777" w:rsidR="00502A11" w:rsidRPr="00AB59C5" w:rsidRDefault="00502A11" w:rsidP="00817833">
            <w:pPr>
              <w:jc w:val="left"/>
              <w:rPr>
                <w:rStyle w:val="IntenseReference"/>
                <w:rFonts w:eastAsiaTheme="minorHAnsi"/>
              </w:rPr>
            </w:pPr>
            <w:r w:rsidRPr="00AB59C5">
              <w:rPr>
                <w:rStyle w:val="IntenseReference"/>
                <w:rFonts w:eastAsiaTheme="minorHAnsi"/>
              </w:rPr>
              <w:t>Some mortality among sensitive taxa</w:t>
            </w:r>
          </w:p>
        </w:tc>
        <w:tc>
          <w:tcPr>
            <w:tcW w:w="1134" w:type="dxa"/>
            <w:tcBorders>
              <w:left w:val="double" w:sz="4" w:space="0" w:color="auto"/>
            </w:tcBorders>
          </w:tcPr>
          <w:p w14:paraId="6922C049" w14:textId="77777777" w:rsidR="00502A11" w:rsidRPr="00AB59C5" w:rsidRDefault="00502A11" w:rsidP="00817833">
            <w:pPr>
              <w:jc w:val="center"/>
              <w:rPr>
                <w:rStyle w:val="IntenseReference"/>
                <w:rFonts w:eastAsiaTheme="minorHAnsi"/>
              </w:rPr>
            </w:pPr>
          </w:p>
          <w:p w14:paraId="753795F8"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p w14:paraId="7081490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3</w:t>
            </w:r>
          </w:p>
          <w:p w14:paraId="2ADC383D" w14:textId="77777777" w:rsidR="00502A11" w:rsidRPr="00AB59C5" w:rsidRDefault="00502A11" w:rsidP="00817833">
            <w:pPr>
              <w:jc w:val="center"/>
              <w:rPr>
                <w:rStyle w:val="IntenseReference"/>
                <w:rFonts w:eastAsiaTheme="minorHAnsi"/>
              </w:rPr>
            </w:pPr>
          </w:p>
        </w:tc>
        <w:tc>
          <w:tcPr>
            <w:tcW w:w="2835" w:type="dxa"/>
          </w:tcPr>
          <w:p w14:paraId="5D663EC5" w14:textId="77777777" w:rsidR="00502A11" w:rsidRPr="00AB59C5" w:rsidRDefault="00502A11" w:rsidP="00817833">
            <w:pPr>
              <w:jc w:val="center"/>
              <w:rPr>
                <w:rStyle w:val="IntenseReference"/>
                <w:rFonts w:eastAsiaTheme="minorHAnsi"/>
              </w:rPr>
            </w:pPr>
          </w:p>
          <w:p w14:paraId="3682F7C4" w14:textId="77777777" w:rsidR="00502A11" w:rsidRPr="00AB59C5" w:rsidRDefault="00502A11" w:rsidP="00817833">
            <w:pPr>
              <w:jc w:val="center"/>
              <w:rPr>
                <w:rStyle w:val="IntenseReference"/>
                <w:rFonts w:eastAsiaTheme="minorHAnsi"/>
              </w:rPr>
            </w:pPr>
            <w:r w:rsidRPr="00AB59C5">
              <w:rPr>
                <w:rStyle w:val="IntenseReference"/>
                <w:rFonts w:eastAsiaTheme="minorHAnsi"/>
              </w:rPr>
              <w:t>11-30%</w:t>
            </w:r>
          </w:p>
          <w:p w14:paraId="5967D8C4" w14:textId="77777777" w:rsidR="00502A11" w:rsidRPr="00AB59C5" w:rsidRDefault="00502A11" w:rsidP="00817833">
            <w:pPr>
              <w:jc w:val="center"/>
              <w:rPr>
                <w:rStyle w:val="IntenseReference"/>
                <w:rFonts w:eastAsiaTheme="minorHAnsi"/>
              </w:rPr>
            </w:pPr>
            <w:r w:rsidRPr="00AB59C5">
              <w:rPr>
                <w:rStyle w:val="IntenseReference"/>
                <w:rFonts w:eastAsiaTheme="minorHAnsi"/>
              </w:rPr>
              <w:t>31-50%</w:t>
            </w:r>
          </w:p>
        </w:tc>
      </w:tr>
      <w:tr w:rsidR="00502A11" w:rsidRPr="00FB7B84" w14:paraId="45A1D075" w14:textId="77777777" w:rsidTr="00817833">
        <w:tc>
          <w:tcPr>
            <w:tcW w:w="1134" w:type="dxa"/>
          </w:tcPr>
          <w:p w14:paraId="46B5B84F" w14:textId="77777777" w:rsidR="00502A11" w:rsidRPr="00AB59C5" w:rsidRDefault="00502A11" w:rsidP="00817833">
            <w:pPr>
              <w:jc w:val="center"/>
              <w:rPr>
                <w:rStyle w:val="IntenseReference"/>
                <w:rFonts w:eastAsiaTheme="minorHAnsi"/>
              </w:rPr>
            </w:pPr>
          </w:p>
          <w:p w14:paraId="446C8E15" w14:textId="77777777" w:rsidR="00502A11" w:rsidRPr="00AB59C5" w:rsidRDefault="00502A11" w:rsidP="00817833">
            <w:pPr>
              <w:jc w:val="center"/>
              <w:rPr>
                <w:rStyle w:val="IntenseReference"/>
                <w:rFonts w:eastAsiaTheme="minorHAnsi"/>
              </w:rPr>
            </w:pPr>
            <w:r w:rsidRPr="00AB59C5">
              <w:rPr>
                <w:rStyle w:val="IntenseReference"/>
                <w:rFonts w:eastAsiaTheme="minorHAnsi"/>
              </w:rPr>
              <w:t>Severe</w:t>
            </w:r>
          </w:p>
        </w:tc>
        <w:tc>
          <w:tcPr>
            <w:tcW w:w="4395" w:type="dxa"/>
            <w:tcBorders>
              <w:right w:val="double" w:sz="4" w:space="0" w:color="auto"/>
            </w:tcBorders>
          </w:tcPr>
          <w:p w14:paraId="13939E3D" w14:textId="77777777" w:rsidR="00502A11" w:rsidRPr="00AB59C5" w:rsidRDefault="00502A11" w:rsidP="00817833">
            <w:pPr>
              <w:jc w:val="left"/>
              <w:rPr>
                <w:rStyle w:val="IntenseReference"/>
                <w:rFonts w:eastAsiaTheme="minorHAnsi"/>
              </w:rPr>
            </w:pPr>
            <w:r w:rsidRPr="00AB59C5">
              <w:rPr>
                <w:rStyle w:val="IntenseReference"/>
                <w:rFonts w:eastAsiaTheme="minorHAnsi"/>
              </w:rPr>
              <w:t>&gt;50% mortality of sensitive taxa</w:t>
            </w:r>
          </w:p>
          <w:p w14:paraId="212A3F23" w14:textId="77777777" w:rsidR="00502A11" w:rsidRPr="00AB59C5" w:rsidRDefault="00502A11" w:rsidP="00817833">
            <w:pPr>
              <w:jc w:val="left"/>
              <w:rPr>
                <w:rStyle w:val="IntenseReference"/>
                <w:rFonts w:eastAsiaTheme="minorHAnsi"/>
              </w:rPr>
            </w:pPr>
            <w:r w:rsidRPr="00AB59C5">
              <w:rPr>
                <w:rStyle w:val="IntenseReference"/>
                <w:rFonts w:eastAsiaTheme="minorHAnsi"/>
              </w:rPr>
              <w:t>&gt;50% bleaching in low-sensitivity taxa</w:t>
            </w:r>
          </w:p>
          <w:p w14:paraId="6CC4E54C" w14:textId="77777777" w:rsidR="00502A11" w:rsidRPr="00AB59C5" w:rsidRDefault="00502A11" w:rsidP="00817833">
            <w:pPr>
              <w:jc w:val="left"/>
              <w:rPr>
                <w:rStyle w:val="IntenseReference"/>
                <w:rFonts w:eastAsiaTheme="minorHAnsi"/>
              </w:rPr>
            </w:pPr>
            <w:r w:rsidRPr="00AB59C5">
              <w:rPr>
                <w:rStyle w:val="IntenseReference"/>
                <w:rFonts w:eastAsiaTheme="minorHAnsi"/>
              </w:rPr>
              <w:t>10-50% bleaching in very low-sensitivity taxa</w:t>
            </w:r>
          </w:p>
        </w:tc>
        <w:tc>
          <w:tcPr>
            <w:tcW w:w="1134" w:type="dxa"/>
            <w:tcBorders>
              <w:left w:val="double" w:sz="4" w:space="0" w:color="auto"/>
            </w:tcBorders>
          </w:tcPr>
          <w:p w14:paraId="589D8EAB" w14:textId="77777777" w:rsidR="00502A11" w:rsidRPr="00AB59C5" w:rsidRDefault="00502A11" w:rsidP="00817833">
            <w:pPr>
              <w:jc w:val="center"/>
              <w:rPr>
                <w:rStyle w:val="IntenseReference"/>
                <w:rFonts w:eastAsiaTheme="minorHAnsi"/>
              </w:rPr>
            </w:pPr>
            <w:r w:rsidRPr="00AB59C5">
              <w:rPr>
                <w:rStyle w:val="IntenseReference"/>
                <w:rFonts w:eastAsiaTheme="minorHAnsi"/>
              </w:rPr>
              <w:t>4</w:t>
            </w:r>
          </w:p>
          <w:p w14:paraId="2F770BEA"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2835" w:type="dxa"/>
          </w:tcPr>
          <w:p w14:paraId="0510E907"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51-75%</w:t>
            </w:r>
          </w:p>
          <w:p w14:paraId="74C85CE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76-100%</w:t>
            </w:r>
          </w:p>
        </w:tc>
      </w:tr>
    </w:tbl>
    <w:p w14:paraId="6BC6E2C1" w14:textId="77777777" w:rsidR="00502A11" w:rsidRDefault="00502A11" w:rsidP="00502A11">
      <w:pPr>
        <w:pStyle w:val="Caption"/>
        <w:rPr>
          <w:lang w:val="en-AU"/>
        </w:rPr>
      </w:pPr>
    </w:p>
    <w:p w14:paraId="47F6068A" w14:textId="67CBAB68" w:rsidR="00502A11" w:rsidRPr="00FB7B84" w:rsidRDefault="00502A11" w:rsidP="00502A11">
      <w:pPr>
        <w:jc w:val="left"/>
        <w:rPr>
          <w:rFonts w:eastAsiaTheme="minorHAnsi" w:cs="Arial"/>
          <w:szCs w:val="22"/>
          <w:lang w:val="en-AU"/>
        </w:rPr>
      </w:pPr>
      <w:r w:rsidRPr="00FB7B84">
        <w:rPr>
          <w:rFonts w:eastAsiaTheme="minorHAnsi" w:cs="Arial"/>
          <w:szCs w:val="22"/>
          <w:lang w:val="en-AU"/>
        </w:rPr>
        <w:t xml:space="preserve">Category data collected by the MMP were transformed to a </w:t>
      </w:r>
      <w:r>
        <w:rPr>
          <w:rFonts w:eastAsiaTheme="minorHAnsi" w:cs="Arial"/>
          <w:szCs w:val="22"/>
          <w:lang w:val="en-AU"/>
        </w:rPr>
        <w:t xml:space="preserve">single </w:t>
      </w:r>
      <w:r w:rsidRPr="00FB7B84">
        <w:rPr>
          <w:rFonts w:eastAsiaTheme="minorHAnsi" w:cs="Arial"/>
          <w:szCs w:val="22"/>
          <w:lang w:val="en-AU"/>
        </w:rPr>
        <w:t>percentage score using the mid-point of each category. The average bleaching score was calculated for both shallow reef flat (</w:t>
      </w:r>
      <w:r w:rsidR="00AA72A3">
        <w:rPr>
          <w:rFonts w:eastAsiaTheme="minorHAnsi" w:cs="Arial"/>
          <w:szCs w:val="22"/>
          <w:lang w:val="en-AU"/>
        </w:rPr>
        <w:t>2 m</w:t>
      </w:r>
      <w:r w:rsidRPr="00FB7B84">
        <w:rPr>
          <w:rFonts w:eastAsiaTheme="minorHAnsi" w:cs="Arial"/>
          <w:szCs w:val="22"/>
          <w:lang w:val="en-AU"/>
        </w:rPr>
        <w:t>) and reef slope (</w:t>
      </w:r>
      <w:r w:rsidR="00AA72A3">
        <w:rPr>
          <w:rFonts w:eastAsiaTheme="minorHAnsi" w:cs="Arial"/>
          <w:szCs w:val="22"/>
          <w:lang w:val="en-AU"/>
        </w:rPr>
        <w:t>5 m</w:t>
      </w:r>
      <w:r w:rsidRPr="00FB7B84">
        <w:rPr>
          <w:rFonts w:eastAsiaTheme="minorHAnsi" w:cs="Arial"/>
          <w:szCs w:val="22"/>
          <w:lang w:val="en-AU"/>
        </w:rPr>
        <w:t xml:space="preserve">) sites at each reef. </w:t>
      </w:r>
    </w:p>
    <w:p w14:paraId="4465C2DC" w14:textId="2C5DD85D" w:rsidR="00502A11" w:rsidRDefault="00502A11" w:rsidP="00502A11">
      <w:pPr>
        <w:jc w:val="left"/>
        <w:rPr>
          <w:rFonts w:eastAsiaTheme="minorHAnsi" w:cs="Arial"/>
          <w:szCs w:val="22"/>
          <w:lang w:val="en-AU"/>
        </w:rPr>
      </w:pPr>
      <w:r w:rsidRPr="00E35DE1">
        <w:rPr>
          <w:rFonts w:eastAsiaTheme="minorHAnsi" w:cs="Arial"/>
          <w:szCs w:val="22"/>
          <w:lang w:val="en-AU"/>
        </w:rPr>
        <w:t xml:space="preserve">Degree Heating Days are taken from </w:t>
      </w:r>
      <w:r w:rsidRPr="00E35DE1">
        <w:rPr>
          <w:rFonts w:eastAsia="SimSun" w:cs="Arial"/>
          <w:bCs/>
          <w:color w:val="000000" w:themeColor="text1"/>
          <w:szCs w:val="22"/>
          <w:lang w:eastAsia="en-GB"/>
        </w:rPr>
        <w:t>Bureau of Meteorology satellite-based interactive website ReefTe</w:t>
      </w:r>
      <w:r>
        <w:rPr>
          <w:rFonts w:eastAsia="SimSun" w:cs="Arial"/>
          <w:bCs/>
          <w:color w:val="000000" w:themeColor="text1"/>
          <w:szCs w:val="22"/>
          <w:lang w:eastAsia="en-GB"/>
        </w:rPr>
        <w:t>mp (see</w:t>
      </w:r>
      <w:r w:rsidRPr="00E35DE1">
        <w:rPr>
          <w:rFonts w:eastAsiaTheme="minorHAnsi" w:cs="Arial"/>
          <w:szCs w:val="22"/>
          <w:lang w:val="en-AU"/>
        </w:rPr>
        <w:t xml:space="preserve"> section </w:t>
      </w:r>
      <w:r>
        <w:rPr>
          <w:rFonts w:eastAsiaTheme="minorHAnsi" w:cs="Arial"/>
          <w:szCs w:val="22"/>
          <w:lang w:val="en-AU"/>
        </w:rPr>
        <w:t>4.</w:t>
      </w:r>
      <w:r w:rsidR="00E54AF3">
        <w:rPr>
          <w:rFonts w:eastAsiaTheme="minorHAnsi" w:cs="Arial"/>
          <w:szCs w:val="22"/>
          <w:lang w:val="en-AU"/>
        </w:rPr>
        <w:t>3.2</w:t>
      </w:r>
      <w:r>
        <w:rPr>
          <w:rFonts w:eastAsiaTheme="minorHAnsi" w:cs="Arial"/>
          <w:szCs w:val="22"/>
          <w:lang w:val="en-AU"/>
        </w:rPr>
        <w:t>).</w:t>
      </w:r>
    </w:p>
    <w:p w14:paraId="4F6BE647" w14:textId="5773C01F" w:rsidR="00EB2206" w:rsidRPr="00E35DE1" w:rsidRDefault="00EB2206" w:rsidP="00EB2206">
      <w:pPr>
        <w:pStyle w:val="Caption"/>
        <w:rPr>
          <w:rFonts w:eastAsiaTheme="minorHAnsi" w:cs="Arial"/>
          <w:szCs w:val="22"/>
          <w:lang w:val="en-AU"/>
        </w:rPr>
      </w:pPr>
      <w:bookmarkStart w:id="303" w:name="_Ref491172588"/>
      <w:bookmarkStart w:id="304" w:name="_Toc491847036"/>
      <w:r>
        <w:t xml:space="preserve">Table </w:t>
      </w:r>
      <w:r>
        <w:fldChar w:fldCharType="begin"/>
      </w:r>
      <w:r>
        <w:instrText xml:space="preserve"> SEQ Table \* ARABIC </w:instrText>
      </w:r>
      <w:r>
        <w:fldChar w:fldCharType="separate"/>
      </w:r>
      <w:r w:rsidR="00D806F2">
        <w:rPr>
          <w:noProof/>
        </w:rPr>
        <w:t>17</w:t>
      </w:r>
      <w:r>
        <w:fldChar w:fldCharType="end"/>
      </w:r>
      <w:bookmarkEnd w:id="303"/>
      <w:r>
        <w:t xml:space="preserve"> </w:t>
      </w:r>
      <w:r w:rsidRPr="00825EFE">
        <w:t>Eye on the Reef bleaching categories. Proportion of colonies suffering mortality attributed to bleaching</w:t>
      </w:r>
      <w:bookmarkEnd w:id="304"/>
    </w:p>
    <w:tbl>
      <w:tblPr>
        <w:tblStyle w:val="TableGrid2"/>
        <w:tblW w:w="0" w:type="auto"/>
        <w:jc w:val="center"/>
        <w:tblLook w:val="04A0" w:firstRow="1" w:lastRow="0" w:firstColumn="1" w:lastColumn="0" w:noHBand="0" w:noVBand="1"/>
      </w:tblPr>
      <w:tblGrid>
        <w:gridCol w:w="2396"/>
        <w:gridCol w:w="3260"/>
      </w:tblGrid>
      <w:tr w:rsidR="00502A11" w:rsidRPr="00FB7B84" w14:paraId="6B45C173" w14:textId="77777777" w:rsidTr="00817833">
        <w:trPr>
          <w:jc w:val="center"/>
        </w:trPr>
        <w:tc>
          <w:tcPr>
            <w:tcW w:w="2396" w:type="dxa"/>
          </w:tcPr>
          <w:p w14:paraId="5A1F6792" w14:textId="77777777" w:rsidR="00502A11" w:rsidRPr="00AB59C5" w:rsidRDefault="00502A11" w:rsidP="00817833">
            <w:pPr>
              <w:jc w:val="center"/>
              <w:rPr>
                <w:rStyle w:val="IntenseReference"/>
                <w:rFonts w:eastAsiaTheme="minorHAnsi"/>
              </w:rPr>
            </w:pPr>
            <w:r w:rsidRPr="00AB59C5">
              <w:rPr>
                <w:rStyle w:val="IntenseReference"/>
                <w:rFonts w:eastAsiaTheme="minorHAnsi"/>
              </w:rPr>
              <w:t>EotR category</w:t>
            </w:r>
          </w:p>
        </w:tc>
        <w:tc>
          <w:tcPr>
            <w:tcW w:w="3260" w:type="dxa"/>
          </w:tcPr>
          <w:p w14:paraId="01D53458" w14:textId="77777777" w:rsidR="00502A11" w:rsidRPr="00AB59C5" w:rsidRDefault="00502A11" w:rsidP="00817833">
            <w:pPr>
              <w:jc w:val="center"/>
              <w:rPr>
                <w:rStyle w:val="IntenseReference"/>
                <w:rFonts w:eastAsiaTheme="minorHAnsi"/>
              </w:rPr>
            </w:pPr>
            <w:r w:rsidRPr="00AB59C5">
              <w:rPr>
                <w:rStyle w:val="IntenseReference"/>
                <w:rFonts w:eastAsiaTheme="minorHAnsi"/>
              </w:rPr>
              <w:t>Mortality</w:t>
            </w:r>
          </w:p>
        </w:tc>
      </w:tr>
      <w:tr w:rsidR="00502A11" w:rsidRPr="00FB7B84" w14:paraId="28ED78DA" w14:textId="77777777" w:rsidTr="00817833">
        <w:trPr>
          <w:jc w:val="center"/>
        </w:trPr>
        <w:tc>
          <w:tcPr>
            <w:tcW w:w="2396" w:type="dxa"/>
          </w:tcPr>
          <w:p w14:paraId="6E1B3C6F" w14:textId="77777777" w:rsidR="00502A11" w:rsidRPr="00AB59C5" w:rsidRDefault="00502A11" w:rsidP="00817833">
            <w:pPr>
              <w:jc w:val="center"/>
              <w:rPr>
                <w:rStyle w:val="IntenseReference"/>
                <w:rFonts w:eastAsiaTheme="minorHAnsi"/>
              </w:rPr>
            </w:pPr>
            <w:r w:rsidRPr="00AB59C5">
              <w:rPr>
                <w:rStyle w:val="IntenseReference"/>
                <w:rFonts w:eastAsiaTheme="minorHAnsi"/>
              </w:rPr>
              <w:t>None</w:t>
            </w:r>
          </w:p>
        </w:tc>
        <w:tc>
          <w:tcPr>
            <w:tcW w:w="3260" w:type="dxa"/>
          </w:tcPr>
          <w:p w14:paraId="25EA4F35"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tc>
      </w:tr>
      <w:tr w:rsidR="00502A11" w:rsidRPr="00FB7B84" w14:paraId="543D83E0" w14:textId="77777777" w:rsidTr="00817833">
        <w:trPr>
          <w:jc w:val="center"/>
        </w:trPr>
        <w:tc>
          <w:tcPr>
            <w:tcW w:w="2396" w:type="dxa"/>
          </w:tcPr>
          <w:p w14:paraId="3941F972" w14:textId="77777777" w:rsidR="00502A11" w:rsidRPr="00AB59C5" w:rsidRDefault="00502A11" w:rsidP="00817833">
            <w:pPr>
              <w:jc w:val="center"/>
              <w:rPr>
                <w:rStyle w:val="IntenseReference"/>
                <w:rFonts w:eastAsiaTheme="minorHAnsi"/>
              </w:rPr>
            </w:pPr>
            <w:r w:rsidRPr="00AB59C5">
              <w:rPr>
                <w:rStyle w:val="IntenseReference"/>
                <w:rFonts w:eastAsiaTheme="minorHAnsi"/>
              </w:rPr>
              <w:t>Low</w:t>
            </w:r>
          </w:p>
        </w:tc>
        <w:tc>
          <w:tcPr>
            <w:tcW w:w="3260" w:type="dxa"/>
          </w:tcPr>
          <w:p w14:paraId="330B515F" w14:textId="414AC981" w:rsidR="00502A11" w:rsidRPr="00AB59C5" w:rsidRDefault="00502A11" w:rsidP="00817833">
            <w:pPr>
              <w:jc w:val="center"/>
              <w:rPr>
                <w:rStyle w:val="IntenseReference"/>
                <w:rFonts w:eastAsiaTheme="minorHAnsi"/>
              </w:rPr>
            </w:pPr>
            <w:r w:rsidRPr="00AB59C5">
              <w:rPr>
                <w:rStyle w:val="IntenseReference"/>
                <w:rFonts w:eastAsiaTheme="minorHAnsi"/>
              </w:rPr>
              <w:t>&gt;0%</w:t>
            </w:r>
            <w:r w:rsidR="00E75F5C">
              <w:rPr>
                <w:rStyle w:val="IntenseReference"/>
                <w:rFonts w:eastAsiaTheme="minorHAnsi"/>
              </w:rPr>
              <w:t xml:space="preserve"> </w:t>
            </w:r>
            <w:r w:rsidRPr="00AB59C5">
              <w:rPr>
                <w:rStyle w:val="IntenseReference"/>
                <w:rFonts w:eastAsiaTheme="minorHAnsi"/>
              </w:rPr>
              <w:t>&lt; 10%</w:t>
            </w:r>
          </w:p>
        </w:tc>
      </w:tr>
      <w:tr w:rsidR="00502A11" w:rsidRPr="00FB7B84" w14:paraId="1C434DC8" w14:textId="77777777" w:rsidTr="00817833">
        <w:trPr>
          <w:jc w:val="center"/>
        </w:trPr>
        <w:tc>
          <w:tcPr>
            <w:tcW w:w="2396" w:type="dxa"/>
          </w:tcPr>
          <w:p w14:paraId="56F90476" w14:textId="77777777" w:rsidR="00502A11" w:rsidRPr="00AB59C5" w:rsidRDefault="00502A11" w:rsidP="00817833">
            <w:pPr>
              <w:jc w:val="center"/>
              <w:rPr>
                <w:rStyle w:val="IntenseReference"/>
                <w:rFonts w:eastAsiaTheme="minorHAnsi"/>
              </w:rPr>
            </w:pPr>
            <w:r w:rsidRPr="00AB59C5">
              <w:rPr>
                <w:rStyle w:val="IntenseReference"/>
                <w:rFonts w:eastAsiaTheme="minorHAnsi"/>
              </w:rPr>
              <w:t>Medium</w:t>
            </w:r>
          </w:p>
        </w:tc>
        <w:tc>
          <w:tcPr>
            <w:tcW w:w="3260" w:type="dxa"/>
          </w:tcPr>
          <w:p w14:paraId="2A2D05C6" w14:textId="77777777" w:rsidR="00502A11" w:rsidRPr="00AB59C5" w:rsidRDefault="00502A11" w:rsidP="00817833">
            <w:pPr>
              <w:jc w:val="center"/>
              <w:rPr>
                <w:rStyle w:val="IntenseReference"/>
                <w:rFonts w:eastAsiaTheme="minorHAnsi"/>
              </w:rPr>
            </w:pPr>
            <w:r w:rsidRPr="00AB59C5">
              <w:rPr>
                <w:rStyle w:val="IntenseReference"/>
                <w:rFonts w:eastAsiaTheme="minorHAnsi"/>
              </w:rPr>
              <w:t>&gt;10% &lt; 30%</w:t>
            </w:r>
          </w:p>
        </w:tc>
      </w:tr>
      <w:tr w:rsidR="00502A11" w:rsidRPr="00FB7B84" w14:paraId="33E13D1E" w14:textId="77777777" w:rsidTr="00817833">
        <w:trPr>
          <w:jc w:val="center"/>
        </w:trPr>
        <w:tc>
          <w:tcPr>
            <w:tcW w:w="2396" w:type="dxa"/>
          </w:tcPr>
          <w:p w14:paraId="5D0BA4C2" w14:textId="77777777" w:rsidR="00502A11" w:rsidRPr="00AB59C5" w:rsidRDefault="00502A11" w:rsidP="00817833">
            <w:pPr>
              <w:jc w:val="center"/>
              <w:rPr>
                <w:rStyle w:val="IntenseReference"/>
                <w:rFonts w:eastAsiaTheme="minorHAnsi"/>
              </w:rPr>
            </w:pPr>
            <w:r w:rsidRPr="00AB59C5">
              <w:rPr>
                <w:rStyle w:val="IntenseReference"/>
                <w:rFonts w:eastAsiaTheme="minorHAnsi"/>
              </w:rPr>
              <w:t>High</w:t>
            </w:r>
          </w:p>
        </w:tc>
        <w:tc>
          <w:tcPr>
            <w:tcW w:w="3260" w:type="dxa"/>
          </w:tcPr>
          <w:p w14:paraId="22BC7BAC" w14:textId="2C7ECC67" w:rsidR="00502A11" w:rsidRPr="00AB59C5" w:rsidRDefault="00502A11" w:rsidP="00817833">
            <w:pPr>
              <w:jc w:val="center"/>
              <w:rPr>
                <w:rStyle w:val="IntenseReference"/>
                <w:rFonts w:eastAsiaTheme="minorHAnsi"/>
              </w:rPr>
            </w:pPr>
            <w:r w:rsidRPr="00AB59C5">
              <w:rPr>
                <w:rStyle w:val="IntenseReference"/>
                <w:rFonts w:eastAsiaTheme="minorHAnsi"/>
              </w:rPr>
              <w:t>&gt;30%</w:t>
            </w:r>
            <w:r w:rsidR="00E75F5C">
              <w:rPr>
                <w:rStyle w:val="IntenseReference"/>
                <w:rFonts w:eastAsiaTheme="minorHAnsi"/>
              </w:rPr>
              <w:t xml:space="preserve"> </w:t>
            </w:r>
            <w:r w:rsidRPr="00AB59C5">
              <w:rPr>
                <w:rStyle w:val="IntenseReference"/>
                <w:rFonts w:eastAsiaTheme="minorHAnsi"/>
              </w:rPr>
              <w:t>&lt;50%</w:t>
            </w:r>
          </w:p>
        </w:tc>
      </w:tr>
      <w:tr w:rsidR="00502A11" w:rsidRPr="00FB7B84" w14:paraId="03857EF4" w14:textId="77777777" w:rsidTr="00817833">
        <w:trPr>
          <w:jc w:val="center"/>
        </w:trPr>
        <w:tc>
          <w:tcPr>
            <w:tcW w:w="2396" w:type="dxa"/>
          </w:tcPr>
          <w:p w14:paraId="62F2744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Very high</w:t>
            </w:r>
          </w:p>
        </w:tc>
        <w:tc>
          <w:tcPr>
            <w:tcW w:w="3260" w:type="dxa"/>
          </w:tcPr>
          <w:p w14:paraId="0A62989D" w14:textId="77777777" w:rsidR="00502A11" w:rsidRPr="00AB59C5" w:rsidRDefault="00502A11" w:rsidP="00817833">
            <w:pPr>
              <w:jc w:val="center"/>
              <w:rPr>
                <w:rStyle w:val="IntenseReference"/>
                <w:rFonts w:eastAsiaTheme="minorHAnsi"/>
              </w:rPr>
            </w:pPr>
            <w:r w:rsidRPr="00AB59C5">
              <w:rPr>
                <w:rStyle w:val="IntenseReference"/>
                <w:rFonts w:eastAsiaTheme="minorHAnsi"/>
              </w:rPr>
              <w:t>&gt;50%</w:t>
            </w:r>
          </w:p>
        </w:tc>
      </w:tr>
    </w:tbl>
    <w:p w14:paraId="336407CB" w14:textId="77777777" w:rsidR="00502A11" w:rsidRPr="00E35DE1" w:rsidRDefault="00502A11" w:rsidP="00502A11">
      <w:pPr>
        <w:pStyle w:val="Heading2"/>
      </w:pPr>
      <w:bookmarkStart w:id="305" w:name="_Toc493153353"/>
      <w:r>
        <w:t xml:space="preserve">7.2 </w:t>
      </w:r>
      <w:r w:rsidRPr="00985D7E">
        <w:t>Discussion of Results</w:t>
      </w:r>
      <w:bookmarkEnd w:id="305"/>
    </w:p>
    <w:p w14:paraId="1F8BD695" w14:textId="62612011" w:rsidR="00502A11" w:rsidRPr="00E35DE1" w:rsidRDefault="00502A11" w:rsidP="00502A11">
      <w:pPr>
        <w:rPr>
          <w:rFonts w:eastAsiaTheme="minorHAnsi" w:cs="Arial"/>
          <w:szCs w:val="22"/>
          <w:lang w:val="en-AU"/>
        </w:rPr>
      </w:pPr>
      <w:r w:rsidRPr="00E35DE1">
        <w:rPr>
          <w:rFonts w:eastAsiaTheme="minorHAnsi" w:cs="Arial"/>
          <w:szCs w:val="22"/>
          <w:lang w:val="en-AU"/>
        </w:rPr>
        <w:t xml:space="preserve">Between March and June 2016 the EotR carried out bleaching surveys across seven transects perpendicular to the coastline from Cape York in </w:t>
      </w:r>
      <w:r>
        <w:rPr>
          <w:rFonts w:eastAsiaTheme="minorHAnsi" w:cs="Arial"/>
          <w:szCs w:val="22"/>
          <w:lang w:val="en-AU"/>
        </w:rPr>
        <w:t>far north of the Reef</w:t>
      </w:r>
      <w:r w:rsidR="00E54AF3">
        <w:rPr>
          <w:rFonts w:eastAsiaTheme="minorHAnsi" w:cs="Arial"/>
          <w:szCs w:val="22"/>
          <w:lang w:val="en-AU"/>
        </w:rPr>
        <w:t xml:space="preserve"> </w:t>
      </w:r>
      <w:r w:rsidRPr="00E35DE1">
        <w:rPr>
          <w:rFonts w:eastAsiaTheme="minorHAnsi" w:cs="Arial"/>
          <w:szCs w:val="22"/>
          <w:lang w:val="en-AU"/>
        </w:rPr>
        <w:t xml:space="preserve">to Rockhampton in </w:t>
      </w:r>
      <w:r>
        <w:rPr>
          <w:rFonts w:eastAsiaTheme="minorHAnsi" w:cs="Arial"/>
          <w:szCs w:val="22"/>
          <w:lang w:val="en-AU"/>
        </w:rPr>
        <w:t>s</w:t>
      </w:r>
      <w:r w:rsidRPr="00E35DE1">
        <w:rPr>
          <w:rFonts w:eastAsiaTheme="minorHAnsi" w:cs="Arial"/>
          <w:szCs w:val="22"/>
          <w:lang w:val="en-AU"/>
        </w:rPr>
        <w:t>out</w:t>
      </w:r>
      <w:r>
        <w:rPr>
          <w:rFonts w:eastAsiaTheme="minorHAnsi" w:cs="Arial"/>
          <w:szCs w:val="22"/>
          <w:lang w:val="en-AU"/>
        </w:rPr>
        <w:t>h</w:t>
      </w:r>
      <w:r w:rsidRPr="00E35DE1">
        <w:rPr>
          <w:rFonts w:eastAsiaTheme="minorHAnsi" w:cs="Arial"/>
          <w:szCs w:val="22"/>
          <w:lang w:val="en-AU"/>
        </w:rPr>
        <w:t xml:space="preserve"> (</w:t>
      </w:r>
      <w:r w:rsidR="00E54AF3">
        <w:rPr>
          <w:rFonts w:eastAsiaTheme="minorHAnsi" w:cs="Arial"/>
          <w:szCs w:val="22"/>
          <w:lang w:val="en-AU"/>
        </w:rPr>
        <w:fldChar w:fldCharType="begin"/>
      </w:r>
      <w:r w:rsidR="00E54AF3">
        <w:rPr>
          <w:rFonts w:eastAsiaTheme="minorHAnsi" w:cs="Arial"/>
          <w:szCs w:val="22"/>
          <w:lang w:val="en-AU"/>
        </w:rPr>
        <w:instrText xml:space="preserve"> REF _Ref491173118 \h </w:instrText>
      </w:r>
      <w:r w:rsidR="00E54AF3">
        <w:rPr>
          <w:rFonts w:eastAsiaTheme="minorHAnsi" w:cs="Arial"/>
          <w:szCs w:val="22"/>
          <w:lang w:val="en-AU"/>
        </w:rPr>
      </w:r>
      <w:r w:rsidR="00E54AF3">
        <w:rPr>
          <w:rFonts w:eastAsiaTheme="minorHAnsi" w:cs="Arial"/>
          <w:szCs w:val="22"/>
          <w:lang w:val="en-AU"/>
        </w:rPr>
        <w:fldChar w:fldCharType="separate"/>
      </w:r>
      <w:r w:rsidR="00D806F2">
        <w:t xml:space="preserve">Figure </w:t>
      </w:r>
      <w:r w:rsidR="00D806F2">
        <w:rPr>
          <w:noProof/>
        </w:rPr>
        <w:t>24</w:t>
      </w:r>
      <w:r w:rsidR="00E54AF3">
        <w:rPr>
          <w:rFonts w:eastAsiaTheme="minorHAnsi" w:cs="Arial"/>
          <w:szCs w:val="22"/>
          <w:lang w:val="en-AU"/>
        </w:rPr>
        <w:fldChar w:fldCharType="end"/>
      </w:r>
      <w:r w:rsidRPr="00E35DE1">
        <w:rPr>
          <w:rFonts w:eastAsiaTheme="minorHAnsi" w:cs="Arial"/>
          <w:szCs w:val="22"/>
          <w:lang w:val="en-AU"/>
        </w:rPr>
        <w:t>);</w:t>
      </w:r>
      <w:r w:rsidR="00E75F5C">
        <w:rPr>
          <w:rFonts w:eastAsiaTheme="minorHAnsi" w:cs="Arial"/>
          <w:szCs w:val="22"/>
          <w:lang w:val="en-AU"/>
        </w:rPr>
        <w:t xml:space="preserve"> </w:t>
      </w:r>
      <w:r w:rsidRPr="00E35DE1">
        <w:rPr>
          <w:rFonts w:eastAsiaTheme="minorHAnsi" w:cs="Arial"/>
          <w:szCs w:val="22"/>
          <w:lang w:val="en-AU"/>
        </w:rPr>
        <w:t xml:space="preserve">a total of 63 reefs. They reported 22% coral mortality across all surveys. An estimated 85% of this bleaching mortality occurred between Cape York and north of Lizard Island. The severity of bleaching in </w:t>
      </w:r>
      <w:r>
        <w:rPr>
          <w:rFonts w:eastAsiaTheme="minorHAnsi" w:cs="Arial"/>
          <w:szCs w:val="22"/>
          <w:lang w:val="en-AU"/>
        </w:rPr>
        <w:t>t</w:t>
      </w:r>
      <w:r w:rsidRPr="00E35DE1">
        <w:rPr>
          <w:rFonts w:eastAsiaTheme="minorHAnsi" w:cs="Arial"/>
          <w:szCs w:val="22"/>
          <w:lang w:val="en-AU"/>
        </w:rPr>
        <w:t>his northern region w</w:t>
      </w:r>
      <w:r>
        <w:rPr>
          <w:rFonts w:eastAsiaTheme="minorHAnsi" w:cs="Arial"/>
          <w:szCs w:val="22"/>
          <w:lang w:val="en-AU"/>
        </w:rPr>
        <w:t>as most severe at inner and mid-</w:t>
      </w:r>
      <w:r w:rsidRPr="00E35DE1">
        <w:rPr>
          <w:rFonts w:eastAsiaTheme="minorHAnsi" w:cs="Arial"/>
          <w:szCs w:val="22"/>
          <w:lang w:val="en-AU"/>
        </w:rPr>
        <w:t>shelf reefs</w:t>
      </w:r>
      <w:r>
        <w:rPr>
          <w:rFonts w:eastAsiaTheme="minorHAnsi" w:cs="Arial"/>
          <w:szCs w:val="22"/>
          <w:lang w:val="en-AU"/>
        </w:rPr>
        <w:t xml:space="preserve"> though still moderate on the outer-</w:t>
      </w:r>
      <w:r w:rsidRPr="00E35DE1">
        <w:rPr>
          <w:rFonts w:eastAsiaTheme="minorHAnsi" w:cs="Arial"/>
          <w:szCs w:val="22"/>
          <w:lang w:val="en-AU"/>
        </w:rPr>
        <w:t>shelf (</w:t>
      </w:r>
      <w:r w:rsidR="00E54AF3">
        <w:rPr>
          <w:rFonts w:eastAsiaTheme="minorHAnsi" w:cs="Arial"/>
          <w:szCs w:val="22"/>
          <w:lang w:val="en-AU"/>
        </w:rPr>
        <w:fldChar w:fldCharType="begin"/>
      </w:r>
      <w:r w:rsidR="00E54AF3">
        <w:rPr>
          <w:rFonts w:eastAsiaTheme="minorHAnsi" w:cs="Arial"/>
          <w:szCs w:val="22"/>
          <w:lang w:val="en-AU"/>
        </w:rPr>
        <w:instrText xml:space="preserve"> REF _Ref491173118 \h </w:instrText>
      </w:r>
      <w:r w:rsidR="00E54AF3">
        <w:rPr>
          <w:rFonts w:eastAsiaTheme="minorHAnsi" w:cs="Arial"/>
          <w:szCs w:val="22"/>
          <w:lang w:val="en-AU"/>
        </w:rPr>
      </w:r>
      <w:r w:rsidR="00E54AF3">
        <w:rPr>
          <w:rFonts w:eastAsiaTheme="minorHAnsi" w:cs="Arial"/>
          <w:szCs w:val="22"/>
          <w:lang w:val="en-AU"/>
        </w:rPr>
        <w:fldChar w:fldCharType="separate"/>
      </w:r>
      <w:r w:rsidR="00D806F2">
        <w:t xml:space="preserve">Figure </w:t>
      </w:r>
      <w:r w:rsidR="00D806F2">
        <w:rPr>
          <w:noProof/>
        </w:rPr>
        <w:t>24</w:t>
      </w:r>
      <w:r w:rsidR="00E54AF3">
        <w:rPr>
          <w:rFonts w:eastAsiaTheme="minorHAnsi" w:cs="Arial"/>
          <w:szCs w:val="22"/>
          <w:lang w:val="en-AU"/>
        </w:rPr>
        <w:fldChar w:fldCharType="end"/>
      </w:r>
      <w:r w:rsidRPr="00E35DE1">
        <w:rPr>
          <w:rFonts w:eastAsiaTheme="minorHAnsi" w:cs="Arial"/>
          <w:szCs w:val="22"/>
          <w:lang w:val="en-AU"/>
        </w:rPr>
        <w:t>). With increasing latitude severe bleaching shifted</w:t>
      </w:r>
      <w:r>
        <w:rPr>
          <w:rFonts w:eastAsiaTheme="minorHAnsi" w:cs="Arial"/>
          <w:szCs w:val="22"/>
          <w:lang w:val="en-AU"/>
        </w:rPr>
        <w:t xml:space="preserve"> progressively to the outer-</w:t>
      </w:r>
      <w:r w:rsidRPr="00E35DE1">
        <w:rPr>
          <w:rFonts w:eastAsiaTheme="minorHAnsi" w:cs="Arial"/>
          <w:szCs w:val="22"/>
          <w:lang w:val="en-AU"/>
        </w:rPr>
        <w:t xml:space="preserve">shelf reefs, leaving the majority of inshore and mid-shelf reefs south of Cairns with only minor bleaching. </w:t>
      </w:r>
    </w:p>
    <w:p w14:paraId="52B3D1D1" w14:textId="77777777" w:rsidR="00502A11" w:rsidRPr="00E35DE1" w:rsidRDefault="00502A11" w:rsidP="00502A11">
      <w:pPr>
        <w:rPr>
          <w:rFonts w:eastAsiaTheme="minorHAnsi" w:cs="Arial"/>
          <w:szCs w:val="22"/>
          <w:lang w:val="en-AU"/>
        </w:rPr>
      </w:pPr>
      <w:r w:rsidRPr="00E35DE1">
        <w:rPr>
          <w:rFonts w:eastAsiaTheme="minorHAnsi" w:cs="Arial"/>
          <w:szCs w:val="22"/>
          <w:lang w:val="en-AU"/>
        </w:rPr>
        <w:t>Both the MMP and EotR shared inshore sites in three Regions: the Wet Tropics (Fitzroy), Burdekin (Havannah</w:t>
      </w:r>
      <w:r>
        <w:rPr>
          <w:rFonts w:eastAsiaTheme="minorHAnsi" w:cs="Arial"/>
          <w:szCs w:val="22"/>
          <w:lang w:val="en-AU"/>
        </w:rPr>
        <w:t>,</w:t>
      </w:r>
      <w:r w:rsidRPr="00E35DE1">
        <w:rPr>
          <w:rFonts w:eastAsiaTheme="minorHAnsi" w:cs="Arial"/>
          <w:szCs w:val="22"/>
          <w:lang w:val="en-AU"/>
        </w:rPr>
        <w:t xml:space="preserve"> Pand</w:t>
      </w:r>
      <w:r>
        <w:rPr>
          <w:rFonts w:eastAsiaTheme="minorHAnsi" w:cs="Arial"/>
          <w:szCs w:val="22"/>
          <w:lang w:val="en-AU"/>
        </w:rPr>
        <w:t>ora</w:t>
      </w:r>
      <w:r w:rsidRPr="00E35DE1">
        <w:rPr>
          <w:rFonts w:eastAsiaTheme="minorHAnsi" w:cs="Arial"/>
          <w:szCs w:val="22"/>
          <w:lang w:val="en-AU"/>
        </w:rPr>
        <w:t xml:space="preserve">), and Fitzroy (North Keppel, Middle, </w:t>
      </w:r>
      <w:r>
        <w:rPr>
          <w:rFonts w:eastAsiaTheme="minorHAnsi" w:cs="Arial"/>
          <w:szCs w:val="22"/>
          <w:lang w:val="en-AU"/>
        </w:rPr>
        <w:t>Keppels South</w:t>
      </w:r>
      <w:r w:rsidRPr="00E35DE1">
        <w:rPr>
          <w:rFonts w:eastAsiaTheme="minorHAnsi" w:cs="Arial"/>
          <w:szCs w:val="22"/>
          <w:lang w:val="en-AU"/>
        </w:rPr>
        <w:t>). Both surveys recorded minor bleaching impact</w:t>
      </w:r>
      <w:r>
        <w:rPr>
          <w:rFonts w:eastAsiaTheme="minorHAnsi" w:cs="Arial"/>
          <w:szCs w:val="22"/>
          <w:lang w:val="en-AU"/>
        </w:rPr>
        <w:t xml:space="preserve"> at these locations</w:t>
      </w:r>
      <w:r w:rsidRPr="00E35DE1">
        <w:rPr>
          <w:rFonts w:eastAsiaTheme="minorHAnsi" w:cs="Arial"/>
          <w:szCs w:val="22"/>
          <w:lang w:val="en-AU"/>
        </w:rPr>
        <w:t xml:space="preserve">, with no mortality. </w:t>
      </w:r>
    </w:p>
    <w:p w14:paraId="578527E6" w14:textId="0F99ABDD" w:rsidR="00502A11" w:rsidRPr="00E35DE1" w:rsidRDefault="00502A11" w:rsidP="00502A11">
      <w:pPr>
        <w:rPr>
          <w:rFonts w:eastAsiaTheme="minorHAnsi" w:cs="Arial"/>
          <w:szCs w:val="22"/>
          <w:lang w:val="en-AU"/>
        </w:rPr>
      </w:pPr>
      <w:r w:rsidRPr="00E35DE1">
        <w:rPr>
          <w:rFonts w:eastAsiaTheme="minorHAnsi" w:cs="Arial"/>
          <w:szCs w:val="22"/>
          <w:lang w:val="en-AU"/>
        </w:rPr>
        <w:t>Of the 24 reefs monitored by the MMP in mid-2016 between Cai</w:t>
      </w:r>
      <w:r>
        <w:rPr>
          <w:rFonts w:eastAsiaTheme="minorHAnsi" w:cs="Arial"/>
          <w:szCs w:val="22"/>
          <w:lang w:val="en-AU"/>
        </w:rPr>
        <w:t>r</w:t>
      </w:r>
      <w:r w:rsidRPr="00E35DE1">
        <w:rPr>
          <w:rFonts w:eastAsiaTheme="minorHAnsi" w:cs="Arial"/>
          <w:szCs w:val="22"/>
          <w:lang w:val="en-AU"/>
        </w:rPr>
        <w:t>ns and Rockhampton (</w:t>
      </w:r>
      <w:r w:rsidR="00E54AF3">
        <w:rPr>
          <w:rFonts w:eastAsiaTheme="minorHAnsi" w:cs="Arial"/>
          <w:szCs w:val="22"/>
          <w:lang w:val="en-AU"/>
        </w:rPr>
        <w:fldChar w:fldCharType="begin"/>
      </w:r>
      <w:r w:rsidR="00E54AF3">
        <w:rPr>
          <w:rFonts w:eastAsiaTheme="minorHAnsi" w:cs="Arial"/>
          <w:szCs w:val="22"/>
          <w:lang w:val="en-AU"/>
        </w:rPr>
        <w:instrText xml:space="preserve"> REF _Ref491090953 \h </w:instrText>
      </w:r>
      <w:r w:rsidR="00E54AF3">
        <w:rPr>
          <w:rFonts w:eastAsiaTheme="minorHAnsi" w:cs="Arial"/>
          <w:szCs w:val="22"/>
          <w:lang w:val="en-AU"/>
        </w:rPr>
      </w:r>
      <w:r w:rsidR="00E54AF3">
        <w:rPr>
          <w:rFonts w:eastAsiaTheme="minorHAnsi" w:cs="Arial"/>
          <w:szCs w:val="22"/>
          <w:lang w:val="en-AU"/>
        </w:rPr>
        <w:fldChar w:fldCharType="separate"/>
      </w:r>
      <w:r w:rsidR="00D806F2">
        <w:t xml:space="preserve">Figure </w:t>
      </w:r>
      <w:r w:rsidR="00D806F2">
        <w:rPr>
          <w:noProof/>
        </w:rPr>
        <w:t>2</w:t>
      </w:r>
      <w:r w:rsidR="00E54AF3">
        <w:rPr>
          <w:rFonts w:eastAsiaTheme="minorHAnsi" w:cs="Arial"/>
          <w:szCs w:val="22"/>
          <w:lang w:val="en-AU"/>
        </w:rPr>
        <w:fldChar w:fldCharType="end"/>
      </w:r>
      <w:r w:rsidRPr="00E35DE1">
        <w:rPr>
          <w:rFonts w:eastAsiaTheme="minorHAnsi" w:cs="Arial"/>
          <w:szCs w:val="22"/>
          <w:lang w:val="en-AU"/>
        </w:rPr>
        <w:t>), 21 reefs showed signs of bleaching, more commonly at 5</w:t>
      </w:r>
      <w:r w:rsidR="00E54AF3">
        <w:rPr>
          <w:rFonts w:eastAsiaTheme="minorHAnsi" w:cs="Arial"/>
          <w:szCs w:val="22"/>
          <w:lang w:val="en-AU"/>
        </w:rPr>
        <w:t xml:space="preserve"> </w:t>
      </w:r>
      <w:r w:rsidRPr="00E35DE1">
        <w:rPr>
          <w:rFonts w:eastAsiaTheme="minorHAnsi" w:cs="Arial"/>
          <w:szCs w:val="22"/>
          <w:lang w:val="en-AU"/>
        </w:rPr>
        <w:t>m than at 2</w:t>
      </w:r>
      <w:r w:rsidR="00E54AF3">
        <w:rPr>
          <w:rFonts w:eastAsiaTheme="minorHAnsi" w:cs="Arial"/>
          <w:szCs w:val="22"/>
          <w:lang w:val="en-AU"/>
        </w:rPr>
        <w:t xml:space="preserve"> </w:t>
      </w:r>
      <w:r w:rsidRPr="00E35DE1">
        <w:rPr>
          <w:rFonts w:eastAsiaTheme="minorHAnsi" w:cs="Arial"/>
          <w:szCs w:val="22"/>
          <w:lang w:val="en-AU"/>
        </w:rPr>
        <w:t>m</w:t>
      </w:r>
      <w:r>
        <w:rPr>
          <w:rFonts w:eastAsiaTheme="minorHAnsi" w:cs="Arial"/>
          <w:szCs w:val="22"/>
          <w:lang w:val="en-AU"/>
        </w:rPr>
        <w:t xml:space="preserve"> </w:t>
      </w:r>
      <w:r w:rsidR="00E54AF3">
        <w:rPr>
          <w:rFonts w:eastAsiaTheme="minorHAnsi" w:cs="Arial"/>
          <w:szCs w:val="22"/>
          <w:lang w:val="en-AU"/>
        </w:rPr>
        <w:t xml:space="preserve">depths </w:t>
      </w:r>
      <w:r>
        <w:rPr>
          <w:rFonts w:eastAsiaTheme="minorHAnsi" w:cs="Arial"/>
          <w:szCs w:val="22"/>
          <w:lang w:val="en-AU"/>
        </w:rPr>
        <w:t>(</w:t>
      </w:r>
      <w:r w:rsidR="00080723">
        <w:rPr>
          <w:rFonts w:eastAsiaTheme="minorHAnsi" w:cs="Arial"/>
          <w:szCs w:val="22"/>
          <w:lang w:val="en-AU"/>
        </w:rPr>
        <w:fldChar w:fldCharType="begin"/>
      </w:r>
      <w:r w:rsidR="00080723">
        <w:rPr>
          <w:rFonts w:eastAsiaTheme="minorHAnsi" w:cs="Arial"/>
          <w:szCs w:val="22"/>
          <w:lang w:val="en-AU"/>
        </w:rPr>
        <w:instrText xml:space="preserve"> REF _Ref491174236 \h </w:instrText>
      </w:r>
      <w:r w:rsidR="00080723">
        <w:rPr>
          <w:rFonts w:eastAsiaTheme="minorHAnsi" w:cs="Arial"/>
          <w:szCs w:val="22"/>
          <w:lang w:val="en-AU"/>
        </w:rPr>
      </w:r>
      <w:r w:rsidR="00080723">
        <w:rPr>
          <w:rFonts w:eastAsiaTheme="minorHAnsi" w:cs="Arial"/>
          <w:szCs w:val="22"/>
          <w:lang w:val="en-AU"/>
        </w:rPr>
        <w:fldChar w:fldCharType="separate"/>
      </w:r>
      <w:r w:rsidR="00D806F2">
        <w:t xml:space="preserve">Table </w:t>
      </w:r>
      <w:r w:rsidR="00D806F2">
        <w:rPr>
          <w:noProof/>
        </w:rPr>
        <w:t>19</w:t>
      </w:r>
      <w:r w:rsidR="00080723">
        <w:rPr>
          <w:rFonts w:eastAsiaTheme="minorHAnsi" w:cs="Arial"/>
          <w:szCs w:val="22"/>
          <w:lang w:val="en-AU"/>
        </w:rPr>
        <w:fldChar w:fldCharType="end"/>
      </w:r>
      <w:r>
        <w:rPr>
          <w:rFonts w:eastAsiaTheme="minorHAnsi" w:cs="Arial"/>
          <w:szCs w:val="22"/>
          <w:lang w:val="en-AU"/>
        </w:rPr>
        <w:t>)</w:t>
      </w:r>
      <w:r w:rsidRPr="00E35DE1">
        <w:rPr>
          <w:rFonts w:eastAsiaTheme="minorHAnsi" w:cs="Arial"/>
          <w:szCs w:val="22"/>
          <w:lang w:val="en-AU"/>
        </w:rPr>
        <w:t xml:space="preserve">. For the majority of these reefs, bleaching impact was less than 1%, patchily distributed among transects, and restricted to a few individual coral colonies. The most severely bleached reefs were in the Burdekin Region (Palms West, Pandora, Havannah) and </w:t>
      </w:r>
      <w:r>
        <w:rPr>
          <w:rFonts w:eastAsiaTheme="minorHAnsi" w:cs="Arial"/>
          <w:szCs w:val="22"/>
          <w:lang w:val="en-AU"/>
        </w:rPr>
        <w:t xml:space="preserve">at </w:t>
      </w:r>
      <w:r w:rsidRPr="00E35DE1">
        <w:rPr>
          <w:rFonts w:eastAsiaTheme="minorHAnsi" w:cs="Arial"/>
          <w:szCs w:val="22"/>
          <w:lang w:val="en-AU"/>
        </w:rPr>
        <w:t>Double Cone</w:t>
      </w:r>
      <w:r>
        <w:rPr>
          <w:rFonts w:eastAsiaTheme="minorHAnsi" w:cs="Arial"/>
          <w:szCs w:val="22"/>
          <w:lang w:val="en-AU"/>
        </w:rPr>
        <w:t xml:space="preserve"> </w:t>
      </w:r>
      <w:r w:rsidRPr="00E35DE1">
        <w:rPr>
          <w:rFonts w:eastAsiaTheme="minorHAnsi" w:cs="Arial"/>
          <w:szCs w:val="22"/>
          <w:lang w:val="en-AU"/>
        </w:rPr>
        <w:t>in the Mackay Whitsunday Region</w:t>
      </w:r>
      <w:r>
        <w:rPr>
          <w:rFonts w:eastAsiaTheme="minorHAnsi" w:cs="Arial"/>
          <w:szCs w:val="22"/>
          <w:lang w:val="en-AU"/>
        </w:rPr>
        <w:t>,</w:t>
      </w:r>
      <w:r w:rsidRPr="00E35DE1">
        <w:rPr>
          <w:rFonts w:eastAsiaTheme="minorHAnsi" w:cs="Arial"/>
          <w:szCs w:val="22"/>
          <w:lang w:val="en-AU"/>
        </w:rPr>
        <w:t xml:space="preserve"> where bleach</w:t>
      </w:r>
      <w:r>
        <w:rPr>
          <w:rFonts w:eastAsiaTheme="minorHAnsi" w:cs="Arial"/>
          <w:szCs w:val="22"/>
          <w:lang w:val="en-AU"/>
        </w:rPr>
        <w:t>ing</w:t>
      </w:r>
      <w:r w:rsidRPr="00E35DE1">
        <w:rPr>
          <w:rFonts w:eastAsiaTheme="minorHAnsi" w:cs="Arial"/>
          <w:szCs w:val="22"/>
          <w:lang w:val="en-AU"/>
        </w:rPr>
        <w:t xml:space="preserve"> was again minor</w:t>
      </w:r>
      <w:r>
        <w:rPr>
          <w:rFonts w:eastAsiaTheme="minorHAnsi" w:cs="Arial"/>
          <w:szCs w:val="22"/>
          <w:lang w:val="en-AU"/>
        </w:rPr>
        <w:t>;</w:t>
      </w:r>
      <w:r w:rsidRPr="00E35DE1">
        <w:rPr>
          <w:rFonts w:eastAsiaTheme="minorHAnsi" w:cs="Arial"/>
          <w:szCs w:val="22"/>
          <w:lang w:val="en-AU"/>
        </w:rPr>
        <w:t xml:space="preserve"> impacting less than</w:t>
      </w:r>
      <w:r>
        <w:rPr>
          <w:rFonts w:eastAsiaTheme="minorHAnsi" w:cs="Arial"/>
          <w:szCs w:val="22"/>
          <w:lang w:val="en-AU"/>
        </w:rPr>
        <w:t xml:space="preserve"> </w:t>
      </w:r>
      <w:r w:rsidRPr="00E35DE1">
        <w:rPr>
          <w:rFonts w:eastAsiaTheme="minorHAnsi" w:cs="Arial"/>
          <w:szCs w:val="22"/>
          <w:lang w:val="en-AU"/>
        </w:rPr>
        <w:t>2% of the community</w:t>
      </w:r>
      <w:r>
        <w:rPr>
          <w:rFonts w:eastAsiaTheme="minorHAnsi" w:cs="Arial"/>
          <w:szCs w:val="22"/>
          <w:lang w:val="en-AU"/>
        </w:rPr>
        <w:t>,</w:t>
      </w:r>
      <w:r w:rsidRPr="00E35DE1">
        <w:rPr>
          <w:rFonts w:eastAsiaTheme="minorHAnsi" w:cs="Arial"/>
          <w:szCs w:val="22"/>
          <w:lang w:val="en-AU"/>
        </w:rPr>
        <w:t xml:space="preserve"> with the genera</w:t>
      </w:r>
      <w:r>
        <w:rPr>
          <w:rFonts w:eastAsiaTheme="minorHAnsi" w:cs="Arial"/>
          <w:szCs w:val="22"/>
          <w:lang w:val="en-AU"/>
        </w:rPr>
        <w:t xml:space="preserve"> </w:t>
      </w:r>
      <w:r w:rsidRPr="00E35DE1">
        <w:rPr>
          <w:rFonts w:eastAsiaTheme="minorHAnsi" w:cs="Arial"/>
          <w:i/>
          <w:szCs w:val="22"/>
          <w:lang w:val="en-AU"/>
        </w:rPr>
        <w:t>Montipora, Platygyra, Pocillopora</w:t>
      </w:r>
      <w:r>
        <w:rPr>
          <w:rFonts w:eastAsiaTheme="minorHAnsi" w:cs="Arial"/>
          <w:i/>
          <w:szCs w:val="22"/>
          <w:lang w:val="en-AU"/>
        </w:rPr>
        <w:t>,</w:t>
      </w:r>
      <w:r w:rsidRPr="00E35DE1">
        <w:rPr>
          <w:rFonts w:eastAsiaTheme="minorHAnsi" w:cs="Arial"/>
          <w:i/>
          <w:szCs w:val="22"/>
          <w:lang w:val="en-AU"/>
        </w:rPr>
        <w:t xml:space="preserve"> and Stylophora </w:t>
      </w:r>
      <w:r>
        <w:rPr>
          <w:rFonts w:eastAsiaTheme="minorHAnsi" w:cs="Arial"/>
          <w:szCs w:val="22"/>
          <w:lang w:val="en-AU"/>
        </w:rPr>
        <w:t xml:space="preserve">being the </w:t>
      </w:r>
      <w:r w:rsidRPr="00E35DE1">
        <w:rPr>
          <w:rFonts w:eastAsiaTheme="minorHAnsi" w:cs="Arial"/>
          <w:szCs w:val="22"/>
          <w:lang w:val="en-AU"/>
        </w:rPr>
        <w:t>most sensitive.</w:t>
      </w:r>
      <w:r w:rsidR="00E75F5C">
        <w:rPr>
          <w:rFonts w:eastAsiaTheme="minorHAnsi" w:cs="Arial"/>
          <w:szCs w:val="22"/>
          <w:lang w:val="en-AU"/>
        </w:rPr>
        <w:t xml:space="preserve"> </w:t>
      </w:r>
      <w:r w:rsidRPr="00E35DE1">
        <w:rPr>
          <w:rFonts w:eastAsiaTheme="minorHAnsi" w:cs="Arial"/>
          <w:szCs w:val="22"/>
          <w:lang w:val="en-AU"/>
        </w:rPr>
        <w:t>Mortality was not quantified though was almost certainly limited.</w:t>
      </w:r>
      <w:r>
        <w:rPr>
          <w:rFonts w:eastAsiaTheme="minorHAnsi" w:cs="Arial"/>
          <w:szCs w:val="22"/>
          <w:lang w:val="en-AU"/>
        </w:rPr>
        <w:t xml:space="preserve"> </w:t>
      </w:r>
    </w:p>
    <w:p w14:paraId="2A588EC1" w14:textId="75B37666" w:rsidR="00502A11" w:rsidRPr="00A2572F" w:rsidRDefault="00502A11" w:rsidP="00502A11">
      <w:pPr>
        <w:rPr>
          <w:rFonts w:eastAsiaTheme="minorHAnsi" w:cs="Arial"/>
          <w:szCs w:val="22"/>
          <w:lang w:val="en-AU"/>
        </w:rPr>
      </w:pPr>
      <w:r w:rsidRPr="00A2572F">
        <w:rPr>
          <w:rFonts w:eastAsiaTheme="minorHAnsi" w:cs="Arial"/>
          <w:szCs w:val="22"/>
          <w:lang w:val="en-AU"/>
        </w:rPr>
        <w:t>An examination of records from the MMP in-situ temperature shows a pattern of late-summer</w:t>
      </w:r>
      <w:r>
        <w:rPr>
          <w:rFonts w:eastAsiaTheme="minorHAnsi" w:cs="Arial"/>
          <w:szCs w:val="22"/>
          <w:lang w:val="en-AU"/>
        </w:rPr>
        <w:t xml:space="preserve">, positive temperature </w:t>
      </w:r>
      <w:r w:rsidRPr="00A2572F">
        <w:rPr>
          <w:rFonts w:eastAsiaTheme="minorHAnsi" w:cs="Arial"/>
          <w:szCs w:val="22"/>
          <w:lang w:val="en-AU"/>
        </w:rPr>
        <w:t>anomal</w:t>
      </w:r>
      <w:r>
        <w:rPr>
          <w:rFonts w:eastAsiaTheme="minorHAnsi" w:cs="Arial"/>
          <w:szCs w:val="22"/>
          <w:lang w:val="en-AU"/>
        </w:rPr>
        <w:t>ies</w:t>
      </w:r>
      <w:r w:rsidR="00080723">
        <w:rPr>
          <w:rFonts w:eastAsiaTheme="minorHAnsi" w:cs="Arial"/>
          <w:szCs w:val="22"/>
          <w:lang w:val="en-AU"/>
        </w:rPr>
        <w:t xml:space="preserve"> (</w:t>
      </w:r>
      <w:r w:rsidR="00080723">
        <w:rPr>
          <w:rFonts w:eastAsiaTheme="minorHAnsi" w:cs="Arial"/>
          <w:szCs w:val="22"/>
          <w:lang w:val="en-AU"/>
        </w:rPr>
        <w:fldChar w:fldCharType="begin"/>
      </w:r>
      <w:r w:rsidR="00080723">
        <w:rPr>
          <w:rFonts w:eastAsiaTheme="minorHAnsi" w:cs="Arial"/>
          <w:szCs w:val="22"/>
          <w:lang w:val="en-AU"/>
        </w:rPr>
        <w:instrText xml:space="preserve"> REF _Ref491174268 \h </w:instrText>
      </w:r>
      <w:r w:rsidR="00080723">
        <w:rPr>
          <w:rFonts w:eastAsiaTheme="minorHAnsi" w:cs="Arial"/>
          <w:szCs w:val="22"/>
          <w:lang w:val="en-AU"/>
        </w:rPr>
      </w:r>
      <w:r w:rsidR="00080723">
        <w:rPr>
          <w:rFonts w:eastAsiaTheme="minorHAnsi" w:cs="Arial"/>
          <w:szCs w:val="22"/>
          <w:lang w:val="en-AU"/>
        </w:rPr>
        <w:fldChar w:fldCharType="separate"/>
      </w:r>
      <w:r w:rsidR="00D806F2">
        <w:t xml:space="preserve">Figure </w:t>
      </w:r>
      <w:r w:rsidR="00D806F2">
        <w:rPr>
          <w:noProof/>
        </w:rPr>
        <w:t>25</w:t>
      </w:r>
      <w:r w:rsidR="00080723">
        <w:rPr>
          <w:rFonts w:eastAsiaTheme="minorHAnsi" w:cs="Arial"/>
          <w:szCs w:val="22"/>
          <w:lang w:val="en-AU"/>
        </w:rPr>
        <w:fldChar w:fldCharType="end"/>
      </w:r>
      <w:r w:rsidRPr="00A2572F">
        <w:rPr>
          <w:rFonts w:eastAsiaTheme="minorHAnsi" w:cs="Arial"/>
          <w:szCs w:val="22"/>
          <w:lang w:val="en-AU"/>
        </w:rPr>
        <w:t>). This has influenced the distribution of Degree Heating Days (DHD) seen in</w:t>
      </w:r>
      <w:r w:rsidR="00080723">
        <w:rPr>
          <w:rFonts w:eastAsiaTheme="minorHAnsi" w:cs="Arial"/>
          <w:szCs w:val="22"/>
          <w:lang w:val="en-AU"/>
        </w:rPr>
        <w:t xml:space="preserve"> </w:t>
      </w:r>
      <w:r w:rsidR="00080723">
        <w:rPr>
          <w:rFonts w:eastAsiaTheme="minorHAnsi" w:cs="Arial"/>
          <w:szCs w:val="22"/>
          <w:lang w:val="en-AU"/>
        </w:rPr>
        <w:fldChar w:fldCharType="begin"/>
      </w:r>
      <w:r w:rsidR="00080723">
        <w:rPr>
          <w:rFonts w:eastAsiaTheme="minorHAnsi" w:cs="Arial"/>
          <w:szCs w:val="22"/>
          <w:lang w:val="en-AU"/>
        </w:rPr>
        <w:instrText xml:space="preserve"> REF _Ref491174308 \h </w:instrText>
      </w:r>
      <w:r w:rsidR="00080723">
        <w:rPr>
          <w:rFonts w:eastAsiaTheme="minorHAnsi" w:cs="Arial"/>
          <w:szCs w:val="22"/>
          <w:lang w:val="en-AU"/>
        </w:rPr>
      </w:r>
      <w:r w:rsidR="00080723">
        <w:rPr>
          <w:rFonts w:eastAsiaTheme="minorHAnsi" w:cs="Arial"/>
          <w:szCs w:val="22"/>
          <w:lang w:val="en-AU"/>
        </w:rPr>
        <w:fldChar w:fldCharType="separate"/>
      </w:r>
      <w:r w:rsidR="00D806F2">
        <w:t xml:space="preserve">Table </w:t>
      </w:r>
      <w:r w:rsidR="00D806F2">
        <w:rPr>
          <w:noProof/>
        </w:rPr>
        <w:t>18</w:t>
      </w:r>
      <w:r w:rsidR="00080723">
        <w:rPr>
          <w:rFonts w:eastAsiaTheme="minorHAnsi" w:cs="Arial"/>
          <w:szCs w:val="22"/>
          <w:lang w:val="en-AU"/>
        </w:rPr>
        <w:fldChar w:fldCharType="end"/>
      </w:r>
      <w:r w:rsidRPr="00A2572F">
        <w:rPr>
          <w:rFonts w:eastAsiaTheme="minorHAnsi" w:cs="Arial"/>
          <w:szCs w:val="22"/>
          <w:lang w:val="en-AU"/>
        </w:rPr>
        <w:t>.</w:t>
      </w:r>
    </w:p>
    <w:p w14:paraId="226940AE" w14:textId="1C9D37B0" w:rsidR="00502A11" w:rsidRDefault="00502A11" w:rsidP="00502A11">
      <w:pPr>
        <w:contextualSpacing/>
        <w:rPr>
          <w:rFonts w:eastAsiaTheme="minorHAnsi" w:cs="Arial"/>
          <w:szCs w:val="22"/>
          <w:lang w:val="en-AU"/>
        </w:rPr>
      </w:pPr>
      <w:r w:rsidRPr="00A2572F">
        <w:rPr>
          <w:rFonts w:eastAsiaTheme="minorHAnsi" w:cs="Arial"/>
          <w:szCs w:val="22"/>
          <w:lang w:val="en-AU"/>
        </w:rPr>
        <w:t>From the Burdekin north</w:t>
      </w:r>
      <w:r w:rsidR="00080723">
        <w:rPr>
          <w:rFonts w:eastAsiaTheme="minorHAnsi" w:cs="Arial"/>
          <w:szCs w:val="22"/>
          <w:lang w:val="en-AU"/>
        </w:rPr>
        <w:t>,</w:t>
      </w:r>
      <w:r w:rsidRPr="00A2572F">
        <w:rPr>
          <w:rFonts w:eastAsiaTheme="minorHAnsi" w:cs="Arial"/>
          <w:szCs w:val="22"/>
          <w:lang w:val="en-AU"/>
        </w:rPr>
        <w:t xml:space="preserve"> regional temperature anomalies approach or exceed previous anomaly records available back to </w:t>
      </w:r>
      <w:r w:rsidRPr="005D0AF9">
        <w:rPr>
          <w:rFonts w:eastAsiaTheme="minorHAnsi" w:cs="Arial"/>
          <w:szCs w:val="22"/>
          <w:lang w:val="en-AU"/>
        </w:rPr>
        <w:t>200</w:t>
      </w:r>
      <w:r w:rsidRPr="00A2572F">
        <w:rPr>
          <w:rFonts w:eastAsiaTheme="minorHAnsi" w:cs="Arial"/>
          <w:szCs w:val="22"/>
          <w:lang w:val="en-AU"/>
        </w:rPr>
        <w:t>2</w:t>
      </w:r>
      <w:r>
        <w:rPr>
          <w:rFonts w:eastAsiaTheme="minorHAnsi" w:cs="Arial"/>
          <w:szCs w:val="22"/>
          <w:lang w:val="en-AU"/>
        </w:rPr>
        <w:t xml:space="preserve"> (IMOS 2002-2012 temperature data, see Section 4.</w:t>
      </w:r>
      <w:r w:rsidR="00080723">
        <w:rPr>
          <w:rFonts w:eastAsiaTheme="minorHAnsi" w:cs="Arial"/>
          <w:szCs w:val="22"/>
          <w:lang w:val="en-AU"/>
        </w:rPr>
        <w:t>3.2</w:t>
      </w:r>
      <w:r>
        <w:rPr>
          <w:rFonts w:eastAsiaTheme="minorHAnsi" w:cs="Arial"/>
          <w:szCs w:val="22"/>
          <w:lang w:val="en-AU"/>
        </w:rPr>
        <w:t>)</w:t>
      </w:r>
      <w:r w:rsidRPr="00A2572F">
        <w:rPr>
          <w:rFonts w:eastAsiaTheme="minorHAnsi" w:cs="Arial"/>
          <w:szCs w:val="22"/>
          <w:lang w:val="en-AU"/>
        </w:rPr>
        <w:t>. For the Burdekin, Tully and Russell Mulgrave (sub</w:t>
      </w:r>
      <w:r>
        <w:rPr>
          <w:rFonts w:eastAsiaTheme="minorHAnsi" w:cs="Arial"/>
          <w:szCs w:val="22"/>
          <w:lang w:val="en-AU"/>
        </w:rPr>
        <w:t>-</w:t>
      </w:r>
      <w:r w:rsidR="00080723">
        <w:rPr>
          <w:rFonts w:eastAsiaTheme="minorHAnsi" w:cs="Arial"/>
          <w:szCs w:val="22"/>
          <w:lang w:val="en-AU"/>
        </w:rPr>
        <w:t>)regions anomalies</w:t>
      </w:r>
      <w:r w:rsidRPr="00A2572F">
        <w:rPr>
          <w:rFonts w:eastAsiaTheme="minorHAnsi" w:cs="Arial"/>
          <w:szCs w:val="22"/>
          <w:lang w:val="en-AU"/>
        </w:rPr>
        <w:t xml:space="preserve"> across </w:t>
      </w:r>
      <w:r>
        <w:rPr>
          <w:rFonts w:eastAsiaTheme="minorHAnsi" w:cs="Arial"/>
          <w:szCs w:val="22"/>
          <w:lang w:val="en-AU"/>
        </w:rPr>
        <w:t xml:space="preserve">the austral summer </w:t>
      </w:r>
      <w:r w:rsidRPr="00A2572F">
        <w:rPr>
          <w:rFonts w:eastAsiaTheme="minorHAnsi" w:cs="Arial"/>
          <w:szCs w:val="22"/>
          <w:lang w:val="en-AU"/>
        </w:rPr>
        <w:t>were generally low (&lt; 1</w:t>
      </w:r>
      <w:r w:rsidRPr="00A2572F">
        <w:rPr>
          <w:rFonts w:eastAsiaTheme="minorHAnsi" w:cs="Arial"/>
          <w:szCs w:val="22"/>
          <w:vertAlign w:val="superscript"/>
          <w:lang w:val="en-AU"/>
        </w:rPr>
        <w:t>o</w:t>
      </w:r>
      <w:r w:rsidRPr="00A2572F">
        <w:rPr>
          <w:rFonts w:eastAsiaTheme="minorHAnsi" w:cs="Arial"/>
          <w:szCs w:val="22"/>
          <w:lang w:val="en-AU"/>
        </w:rPr>
        <w:t xml:space="preserve">C), with temperatures </w:t>
      </w:r>
      <w:r>
        <w:rPr>
          <w:rFonts w:eastAsiaTheme="minorHAnsi" w:cs="Arial"/>
          <w:szCs w:val="22"/>
          <w:lang w:val="en-AU"/>
        </w:rPr>
        <w:t>approaching or exceeding</w:t>
      </w:r>
      <w:r w:rsidRPr="00A2572F">
        <w:rPr>
          <w:rFonts w:eastAsiaTheme="minorHAnsi" w:cs="Arial"/>
          <w:szCs w:val="22"/>
          <w:lang w:val="en-AU"/>
        </w:rPr>
        <w:t xml:space="preserve"> two degrees above long term averages occurring either late in, or after, </w:t>
      </w:r>
      <w:r>
        <w:rPr>
          <w:rFonts w:eastAsiaTheme="minorHAnsi" w:cs="Arial"/>
          <w:szCs w:val="22"/>
          <w:lang w:val="en-AU"/>
        </w:rPr>
        <w:t>March</w:t>
      </w:r>
      <w:r w:rsidRPr="00A2572F">
        <w:rPr>
          <w:rFonts w:eastAsiaTheme="minorHAnsi" w:cs="Arial"/>
          <w:szCs w:val="22"/>
          <w:lang w:val="en-AU"/>
        </w:rPr>
        <w:t>. Indeed</w:t>
      </w:r>
      <w:r>
        <w:rPr>
          <w:rFonts w:eastAsiaTheme="minorHAnsi" w:cs="Arial"/>
          <w:szCs w:val="22"/>
          <w:lang w:val="en-AU"/>
        </w:rPr>
        <w:t>,</w:t>
      </w:r>
      <w:r w:rsidRPr="00A2572F">
        <w:rPr>
          <w:rFonts w:eastAsiaTheme="minorHAnsi" w:cs="Arial"/>
          <w:szCs w:val="22"/>
          <w:lang w:val="en-AU"/>
        </w:rPr>
        <w:t xml:space="preserve"> reefs in the Tully sub-region experienced sizeable low-temperature anomalies in January and February (</w:t>
      </w:r>
      <w:r w:rsidR="00080723">
        <w:rPr>
          <w:rFonts w:eastAsiaTheme="minorHAnsi" w:cs="Arial"/>
          <w:szCs w:val="22"/>
          <w:lang w:val="en-AU"/>
        </w:rPr>
        <w:fldChar w:fldCharType="begin"/>
      </w:r>
      <w:r w:rsidR="00080723">
        <w:rPr>
          <w:rFonts w:eastAsiaTheme="minorHAnsi" w:cs="Arial"/>
          <w:szCs w:val="22"/>
          <w:lang w:val="en-AU"/>
        </w:rPr>
        <w:instrText xml:space="preserve"> REF _Ref491174268 \h </w:instrText>
      </w:r>
      <w:r w:rsidR="00080723">
        <w:rPr>
          <w:rFonts w:eastAsiaTheme="minorHAnsi" w:cs="Arial"/>
          <w:szCs w:val="22"/>
          <w:lang w:val="en-AU"/>
        </w:rPr>
      </w:r>
      <w:r w:rsidR="00080723">
        <w:rPr>
          <w:rFonts w:eastAsiaTheme="minorHAnsi" w:cs="Arial"/>
          <w:szCs w:val="22"/>
          <w:lang w:val="en-AU"/>
        </w:rPr>
        <w:fldChar w:fldCharType="separate"/>
      </w:r>
      <w:r w:rsidR="00D806F2">
        <w:t xml:space="preserve">Figure </w:t>
      </w:r>
      <w:r w:rsidR="00D806F2">
        <w:rPr>
          <w:noProof/>
        </w:rPr>
        <w:t>25</w:t>
      </w:r>
      <w:r w:rsidR="00080723">
        <w:rPr>
          <w:rFonts w:eastAsiaTheme="minorHAnsi" w:cs="Arial"/>
          <w:szCs w:val="22"/>
          <w:lang w:val="en-AU"/>
        </w:rPr>
        <w:fldChar w:fldCharType="end"/>
      </w:r>
      <w:r>
        <w:rPr>
          <w:rFonts w:eastAsiaTheme="minorHAnsi" w:cs="Arial"/>
          <w:szCs w:val="22"/>
          <w:lang w:val="en-AU"/>
        </w:rPr>
        <w:t>). Post-summer</w:t>
      </w:r>
      <w:r w:rsidRPr="00A2572F">
        <w:rPr>
          <w:rFonts w:eastAsiaTheme="minorHAnsi" w:cs="Arial"/>
          <w:szCs w:val="22"/>
          <w:lang w:val="en-AU"/>
        </w:rPr>
        <w:t xml:space="preserve"> anomalies </w:t>
      </w:r>
      <w:r>
        <w:rPr>
          <w:rFonts w:eastAsiaTheme="minorHAnsi" w:cs="Arial"/>
          <w:szCs w:val="22"/>
          <w:lang w:val="en-AU"/>
        </w:rPr>
        <w:t xml:space="preserve">occurring after March </w:t>
      </w:r>
      <w:r w:rsidRPr="00A2572F">
        <w:rPr>
          <w:rFonts w:eastAsiaTheme="minorHAnsi" w:cs="Arial"/>
          <w:szCs w:val="22"/>
          <w:lang w:val="en-AU"/>
        </w:rPr>
        <w:t>would not be captured by the DHD calculation period (December 1 – March 31), resulting in a lower DHD figure that may not adequately represent the heat stress on corals.</w:t>
      </w:r>
    </w:p>
    <w:p w14:paraId="3AE32063" w14:textId="77777777" w:rsidR="00502A11" w:rsidRDefault="00502A11" w:rsidP="00502A11">
      <w:pPr>
        <w:contextualSpacing/>
        <w:rPr>
          <w:rFonts w:eastAsiaTheme="minorHAnsi" w:cs="Arial"/>
          <w:szCs w:val="22"/>
          <w:lang w:val="en-AU"/>
        </w:rPr>
      </w:pPr>
    </w:p>
    <w:p w14:paraId="365E5340" w14:textId="566E202C" w:rsidR="00502A11" w:rsidRPr="00A2572F" w:rsidRDefault="00502A11" w:rsidP="00502A11">
      <w:pPr>
        <w:rPr>
          <w:rFonts w:eastAsiaTheme="minorHAnsi" w:cs="Arial"/>
          <w:szCs w:val="22"/>
          <w:lang w:val="en-AU"/>
        </w:rPr>
      </w:pPr>
      <w:r w:rsidRPr="009049ED">
        <w:rPr>
          <w:rFonts w:eastAsiaTheme="minorHAnsi" w:cs="Arial"/>
          <w:szCs w:val="22"/>
          <w:lang w:val="en-AU"/>
        </w:rPr>
        <w:t xml:space="preserve">These temperature anomaly data correspond to the BOM description of temperature anomalies extending into post-summer across the north and far northern </w:t>
      </w:r>
      <w:r>
        <w:rPr>
          <w:rFonts w:eastAsiaTheme="minorHAnsi" w:cs="Arial"/>
          <w:szCs w:val="22"/>
          <w:lang w:val="en-AU"/>
        </w:rPr>
        <w:t>areas of the Reef</w:t>
      </w:r>
      <w:r w:rsidR="00080723">
        <w:rPr>
          <w:rFonts w:eastAsiaTheme="minorHAnsi" w:cs="Arial"/>
          <w:szCs w:val="22"/>
          <w:lang w:val="en-AU"/>
        </w:rPr>
        <w:t xml:space="preserve"> </w:t>
      </w:r>
      <w:r w:rsidRPr="009049ED">
        <w:rPr>
          <w:rFonts w:eastAsiaTheme="minorHAnsi" w:cs="Arial"/>
          <w:szCs w:val="22"/>
          <w:lang w:val="en-AU"/>
        </w:rPr>
        <w:t>that contributed to an increase in thermal stress to the coral communities (BOM 2016).</w:t>
      </w:r>
      <w:r w:rsidRPr="00E52234">
        <w:rPr>
          <w:rFonts w:eastAsiaTheme="minorHAnsi" w:cs="Arial"/>
          <w:szCs w:val="22"/>
          <w:lang w:val="en-AU"/>
        </w:rPr>
        <w:t xml:space="preserve"> </w:t>
      </w:r>
      <w:r w:rsidRPr="00A2572F">
        <w:rPr>
          <w:rFonts w:eastAsiaTheme="minorHAnsi" w:cs="Arial"/>
          <w:szCs w:val="22"/>
          <w:lang w:val="en-AU"/>
        </w:rPr>
        <w:t>It should be noted that DHDs are calculated for period of four months between December and March when summer temperatures are expected to be at their highest, so exceedance of historical average temperatures during this time means the corals are considered exposed to thermal stress. Exceedance of historical average temperatures outside of these times means the corals are experiencing temperatures not usually found at that time of year, but not necessarily beyond their stress range</w:t>
      </w:r>
      <w:r>
        <w:rPr>
          <w:rFonts w:eastAsiaTheme="minorHAnsi" w:cs="Arial"/>
          <w:szCs w:val="22"/>
          <w:lang w:val="en-AU"/>
        </w:rPr>
        <w:t>. This protracted thermal stress has largely unknown consequence for the dynamics of coral communities in inshore waters of the Reef</w:t>
      </w:r>
      <w:r w:rsidRPr="00A2572F">
        <w:rPr>
          <w:rFonts w:eastAsiaTheme="minorHAnsi" w:cs="Arial"/>
          <w:szCs w:val="22"/>
          <w:lang w:val="en-AU"/>
        </w:rPr>
        <w:t>.</w:t>
      </w:r>
    </w:p>
    <w:p w14:paraId="08255297" w14:textId="5D282830" w:rsidR="00502A11" w:rsidRDefault="00502A11" w:rsidP="00502A11">
      <w:pPr>
        <w:contextualSpacing/>
        <w:rPr>
          <w:rFonts w:eastAsiaTheme="minorHAnsi" w:cs="Arial"/>
          <w:szCs w:val="22"/>
          <w:lang w:val="en-AU"/>
        </w:rPr>
      </w:pPr>
      <w:r w:rsidRPr="00A2572F">
        <w:rPr>
          <w:rFonts w:eastAsiaTheme="minorHAnsi" w:cs="Arial"/>
          <w:szCs w:val="22"/>
          <w:lang w:val="en-AU"/>
        </w:rPr>
        <w:t>To the south, the Mackay Whitsunday and Fitzroy regions exhibit more moderate temperature anomal</w:t>
      </w:r>
      <w:r>
        <w:rPr>
          <w:rFonts w:eastAsiaTheme="minorHAnsi" w:cs="Arial"/>
          <w:szCs w:val="22"/>
          <w:lang w:val="en-AU"/>
        </w:rPr>
        <w:t>ies</w:t>
      </w:r>
      <w:r w:rsidRPr="00A2572F">
        <w:rPr>
          <w:rFonts w:eastAsiaTheme="minorHAnsi" w:cs="Arial"/>
          <w:szCs w:val="22"/>
          <w:lang w:val="en-AU"/>
        </w:rPr>
        <w:t xml:space="preserve">, less than two degrees, declining towards the end of summer. Most temperature anomalies </w:t>
      </w:r>
      <w:r w:rsidR="00080723">
        <w:rPr>
          <w:rFonts w:eastAsiaTheme="minorHAnsi" w:cs="Arial"/>
          <w:szCs w:val="22"/>
          <w:lang w:val="en-AU"/>
        </w:rPr>
        <w:t>in these regions</w:t>
      </w:r>
      <w:r w:rsidRPr="00A2572F">
        <w:rPr>
          <w:rFonts w:eastAsiaTheme="minorHAnsi" w:cs="Arial"/>
          <w:szCs w:val="22"/>
          <w:lang w:val="en-AU"/>
        </w:rPr>
        <w:t xml:space="preserve"> were captured within the DHD calculation period, accumulating relatively large DHD values compared with the regions to the north. For the Fitzroy region, a comparison with 2015 shows a fall in DHDs for the 2016 year, reflecting the influence of the ex-TC Winston wea</w:t>
      </w:r>
      <w:r>
        <w:rPr>
          <w:rFonts w:eastAsiaTheme="minorHAnsi" w:cs="Arial"/>
          <w:szCs w:val="22"/>
          <w:lang w:val="en-AU"/>
        </w:rPr>
        <w:t>ther system on the southern Reef.</w:t>
      </w:r>
    </w:p>
    <w:p w14:paraId="1ADE23F4" w14:textId="77777777" w:rsidR="00502A11" w:rsidRDefault="00502A11" w:rsidP="00502A11">
      <w:pPr>
        <w:contextualSpacing/>
        <w:rPr>
          <w:rFonts w:eastAsiaTheme="minorHAnsi" w:cs="Arial"/>
          <w:szCs w:val="22"/>
          <w:lang w:val="en-AU"/>
        </w:rPr>
      </w:pPr>
    </w:p>
    <w:p w14:paraId="57160ADA" w14:textId="728F2F43" w:rsidR="00502A11" w:rsidRDefault="00502A11" w:rsidP="00502A11">
      <w:pPr>
        <w:contextualSpacing/>
        <w:rPr>
          <w:rFonts w:eastAsiaTheme="minorHAnsi" w:cs="Arial"/>
          <w:szCs w:val="22"/>
          <w:lang w:val="en-AU"/>
        </w:rPr>
      </w:pPr>
      <w:r w:rsidRPr="00A2572F">
        <w:rPr>
          <w:rFonts w:eastAsiaTheme="minorHAnsi" w:cs="Arial"/>
          <w:szCs w:val="22"/>
          <w:lang w:val="en-AU"/>
        </w:rPr>
        <w:t xml:space="preserve">The Burdekin Region recorded the highest number of degree heating days for 2016, accumulating 68 DHDs between December and March. This is the highest DHDs for this region during our study, and the highest DHDs across all MMP regions in 2016. </w:t>
      </w:r>
      <w:r>
        <w:rPr>
          <w:rFonts w:eastAsiaTheme="minorHAnsi" w:cs="Arial"/>
          <w:szCs w:val="22"/>
          <w:lang w:val="en-AU"/>
        </w:rPr>
        <w:t xml:space="preserve">A DHD score above 60 has been used to describe a threshold above which bleaching and minor heat stress is expected (Garde </w:t>
      </w:r>
      <w:r w:rsidRPr="00672CFA">
        <w:rPr>
          <w:rFonts w:eastAsiaTheme="minorHAnsi" w:cs="Arial"/>
          <w:i/>
          <w:szCs w:val="22"/>
          <w:lang w:val="en-AU"/>
        </w:rPr>
        <w:t>et al.</w:t>
      </w:r>
      <w:r>
        <w:rPr>
          <w:rFonts w:eastAsiaTheme="minorHAnsi" w:cs="Arial"/>
          <w:szCs w:val="22"/>
          <w:lang w:val="en-AU"/>
        </w:rPr>
        <w:t xml:space="preserve"> 2014). </w:t>
      </w:r>
      <w:r w:rsidRPr="00A2572F">
        <w:rPr>
          <w:rFonts w:eastAsiaTheme="minorHAnsi" w:cs="Arial"/>
          <w:szCs w:val="22"/>
          <w:lang w:val="en-AU"/>
        </w:rPr>
        <w:t>The Burdekin Region experienced consistently positive anomalies from January through to the end of March (captured by the DHD estimation)</w:t>
      </w:r>
      <w:r>
        <w:rPr>
          <w:rFonts w:eastAsiaTheme="minorHAnsi" w:cs="Arial"/>
          <w:szCs w:val="22"/>
          <w:lang w:val="en-AU"/>
        </w:rPr>
        <w:t>,</w:t>
      </w:r>
      <w:r w:rsidRPr="00A2572F">
        <w:rPr>
          <w:rFonts w:eastAsiaTheme="minorHAnsi" w:cs="Arial"/>
          <w:szCs w:val="22"/>
          <w:lang w:val="en-AU"/>
        </w:rPr>
        <w:t xml:space="preserve"> </w:t>
      </w:r>
      <w:r>
        <w:rPr>
          <w:rFonts w:eastAsiaTheme="minorHAnsi" w:cs="Arial"/>
          <w:szCs w:val="22"/>
          <w:lang w:val="en-AU"/>
        </w:rPr>
        <w:t>that continued</w:t>
      </w:r>
      <w:r w:rsidRPr="00A2572F">
        <w:rPr>
          <w:rFonts w:eastAsiaTheme="minorHAnsi" w:cs="Arial"/>
          <w:szCs w:val="22"/>
          <w:lang w:val="en-AU"/>
        </w:rPr>
        <w:t xml:space="preserve"> through </w:t>
      </w:r>
      <w:r>
        <w:rPr>
          <w:rFonts w:eastAsiaTheme="minorHAnsi" w:cs="Arial"/>
          <w:szCs w:val="22"/>
          <w:lang w:val="en-AU"/>
        </w:rPr>
        <w:t xml:space="preserve">to </w:t>
      </w:r>
      <w:r w:rsidRPr="00A2572F">
        <w:rPr>
          <w:rFonts w:eastAsiaTheme="minorHAnsi" w:cs="Arial"/>
          <w:szCs w:val="22"/>
          <w:lang w:val="en-AU"/>
        </w:rPr>
        <w:t>April and May</w:t>
      </w:r>
      <w:r w:rsidRPr="00E52234">
        <w:rPr>
          <w:rFonts w:eastAsiaTheme="minorHAnsi" w:cs="Arial"/>
          <w:szCs w:val="22"/>
          <w:lang w:val="en-AU"/>
        </w:rPr>
        <w:t xml:space="preserve"> </w:t>
      </w:r>
      <w:r w:rsidRPr="009049ED">
        <w:rPr>
          <w:rFonts w:eastAsiaTheme="minorHAnsi" w:cs="Arial"/>
          <w:szCs w:val="22"/>
          <w:lang w:val="en-AU"/>
        </w:rPr>
        <w:t>(</w:t>
      </w:r>
      <w:r w:rsidR="0048320A">
        <w:rPr>
          <w:rFonts w:eastAsiaTheme="minorHAnsi" w:cs="Arial"/>
          <w:szCs w:val="22"/>
          <w:lang w:val="en-AU"/>
        </w:rPr>
        <w:fldChar w:fldCharType="begin"/>
      </w:r>
      <w:r w:rsidR="0048320A">
        <w:rPr>
          <w:rFonts w:eastAsiaTheme="minorHAnsi" w:cs="Arial"/>
          <w:szCs w:val="22"/>
          <w:lang w:val="en-AU"/>
        </w:rPr>
        <w:instrText xml:space="preserve"> REF _Ref491174268 \h </w:instrText>
      </w:r>
      <w:r w:rsidR="0048320A">
        <w:rPr>
          <w:rFonts w:eastAsiaTheme="minorHAnsi" w:cs="Arial"/>
          <w:szCs w:val="22"/>
          <w:lang w:val="en-AU"/>
        </w:rPr>
      </w:r>
      <w:r w:rsidR="0048320A">
        <w:rPr>
          <w:rFonts w:eastAsiaTheme="minorHAnsi" w:cs="Arial"/>
          <w:szCs w:val="22"/>
          <w:lang w:val="en-AU"/>
        </w:rPr>
        <w:fldChar w:fldCharType="separate"/>
      </w:r>
      <w:r w:rsidR="00D806F2">
        <w:t xml:space="preserve">Figure </w:t>
      </w:r>
      <w:r w:rsidR="00D806F2">
        <w:rPr>
          <w:noProof/>
        </w:rPr>
        <w:t>25</w:t>
      </w:r>
      <w:r w:rsidR="0048320A">
        <w:rPr>
          <w:rFonts w:eastAsiaTheme="minorHAnsi" w:cs="Arial"/>
          <w:szCs w:val="22"/>
          <w:lang w:val="en-AU"/>
        </w:rPr>
        <w:fldChar w:fldCharType="end"/>
      </w:r>
      <w:r>
        <w:rPr>
          <w:rFonts w:eastAsiaTheme="minorHAnsi" w:cs="Arial"/>
          <w:szCs w:val="22"/>
          <w:lang w:val="en-AU"/>
        </w:rPr>
        <w:t>). Of the 48 combinations of reef and depth sampled by the MMP in 2016 hard coral cover only declined at three. A minor decline at High East 5</w:t>
      </w:r>
      <w:r w:rsidR="0048320A">
        <w:rPr>
          <w:rFonts w:eastAsiaTheme="minorHAnsi" w:cs="Arial"/>
          <w:szCs w:val="22"/>
          <w:lang w:val="en-AU"/>
        </w:rPr>
        <w:t xml:space="preserve"> </w:t>
      </w:r>
      <w:r>
        <w:rPr>
          <w:rFonts w:eastAsiaTheme="minorHAnsi" w:cs="Arial"/>
          <w:szCs w:val="22"/>
          <w:lang w:val="en-AU"/>
        </w:rPr>
        <w:t>m was attributed to the low density (75 ha</w:t>
      </w:r>
      <w:r w:rsidRPr="00A82D8D">
        <w:rPr>
          <w:rFonts w:eastAsiaTheme="minorHAnsi" w:cs="Arial"/>
          <w:szCs w:val="22"/>
          <w:vertAlign w:val="superscript"/>
          <w:lang w:val="en-AU"/>
        </w:rPr>
        <w:t>-1</w:t>
      </w:r>
      <w:r>
        <w:rPr>
          <w:rFonts w:eastAsiaTheme="minorHAnsi" w:cs="Arial"/>
          <w:szCs w:val="22"/>
          <w:lang w:val="en-AU"/>
        </w:rPr>
        <w:t>) of crown-of-thorns starfish observed during surveys. A decline of less than 1% at Havannah 2</w:t>
      </w:r>
      <w:r w:rsidR="0048320A">
        <w:rPr>
          <w:rFonts w:eastAsiaTheme="minorHAnsi" w:cs="Arial"/>
          <w:szCs w:val="22"/>
          <w:lang w:val="en-AU"/>
        </w:rPr>
        <w:t xml:space="preserve"> </w:t>
      </w:r>
      <w:r>
        <w:rPr>
          <w:rFonts w:eastAsiaTheme="minorHAnsi" w:cs="Arial"/>
          <w:szCs w:val="22"/>
          <w:lang w:val="en-AU"/>
        </w:rPr>
        <w:t xml:space="preserve">m was attributed to coral disease. This disease was prevalent among </w:t>
      </w:r>
      <w:r w:rsidRPr="00AD2A0B">
        <w:rPr>
          <w:rFonts w:eastAsiaTheme="minorHAnsi" w:cs="Arial"/>
          <w:i/>
          <w:szCs w:val="22"/>
          <w:lang w:val="en-AU"/>
        </w:rPr>
        <w:t>Acropora pulchra</w:t>
      </w:r>
      <w:r>
        <w:rPr>
          <w:rFonts w:eastAsiaTheme="minorHAnsi" w:cs="Arial"/>
          <w:szCs w:val="22"/>
          <w:lang w:val="en-AU"/>
        </w:rPr>
        <w:t xml:space="preserve"> and </w:t>
      </w:r>
      <w:r w:rsidRPr="00AD2A0B">
        <w:rPr>
          <w:rFonts w:eastAsiaTheme="minorHAnsi" w:cs="Arial"/>
          <w:i/>
          <w:szCs w:val="22"/>
          <w:lang w:val="en-AU"/>
        </w:rPr>
        <w:t>A. aspera</w:t>
      </w:r>
      <w:r w:rsidR="0048320A">
        <w:rPr>
          <w:rFonts w:eastAsiaTheme="minorHAnsi" w:cs="Arial"/>
          <w:i/>
          <w:szCs w:val="22"/>
          <w:lang w:val="en-AU"/>
        </w:rPr>
        <w:t>,</w:t>
      </w:r>
      <w:r>
        <w:rPr>
          <w:rFonts w:eastAsiaTheme="minorHAnsi" w:cs="Arial"/>
          <w:szCs w:val="22"/>
          <w:lang w:val="en-AU"/>
        </w:rPr>
        <w:t xml:space="preserve"> both species proven highly susceptible to previous bleaching events in the Burdekin region. As fast growing species, the minor reduction underestimates the loss if expected growth of the colonies killed was assumed. There was also a less than 1% loss of cover at Bedarra 2</w:t>
      </w:r>
      <w:r w:rsidR="0048320A">
        <w:rPr>
          <w:rFonts w:eastAsiaTheme="minorHAnsi" w:cs="Arial"/>
          <w:szCs w:val="22"/>
          <w:lang w:val="en-AU"/>
        </w:rPr>
        <w:t xml:space="preserve"> </w:t>
      </w:r>
      <w:r>
        <w:rPr>
          <w:rFonts w:eastAsiaTheme="minorHAnsi" w:cs="Arial"/>
          <w:szCs w:val="22"/>
          <w:lang w:val="en-AU"/>
        </w:rPr>
        <w:t>m</w:t>
      </w:r>
      <w:r w:rsidR="0066479F">
        <w:rPr>
          <w:rFonts w:eastAsiaTheme="minorHAnsi" w:cs="Arial"/>
          <w:szCs w:val="22"/>
          <w:lang w:val="en-AU"/>
        </w:rPr>
        <w:t>,</w:t>
      </w:r>
      <w:r>
        <w:rPr>
          <w:rFonts w:eastAsiaTheme="minorHAnsi" w:cs="Arial"/>
          <w:szCs w:val="22"/>
          <w:lang w:val="en-AU"/>
        </w:rPr>
        <w:t xml:space="preserve"> the cause of which is unknown. The losses at Havannah, and possibly Bedarra, are evidence for an acute impact of the 2016 thermal anomalies on reefs coral communities monitored by the MMP. </w:t>
      </w:r>
    </w:p>
    <w:p w14:paraId="03AB246A" w14:textId="77777777" w:rsidR="00502A11" w:rsidRDefault="00502A11" w:rsidP="00502A11">
      <w:pPr>
        <w:contextualSpacing/>
        <w:rPr>
          <w:rFonts w:eastAsiaTheme="minorHAnsi" w:cs="Arial"/>
          <w:szCs w:val="22"/>
          <w:lang w:val="en-AU"/>
        </w:rPr>
      </w:pPr>
    </w:p>
    <w:p w14:paraId="57A0BA77" w14:textId="2391796B" w:rsidR="00502A11" w:rsidRPr="009049ED" w:rsidRDefault="00502A11" w:rsidP="00502A11">
      <w:pPr>
        <w:contextualSpacing/>
        <w:rPr>
          <w:rFonts w:eastAsiaTheme="minorHAnsi" w:cs="Arial"/>
          <w:szCs w:val="22"/>
          <w:lang w:val="en-AU"/>
        </w:rPr>
      </w:pPr>
      <w:r w:rsidRPr="009049ED">
        <w:rPr>
          <w:rFonts w:eastAsiaTheme="minorHAnsi" w:cs="Arial"/>
          <w:szCs w:val="22"/>
          <w:lang w:val="en-AU"/>
        </w:rPr>
        <w:t xml:space="preserve">Overall, the MMP survey results confirm the EotR report of minor bleaching impact among inshore reefs south of Cairns (GBRMPA 2016). This contrasts with past bleaching events in 1998 and 2002 </w:t>
      </w:r>
      <w:r>
        <w:rPr>
          <w:rFonts w:eastAsiaTheme="minorHAnsi" w:cs="Arial"/>
          <w:szCs w:val="22"/>
          <w:lang w:val="en-AU"/>
        </w:rPr>
        <w:t xml:space="preserve">(Berkelmans </w:t>
      </w:r>
      <w:r w:rsidRPr="0048320A">
        <w:rPr>
          <w:rFonts w:eastAsiaTheme="minorHAnsi" w:cs="Arial"/>
          <w:i/>
          <w:szCs w:val="22"/>
          <w:lang w:val="en-AU"/>
        </w:rPr>
        <w:t>et al</w:t>
      </w:r>
      <w:r>
        <w:rPr>
          <w:rFonts w:eastAsiaTheme="minorHAnsi" w:cs="Arial"/>
          <w:szCs w:val="22"/>
          <w:lang w:val="en-AU"/>
        </w:rPr>
        <w:t xml:space="preserve">. 2004) </w:t>
      </w:r>
      <w:r w:rsidRPr="009049ED">
        <w:rPr>
          <w:rFonts w:eastAsiaTheme="minorHAnsi" w:cs="Arial"/>
          <w:szCs w:val="22"/>
          <w:lang w:val="en-AU"/>
        </w:rPr>
        <w:t xml:space="preserve">where widespread bleaching </w:t>
      </w:r>
      <w:r>
        <w:rPr>
          <w:rFonts w:eastAsiaTheme="minorHAnsi" w:cs="Arial"/>
          <w:szCs w:val="22"/>
          <w:lang w:val="en-AU"/>
        </w:rPr>
        <w:t xml:space="preserve">and loss of coral </w:t>
      </w:r>
      <w:r w:rsidRPr="009049ED">
        <w:rPr>
          <w:rFonts w:eastAsiaTheme="minorHAnsi" w:cs="Arial"/>
          <w:szCs w:val="22"/>
          <w:lang w:val="en-AU"/>
        </w:rPr>
        <w:t xml:space="preserve">occurred throughout the MMP regions, and </w:t>
      </w:r>
      <w:r>
        <w:rPr>
          <w:rFonts w:eastAsiaTheme="minorHAnsi" w:cs="Arial"/>
          <w:szCs w:val="22"/>
          <w:lang w:val="en-AU"/>
        </w:rPr>
        <w:t xml:space="preserve">also </w:t>
      </w:r>
      <w:r w:rsidRPr="009049ED">
        <w:rPr>
          <w:rFonts w:eastAsiaTheme="minorHAnsi" w:cs="Arial"/>
          <w:szCs w:val="22"/>
          <w:lang w:val="en-AU"/>
        </w:rPr>
        <w:t>in 2006, whe</w:t>
      </w:r>
      <w:r>
        <w:rPr>
          <w:rFonts w:eastAsiaTheme="minorHAnsi" w:cs="Arial"/>
          <w:szCs w:val="22"/>
          <w:lang w:val="en-AU"/>
        </w:rPr>
        <w:t>n</w:t>
      </w:r>
      <w:r w:rsidRPr="009049ED">
        <w:rPr>
          <w:rFonts w:eastAsiaTheme="minorHAnsi" w:cs="Arial"/>
          <w:szCs w:val="22"/>
          <w:lang w:val="en-AU"/>
        </w:rPr>
        <w:t xml:space="preserve"> bleaching </w:t>
      </w:r>
      <w:r>
        <w:rPr>
          <w:rFonts w:eastAsiaTheme="minorHAnsi" w:cs="Arial"/>
          <w:szCs w:val="22"/>
          <w:lang w:val="en-AU"/>
        </w:rPr>
        <w:t xml:space="preserve">mortality </w:t>
      </w:r>
      <w:r w:rsidRPr="009049ED">
        <w:rPr>
          <w:rFonts w:eastAsiaTheme="minorHAnsi" w:cs="Arial"/>
          <w:szCs w:val="22"/>
          <w:lang w:val="en-AU"/>
        </w:rPr>
        <w:t xml:space="preserve">was restricted to the Fitzroy Region in the southern </w:t>
      </w:r>
      <w:r>
        <w:rPr>
          <w:rFonts w:eastAsiaTheme="minorHAnsi" w:cs="Arial"/>
          <w:szCs w:val="22"/>
          <w:lang w:val="en-AU"/>
        </w:rPr>
        <w:t>area of the Reef</w:t>
      </w:r>
      <w:r w:rsidRPr="00443944">
        <w:rPr>
          <w:rFonts w:eastAsiaTheme="minorHAnsi" w:cs="Arial"/>
          <w:szCs w:val="22"/>
          <w:lang w:val="en-AU"/>
        </w:rPr>
        <w:t xml:space="preserve"> (</w:t>
      </w:r>
      <w:r>
        <w:fldChar w:fldCharType="begin"/>
      </w:r>
      <w:r>
        <w:instrText xml:space="preserve"> REF _Ref469691149 \h  \* MERGEFORMAT </w:instrText>
      </w:r>
      <w:r>
        <w:fldChar w:fldCharType="separate"/>
      </w:r>
      <w:r w:rsidR="00D806F2" w:rsidRPr="00D806F2">
        <w:rPr>
          <w:rStyle w:val="Heading7Char"/>
          <w:rFonts w:ascii="Arial" w:eastAsia="SimSun" w:hAnsi="Arial" w:cs="Arial"/>
          <w:sz w:val="22"/>
          <w:szCs w:val="22"/>
        </w:rPr>
        <w:t>Table A1. 4</w:t>
      </w:r>
      <w:r w:rsidR="00D806F2">
        <w:t xml:space="preserve"> </w:t>
      </w:r>
      <w:r w:rsidR="00D806F2" w:rsidRPr="00FB1489">
        <w:t>Disturbance records for each reef</w:t>
      </w:r>
      <w:r w:rsidR="00D806F2">
        <w:t xml:space="preserve">. </w:t>
      </w:r>
      <w:r>
        <w:fldChar w:fldCharType="end"/>
      </w:r>
      <w:r w:rsidRPr="009049ED">
        <w:rPr>
          <w:rFonts w:eastAsiaTheme="minorHAnsi" w:cs="Arial"/>
          <w:szCs w:val="22"/>
          <w:lang w:val="en-AU"/>
        </w:rPr>
        <w:t>). For the 2006 bleaching event in the Fitzroy Region, high temperatures were sustained across the summer season, often 2</w:t>
      </w:r>
      <w:r w:rsidRPr="009049ED">
        <w:rPr>
          <w:rFonts w:eastAsiaTheme="minorHAnsi" w:cs="Arial"/>
          <w:szCs w:val="22"/>
          <w:vertAlign w:val="superscript"/>
          <w:lang w:val="en-AU"/>
        </w:rPr>
        <w:t>o</w:t>
      </w:r>
      <w:r w:rsidRPr="009049ED">
        <w:rPr>
          <w:rFonts w:eastAsiaTheme="minorHAnsi" w:cs="Arial"/>
          <w:szCs w:val="22"/>
          <w:lang w:val="en-AU"/>
        </w:rPr>
        <w:t xml:space="preserve">C above average, resulting in a DHD score of 87. </w:t>
      </w:r>
    </w:p>
    <w:p w14:paraId="4C1E5DC4" w14:textId="77777777" w:rsidR="00502A11" w:rsidRDefault="00502A11" w:rsidP="00502A11">
      <w:pPr>
        <w:spacing w:after="0" w:line="276" w:lineRule="auto"/>
        <w:rPr>
          <w:rFonts w:eastAsiaTheme="minorHAnsi" w:cs="Arial"/>
          <w:szCs w:val="22"/>
          <w:lang w:val="en-AU"/>
        </w:rPr>
      </w:pPr>
    </w:p>
    <w:p w14:paraId="44000FAE" w14:textId="11FA20A6" w:rsidR="00502A11" w:rsidRPr="00A2572F" w:rsidRDefault="00E54AF3" w:rsidP="00E54AF3">
      <w:pPr>
        <w:pStyle w:val="Caption"/>
        <w:rPr>
          <w:lang w:val="en-AU"/>
        </w:rPr>
      </w:pPr>
      <w:bookmarkStart w:id="306" w:name="_Ref491174308"/>
      <w:bookmarkStart w:id="307" w:name="_Toc491847037"/>
      <w:r>
        <w:t xml:space="preserve">Table </w:t>
      </w:r>
      <w:r>
        <w:fldChar w:fldCharType="begin"/>
      </w:r>
      <w:r>
        <w:instrText xml:space="preserve"> SEQ Table \* ARABIC </w:instrText>
      </w:r>
      <w:r>
        <w:fldChar w:fldCharType="separate"/>
      </w:r>
      <w:r w:rsidR="00D806F2">
        <w:rPr>
          <w:noProof/>
        </w:rPr>
        <w:t>18</w:t>
      </w:r>
      <w:r>
        <w:fldChar w:fldCharType="end"/>
      </w:r>
      <w:bookmarkEnd w:id="306"/>
      <w:r>
        <w:t xml:space="preserve"> </w:t>
      </w:r>
      <w:r w:rsidRPr="00351D9F">
        <w:t>Degree Heating Days (DHD) for 2016 and 2015.</w:t>
      </w:r>
      <w:r w:rsidR="00502A11">
        <w:rPr>
          <w:lang w:val="en-AU"/>
        </w:rPr>
        <w:t xml:space="preserve"> Estimates are averaged from available pixels adjacent to each monitoring reef.</w:t>
      </w:r>
      <w:bookmarkEnd w:id="307"/>
      <w:r w:rsidR="00E75F5C">
        <w:rPr>
          <w:lang w:val="en-AU"/>
        </w:rPr>
        <w:t xml:space="preserve"> </w:t>
      </w:r>
    </w:p>
    <w:tbl>
      <w:tblPr>
        <w:tblStyle w:val="TableGrid4"/>
        <w:tblW w:w="0" w:type="auto"/>
        <w:tblInd w:w="392" w:type="dxa"/>
        <w:tblLook w:val="04A0" w:firstRow="1" w:lastRow="0" w:firstColumn="1" w:lastColumn="0" w:noHBand="0" w:noVBand="1"/>
      </w:tblPr>
      <w:tblGrid>
        <w:gridCol w:w="2228"/>
        <w:gridCol w:w="1282"/>
        <w:gridCol w:w="1276"/>
      </w:tblGrid>
      <w:tr w:rsidR="00502A11" w:rsidRPr="00A2572F" w14:paraId="2A6183D6" w14:textId="77777777" w:rsidTr="00817833">
        <w:trPr>
          <w:trHeight w:val="288"/>
        </w:trPr>
        <w:tc>
          <w:tcPr>
            <w:tcW w:w="2228" w:type="dxa"/>
            <w:noWrap/>
            <w:hideMark/>
          </w:tcPr>
          <w:p w14:paraId="51665A21" w14:textId="77777777" w:rsidR="00502A11" w:rsidRPr="00AB59C5" w:rsidRDefault="00502A11" w:rsidP="00817833">
            <w:pPr>
              <w:jc w:val="left"/>
              <w:rPr>
                <w:rStyle w:val="IntenseReference"/>
                <w:rFonts w:eastAsiaTheme="minorHAnsi"/>
              </w:rPr>
            </w:pPr>
            <w:r w:rsidRPr="00AB59C5">
              <w:rPr>
                <w:rStyle w:val="IntenseReference"/>
                <w:rFonts w:eastAsiaTheme="minorHAnsi"/>
              </w:rPr>
              <w:t>MMP (sub) region</w:t>
            </w:r>
          </w:p>
        </w:tc>
        <w:tc>
          <w:tcPr>
            <w:tcW w:w="1282" w:type="dxa"/>
          </w:tcPr>
          <w:p w14:paraId="5E9C8E9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DHD 2016</w:t>
            </w:r>
          </w:p>
        </w:tc>
        <w:tc>
          <w:tcPr>
            <w:tcW w:w="1276" w:type="dxa"/>
          </w:tcPr>
          <w:p w14:paraId="3717E2B8" w14:textId="77777777" w:rsidR="00502A11" w:rsidRPr="00AB59C5" w:rsidRDefault="00502A11" w:rsidP="00817833">
            <w:pPr>
              <w:jc w:val="center"/>
              <w:rPr>
                <w:rStyle w:val="IntenseReference"/>
                <w:rFonts w:eastAsiaTheme="minorHAnsi"/>
              </w:rPr>
            </w:pPr>
            <w:r w:rsidRPr="00AB59C5">
              <w:rPr>
                <w:rStyle w:val="IntenseReference"/>
                <w:rFonts w:eastAsiaTheme="minorHAnsi"/>
              </w:rPr>
              <w:t>DHD 2015</w:t>
            </w:r>
          </w:p>
        </w:tc>
      </w:tr>
      <w:tr w:rsidR="00502A11" w:rsidRPr="00A2572F" w14:paraId="10A6946C" w14:textId="77777777" w:rsidTr="00817833">
        <w:trPr>
          <w:trHeight w:val="288"/>
        </w:trPr>
        <w:tc>
          <w:tcPr>
            <w:tcW w:w="2228" w:type="dxa"/>
            <w:noWrap/>
            <w:hideMark/>
          </w:tcPr>
          <w:p w14:paraId="7A0B7E28" w14:textId="77777777" w:rsidR="00502A11" w:rsidRPr="00AB59C5" w:rsidRDefault="00502A11" w:rsidP="00817833">
            <w:pPr>
              <w:jc w:val="left"/>
              <w:rPr>
                <w:rStyle w:val="IntenseReference"/>
                <w:rFonts w:eastAsiaTheme="minorHAnsi"/>
              </w:rPr>
            </w:pPr>
            <w:r w:rsidRPr="00AB59C5">
              <w:rPr>
                <w:rStyle w:val="IntenseReference"/>
                <w:rFonts w:eastAsiaTheme="minorHAnsi"/>
              </w:rPr>
              <w:t>Baron Daintree</w:t>
            </w:r>
          </w:p>
        </w:tc>
        <w:tc>
          <w:tcPr>
            <w:tcW w:w="1282" w:type="dxa"/>
          </w:tcPr>
          <w:p w14:paraId="25F3C76F"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25</w:t>
            </w:r>
          </w:p>
        </w:tc>
        <w:tc>
          <w:tcPr>
            <w:tcW w:w="1276" w:type="dxa"/>
            <w:vAlign w:val="bottom"/>
          </w:tcPr>
          <w:p w14:paraId="1436AD64"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24</w:t>
            </w:r>
          </w:p>
        </w:tc>
      </w:tr>
      <w:tr w:rsidR="00502A11" w:rsidRPr="00A2572F" w14:paraId="0D774713" w14:textId="77777777" w:rsidTr="00817833">
        <w:trPr>
          <w:trHeight w:val="288"/>
        </w:trPr>
        <w:tc>
          <w:tcPr>
            <w:tcW w:w="2228" w:type="dxa"/>
            <w:noWrap/>
            <w:hideMark/>
          </w:tcPr>
          <w:p w14:paraId="6198A476" w14:textId="77777777" w:rsidR="00502A11" w:rsidRPr="00AB59C5" w:rsidRDefault="00502A11" w:rsidP="00817833">
            <w:pPr>
              <w:jc w:val="left"/>
              <w:rPr>
                <w:rStyle w:val="IntenseReference"/>
                <w:rFonts w:eastAsiaTheme="minorHAnsi"/>
              </w:rPr>
            </w:pPr>
            <w:r w:rsidRPr="00AB59C5">
              <w:rPr>
                <w:rStyle w:val="IntenseReference"/>
                <w:rFonts w:eastAsiaTheme="minorHAnsi"/>
              </w:rPr>
              <w:t>Russell Mulgrave</w:t>
            </w:r>
          </w:p>
        </w:tc>
        <w:tc>
          <w:tcPr>
            <w:tcW w:w="1282" w:type="dxa"/>
          </w:tcPr>
          <w:p w14:paraId="37EA29AB"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29</w:t>
            </w:r>
          </w:p>
        </w:tc>
        <w:tc>
          <w:tcPr>
            <w:tcW w:w="1276" w:type="dxa"/>
            <w:vAlign w:val="bottom"/>
          </w:tcPr>
          <w:p w14:paraId="2D4D670E"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22</w:t>
            </w:r>
          </w:p>
        </w:tc>
      </w:tr>
      <w:tr w:rsidR="00502A11" w:rsidRPr="00A2572F" w14:paraId="2C11C0A5" w14:textId="77777777" w:rsidTr="00817833">
        <w:trPr>
          <w:trHeight w:val="288"/>
        </w:trPr>
        <w:tc>
          <w:tcPr>
            <w:tcW w:w="2228" w:type="dxa"/>
            <w:noWrap/>
            <w:hideMark/>
          </w:tcPr>
          <w:p w14:paraId="33EE6637" w14:textId="77777777" w:rsidR="00502A11" w:rsidRPr="00AB59C5" w:rsidRDefault="00502A11" w:rsidP="00817833">
            <w:pPr>
              <w:jc w:val="left"/>
              <w:rPr>
                <w:rStyle w:val="IntenseReference"/>
                <w:rFonts w:eastAsiaTheme="minorHAnsi"/>
              </w:rPr>
            </w:pPr>
            <w:r w:rsidRPr="00AB59C5">
              <w:rPr>
                <w:rStyle w:val="IntenseReference"/>
                <w:rFonts w:eastAsiaTheme="minorHAnsi"/>
              </w:rPr>
              <w:t>Tully</w:t>
            </w:r>
          </w:p>
        </w:tc>
        <w:tc>
          <w:tcPr>
            <w:tcW w:w="1282" w:type="dxa"/>
          </w:tcPr>
          <w:p w14:paraId="5BD41C4D" w14:textId="77777777" w:rsidR="00502A11" w:rsidRPr="00AB59C5" w:rsidRDefault="00502A11" w:rsidP="00817833">
            <w:pPr>
              <w:jc w:val="center"/>
              <w:rPr>
                <w:rStyle w:val="IntenseReference"/>
                <w:rFonts w:eastAsiaTheme="minorHAnsi"/>
              </w:rPr>
            </w:pPr>
            <w:r w:rsidRPr="00AB59C5">
              <w:rPr>
                <w:rStyle w:val="IntenseReference"/>
                <w:rFonts w:eastAsiaTheme="minorHAnsi"/>
              </w:rPr>
              <w:t>35</w:t>
            </w:r>
          </w:p>
        </w:tc>
        <w:tc>
          <w:tcPr>
            <w:tcW w:w="1276" w:type="dxa"/>
            <w:vAlign w:val="bottom"/>
          </w:tcPr>
          <w:p w14:paraId="734EAB62" w14:textId="77777777" w:rsidR="00502A11" w:rsidRPr="00AB59C5" w:rsidRDefault="00502A11" w:rsidP="00817833">
            <w:pPr>
              <w:jc w:val="center"/>
              <w:rPr>
                <w:rStyle w:val="IntenseReference"/>
                <w:rFonts w:eastAsiaTheme="minorHAnsi"/>
              </w:rPr>
            </w:pPr>
            <w:r w:rsidRPr="00AB59C5">
              <w:rPr>
                <w:rStyle w:val="IntenseReference"/>
                <w:rFonts w:eastAsiaTheme="minorHAnsi"/>
              </w:rPr>
              <w:t>38</w:t>
            </w:r>
          </w:p>
        </w:tc>
      </w:tr>
      <w:tr w:rsidR="00502A11" w:rsidRPr="00A2572F" w14:paraId="77ACA69D" w14:textId="77777777" w:rsidTr="00817833">
        <w:trPr>
          <w:trHeight w:val="288"/>
        </w:trPr>
        <w:tc>
          <w:tcPr>
            <w:tcW w:w="2228" w:type="dxa"/>
            <w:noWrap/>
            <w:hideMark/>
          </w:tcPr>
          <w:p w14:paraId="40183F1A" w14:textId="77777777" w:rsidR="00502A11" w:rsidRPr="00AB59C5" w:rsidRDefault="00502A11" w:rsidP="00817833">
            <w:pPr>
              <w:jc w:val="left"/>
              <w:rPr>
                <w:rStyle w:val="IntenseReference"/>
                <w:rFonts w:eastAsiaTheme="minorHAnsi"/>
              </w:rPr>
            </w:pPr>
            <w:r w:rsidRPr="00AB59C5">
              <w:rPr>
                <w:rStyle w:val="IntenseReference"/>
                <w:rFonts w:eastAsiaTheme="minorHAnsi"/>
              </w:rPr>
              <w:t>Burdekin</w:t>
            </w:r>
          </w:p>
        </w:tc>
        <w:tc>
          <w:tcPr>
            <w:tcW w:w="1282" w:type="dxa"/>
          </w:tcPr>
          <w:p w14:paraId="7D399505" w14:textId="77777777" w:rsidR="00502A11" w:rsidRPr="00AB59C5" w:rsidRDefault="00502A11" w:rsidP="00817833">
            <w:pPr>
              <w:jc w:val="center"/>
              <w:rPr>
                <w:rStyle w:val="IntenseReference"/>
                <w:rFonts w:eastAsiaTheme="minorHAnsi"/>
              </w:rPr>
            </w:pPr>
            <w:r w:rsidRPr="00AB59C5">
              <w:rPr>
                <w:rStyle w:val="IntenseReference"/>
                <w:rFonts w:eastAsiaTheme="minorHAnsi"/>
              </w:rPr>
              <w:t>68</w:t>
            </w:r>
          </w:p>
        </w:tc>
        <w:tc>
          <w:tcPr>
            <w:tcW w:w="1276" w:type="dxa"/>
            <w:vAlign w:val="bottom"/>
          </w:tcPr>
          <w:p w14:paraId="2516D316"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57</w:t>
            </w:r>
          </w:p>
        </w:tc>
      </w:tr>
      <w:tr w:rsidR="00502A11" w:rsidRPr="00A2572F" w14:paraId="23842D68" w14:textId="77777777" w:rsidTr="00817833">
        <w:trPr>
          <w:trHeight w:val="288"/>
        </w:trPr>
        <w:tc>
          <w:tcPr>
            <w:tcW w:w="2228" w:type="dxa"/>
            <w:noWrap/>
            <w:hideMark/>
          </w:tcPr>
          <w:p w14:paraId="3580DB02" w14:textId="77777777" w:rsidR="00502A11" w:rsidRPr="00AB59C5" w:rsidRDefault="00502A11" w:rsidP="00817833">
            <w:pPr>
              <w:jc w:val="left"/>
              <w:rPr>
                <w:rStyle w:val="IntenseReference"/>
                <w:rFonts w:eastAsiaTheme="minorHAnsi"/>
              </w:rPr>
            </w:pPr>
            <w:r w:rsidRPr="00AB59C5">
              <w:rPr>
                <w:rStyle w:val="IntenseReference"/>
                <w:rFonts w:eastAsiaTheme="minorHAnsi"/>
              </w:rPr>
              <w:t>Whitsundays</w:t>
            </w:r>
          </w:p>
        </w:tc>
        <w:tc>
          <w:tcPr>
            <w:tcW w:w="1282" w:type="dxa"/>
          </w:tcPr>
          <w:p w14:paraId="2B5EACE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52</w:t>
            </w:r>
          </w:p>
        </w:tc>
        <w:tc>
          <w:tcPr>
            <w:tcW w:w="1276" w:type="dxa"/>
            <w:vAlign w:val="bottom"/>
          </w:tcPr>
          <w:p w14:paraId="6A1ADC59"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50</w:t>
            </w:r>
          </w:p>
        </w:tc>
      </w:tr>
      <w:tr w:rsidR="00502A11" w:rsidRPr="00A2572F" w14:paraId="7686817C" w14:textId="77777777" w:rsidTr="00817833">
        <w:trPr>
          <w:trHeight w:val="288"/>
        </w:trPr>
        <w:tc>
          <w:tcPr>
            <w:tcW w:w="2228" w:type="dxa"/>
            <w:noWrap/>
            <w:hideMark/>
          </w:tcPr>
          <w:p w14:paraId="20CEB7EA" w14:textId="77777777" w:rsidR="00502A11" w:rsidRPr="00AB59C5" w:rsidRDefault="00502A11" w:rsidP="00817833">
            <w:pPr>
              <w:jc w:val="left"/>
              <w:rPr>
                <w:rStyle w:val="IntenseReference"/>
                <w:rFonts w:eastAsiaTheme="minorHAnsi"/>
              </w:rPr>
            </w:pPr>
            <w:r w:rsidRPr="00AB59C5">
              <w:rPr>
                <w:rStyle w:val="IntenseReference"/>
                <w:rFonts w:eastAsiaTheme="minorHAnsi"/>
              </w:rPr>
              <w:t>Fitzroy</w:t>
            </w:r>
          </w:p>
        </w:tc>
        <w:tc>
          <w:tcPr>
            <w:tcW w:w="1282" w:type="dxa"/>
          </w:tcPr>
          <w:p w14:paraId="35724A46" w14:textId="77777777" w:rsidR="00502A11" w:rsidRPr="00AB59C5" w:rsidRDefault="00502A11" w:rsidP="00817833">
            <w:pPr>
              <w:jc w:val="center"/>
              <w:rPr>
                <w:rStyle w:val="IntenseReference"/>
                <w:rFonts w:eastAsiaTheme="minorHAnsi"/>
              </w:rPr>
            </w:pPr>
            <w:r w:rsidRPr="00AB59C5">
              <w:rPr>
                <w:rStyle w:val="IntenseReference"/>
                <w:rFonts w:eastAsiaTheme="minorHAnsi"/>
              </w:rPr>
              <w:t>41</w:t>
            </w:r>
          </w:p>
        </w:tc>
        <w:tc>
          <w:tcPr>
            <w:tcW w:w="1276" w:type="dxa"/>
            <w:vAlign w:val="bottom"/>
          </w:tcPr>
          <w:p w14:paraId="7C983718" w14:textId="77777777" w:rsidR="00502A11" w:rsidRPr="00AB59C5" w:rsidRDefault="00502A11" w:rsidP="00817833">
            <w:pPr>
              <w:jc w:val="center"/>
              <w:rPr>
                <w:rStyle w:val="IntenseReference"/>
                <w:rFonts w:eastAsiaTheme="minorHAnsi"/>
              </w:rPr>
            </w:pPr>
            <w:r w:rsidRPr="00AB59C5">
              <w:rPr>
                <w:rStyle w:val="IntenseReference"/>
                <w:rFonts w:eastAsiaTheme="minorHAnsi"/>
              </w:rPr>
              <w:t>66</w:t>
            </w:r>
          </w:p>
        </w:tc>
      </w:tr>
    </w:tbl>
    <w:p w14:paraId="2122764C" w14:textId="77777777" w:rsidR="00502A11" w:rsidRDefault="00502A11" w:rsidP="00502A11">
      <w:pPr>
        <w:spacing w:after="0" w:line="276" w:lineRule="auto"/>
        <w:jc w:val="left"/>
        <w:rPr>
          <w:rFonts w:eastAsiaTheme="minorHAnsi" w:cs="Arial"/>
          <w:szCs w:val="22"/>
          <w:lang w:val="en-AU"/>
        </w:rPr>
      </w:pPr>
    </w:p>
    <w:p w14:paraId="42210C03" w14:textId="77777777" w:rsidR="00502A11" w:rsidRDefault="00502A11" w:rsidP="00502A11">
      <w:pPr>
        <w:rPr>
          <w:rFonts w:eastAsiaTheme="minorHAnsi"/>
          <w:lang w:val="en-AU"/>
        </w:rPr>
      </w:pPr>
      <w:r>
        <w:rPr>
          <w:rFonts w:eastAsiaTheme="minorHAnsi"/>
          <w:lang w:val="en-AU"/>
        </w:rPr>
        <w:br w:type="page"/>
      </w:r>
    </w:p>
    <w:p w14:paraId="08D6B718" w14:textId="77777777" w:rsidR="00502A11" w:rsidRPr="00595EBD" w:rsidRDefault="00502A11" w:rsidP="00502A11">
      <w:pPr>
        <w:spacing w:after="0" w:line="276" w:lineRule="auto"/>
        <w:jc w:val="left"/>
        <w:rPr>
          <w:rFonts w:eastAsiaTheme="minorHAnsi" w:cs="Arial"/>
          <w:szCs w:val="22"/>
          <w:lang w:val="en-AU"/>
        </w:rPr>
      </w:pPr>
      <w:r w:rsidRPr="00595EBD">
        <w:rPr>
          <w:rFonts w:eastAsiaTheme="minorHAnsi" w:cs="Arial"/>
          <w:noProof/>
          <w:szCs w:val="22"/>
          <w:lang w:val="en-AU" w:eastAsia="en-AU"/>
        </w:rPr>
        <w:drawing>
          <wp:inline distT="0" distB="0" distL="0" distR="0" wp14:anchorId="15CE25D2" wp14:editId="7886B7A7">
            <wp:extent cx="5257887" cy="7437120"/>
            <wp:effectExtent l="0" t="0" r="0" b="0"/>
            <wp:docPr id="3" name="Picture 3" descr="Map illustrating the location and bleaching severity observed during Eye on the Reef surveys during the 2016 bleaching event." title="Figure 24  Eye on the reef bleaching observ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 Hi_Res map 160903c-BleachingSeverity.jp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257475" cy="7436538"/>
                    </a:xfrm>
                    <a:prstGeom prst="rect">
                      <a:avLst/>
                    </a:prstGeom>
                  </pic:spPr>
                </pic:pic>
              </a:graphicData>
            </a:graphic>
          </wp:inline>
        </w:drawing>
      </w:r>
    </w:p>
    <w:p w14:paraId="303ACBB1" w14:textId="3D8367BD" w:rsidR="00502A11" w:rsidRPr="0056599D" w:rsidRDefault="00090C49" w:rsidP="00090C49">
      <w:pPr>
        <w:pStyle w:val="Caption"/>
        <w:rPr>
          <w:rStyle w:val="IntenseReference"/>
          <w:rFonts w:eastAsiaTheme="minorHAnsi"/>
        </w:rPr>
      </w:pPr>
      <w:bookmarkStart w:id="308" w:name="_Ref491173118"/>
      <w:bookmarkStart w:id="309" w:name="_Ref469990130"/>
      <w:bookmarkStart w:id="310" w:name="_Toc491846850"/>
      <w:r>
        <w:t xml:space="preserve">Figure </w:t>
      </w:r>
      <w:r>
        <w:fldChar w:fldCharType="begin"/>
      </w:r>
      <w:r>
        <w:instrText xml:space="preserve"> SEQ Figure \* ARABIC </w:instrText>
      </w:r>
      <w:r>
        <w:fldChar w:fldCharType="separate"/>
      </w:r>
      <w:r w:rsidR="00D806F2">
        <w:rPr>
          <w:noProof/>
        </w:rPr>
        <w:t>24</w:t>
      </w:r>
      <w:r>
        <w:fldChar w:fldCharType="end"/>
      </w:r>
      <w:bookmarkEnd w:id="308"/>
      <w:r>
        <w:t xml:space="preserve"> </w:t>
      </w:r>
      <w:r w:rsidRPr="00596D85">
        <w:t xml:space="preserve">Reef-wide pattern of bleaching severity impacts </w:t>
      </w:r>
      <w:r>
        <w:t>based on Eye on the reef observations 2016</w:t>
      </w:r>
      <w:bookmarkEnd w:id="309"/>
      <w:r w:rsidR="00502A11">
        <w:rPr>
          <w:lang w:val="en-AU"/>
        </w:rPr>
        <w:t xml:space="preserve">. </w:t>
      </w:r>
      <w:r w:rsidR="00502A11" w:rsidRPr="0056599D">
        <w:rPr>
          <w:rStyle w:val="IntenseReference"/>
          <w:rFonts w:eastAsiaTheme="minorHAnsi"/>
        </w:rPr>
        <w:t xml:space="preserve">Each circle represents a survey reef and colours indicate severity category, with red indicating the most severely impacted reefs. Source: GBRMPA </w:t>
      </w:r>
      <w:r>
        <w:rPr>
          <w:rStyle w:val="IntenseReference"/>
          <w:rFonts w:eastAsiaTheme="minorHAnsi"/>
        </w:rPr>
        <w:t>(</w:t>
      </w:r>
      <w:r w:rsidR="00502A11" w:rsidRPr="0056599D">
        <w:rPr>
          <w:rStyle w:val="IntenseReference"/>
          <w:rFonts w:eastAsiaTheme="minorHAnsi"/>
        </w:rPr>
        <w:t>2016</w:t>
      </w:r>
      <w:r>
        <w:rPr>
          <w:rStyle w:val="IntenseReference"/>
          <w:rFonts w:eastAsiaTheme="minorHAnsi"/>
        </w:rPr>
        <w:t>)</w:t>
      </w:r>
      <w:bookmarkEnd w:id="310"/>
      <w:r w:rsidR="00502A11" w:rsidRPr="0056599D">
        <w:rPr>
          <w:rStyle w:val="IntenseReference"/>
          <w:rFonts w:eastAsiaTheme="minorHAnsi"/>
        </w:rPr>
        <w:t xml:space="preserve"> </w:t>
      </w:r>
    </w:p>
    <w:p w14:paraId="5AA51313" w14:textId="77777777" w:rsidR="00502A11" w:rsidRPr="007F05E7" w:rsidRDefault="00502A11" w:rsidP="00502A11">
      <w:pPr>
        <w:rPr>
          <w:rFonts w:cs="Arial"/>
          <w:lang w:val="en-AU"/>
        </w:rPr>
      </w:pPr>
    </w:p>
    <w:p w14:paraId="09D9AE93" w14:textId="77777777" w:rsidR="00502A11" w:rsidRDefault="00502A11" w:rsidP="00502A11">
      <w:pPr>
        <w:spacing w:after="0" w:line="276" w:lineRule="auto"/>
        <w:rPr>
          <w:rFonts w:eastAsiaTheme="minorHAnsi" w:cs="Arial"/>
          <w:szCs w:val="22"/>
          <w:lang w:val="en-AU"/>
        </w:rPr>
      </w:pPr>
    </w:p>
    <w:p w14:paraId="7F0AFBBD" w14:textId="77777777" w:rsidR="00502A11" w:rsidRDefault="00502A11" w:rsidP="00502A11">
      <w:pPr>
        <w:spacing w:after="0" w:line="276" w:lineRule="auto"/>
        <w:rPr>
          <w:rFonts w:eastAsiaTheme="minorHAnsi" w:cs="Arial"/>
          <w:szCs w:val="22"/>
          <w:lang w:val="en-AU"/>
        </w:rPr>
      </w:pPr>
    </w:p>
    <w:p w14:paraId="636886A8" w14:textId="77777777" w:rsidR="00502A11" w:rsidRDefault="00502A11" w:rsidP="00502A11">
      <w:pPr>
        <w:rPr>
          <w:rFonts w:eastAsia="SimSun"/>
        </w:rPr>
      </w:pPr>
    </w:p>
    <w:p w14:paraId="3C02C4C1" w14:textId="2284E89C" w:rsidR="00502A11" w:rsidRPr="0056599D" w:rsidRDefault="00E54AF3" w:rsidP="00E54AF3">
      <w:pPr>
        <w:pStyle w:val="Caption"/>
        <w:rPr>
          <w:rStyle w:val="IntenseReference"/>
          <w:rFonts w:eastAsia="SimSun"/>
        </w:rPr>
      </w:pPr>
      <w:bookmarkStart w:id="311" w:name="_Ref491174236"/>
      <w:bookmarkStart w:id="312" w:name="_Ref469988539"/>
      <w:bookmarkStart w:id="313" w:name="_Toc491847038"/>
      <w:r>
        <w:t xml:space="preserve">Table </w:t>
      </w:r>
      <w:r>
        <w:fldChar w:fldCharType="begin"/>
      </w:r>
      <w:r>
        <w:instrText xml:space="preserve"> SEQ Table \* ARABIC </w:instrText>
      </w:r>
      <w:r>
        <w:fldChar w:fldCharType="separate"/>
      </w:r>
      <w:r w:rsidR="00D806F2">
        <w:rPr>
          <w:noProof/>
        </w:rPr>
        <w:t>19</w:t>
      </w:r>
      <w:r>
        <w:fldChar w:fldCharType="end"/>
      </w:r>
      <w:bookmarkEnd w:id="311"/>
      <w:r>
        <w:t xml:space="preserve"> </w:t>
      </w:r>
      <w:r w:rsidRPr="00282073">
        <w:t>Bleaching distribution among MMP reefs in 2016.</w:t>
      </w:r>
      <w:bookmarkEnd w:id="312"/>
      <w:r w:rsidR="00502A11" w:rsidRPr="008550DE">
        <w:rPr>
          <w:lang w:val="en-AU"/>
        </w:rPr>
        <w:t xml:space="preserve"> </w:t>
      </w:r>
      <w:r w:rsidR="00502A11" w:rsidRPr="0056599D">
        <w:rPr>
          <w:rStyle w:val="IntenseReference"/>
          <w:rFonts w:eastAsia="SimSun"/>
        </w:rPr>
        <w:t xml:space="preserve">Values for </w:t>
      </w:r>
      <w:r w:rsidR="00AA72A3">
        <w:rPr>
          <w:rStyle w:val="IntenseReference"/>
          <w:rFonts w:eastAsia="SimSun"/>
        </w:rPr>
        <w:t>2 m</w:t>
      </w:r>
      <w:r w:rsidR="00502A11" w:rsidRPr="0056599D">
        <w:rPr>
          <w:rStyle w:val="IntenseReference"/>
          <w:rFonts w:eastAsia="SimSun"/>
        </w:rPr>
        <w:t xml:space="preserve"> and </w:t>
      </w:r>
      <w:r w:rsidR="00AA72A3">
        <w:rPr>
          <w:rStyle w:val="IntenseReference"/>
          <w:rFonts w:eastAsia="SimSun"/>
        </w:rPr>
        <w:t>5 m</w:t>
      </w:r>
      <w:r w:rsidR="00502A11" w:rsidRPr="0056599D">
        <w:rPr>
          <w:rStyle w:val="IntenseReference"/>
          <w:rFonts w:eastAsia="SimSun"/>
        </w:rPr>
        <w:t xml:space="preserve"> are averaged mid-point scores from ten transects at each depth expressed as percent coral community affected by bleaching. The percent change in coral cover is recorded between the last two surveys for each reef in the MMP sampling schedule. For 12 reefs this is 2015 and 2016. For 12 reefs this is 2014 and 2016 (denoted by *). Declines in coral cover between surveys are in bold.</w:t>
      </w:r>
      <w:bookmarkEnd w:id="313"/>
      <w:r w:rsidR="00502A11" w:rsidRPr="0056599D">
        <w:rPr>
          <w:rStyle w:val="IntenseReference"/>
          <w:rFonts w:eastAsia="SimSun"/>
        </w:rPr>
        <w:t xml:space="preserve"> </w:t>
      </w:r>
    </w:p>
    <w:tbl>
      <w:tblPr>
        <w:tblStyle w:val="TableGrid3"/>
        <w:tblW w:w="0" w:type="auto"/>
        <w:tblInd w:w="108" w:type="dxa"/>
        <w:tblLook w:val="04A0" w:firstRow="1" w:lastRow="0" w:firstColumn="1" w:lastColumn="0" w:noHBand="0" w:noVBand="1"/>
      </w:tblPr>
      <w:tblGrid>
        <w:gridCol w:w="1560"/>
        <w:gridCol w:w="1556"/>
        <w:gridCol w:w="2260"/>
        <w:gridCol w:w="991"/>
        <w:gridCol w:w="1150"/>
        <w:gridCol w:w="1617"/>
      </w:tblGrid>
      <w:tr w:rsidR="00502A11" w:rsidRPr="00A2572F" w14:paraId="03D2D9AF" w14:textId="77777777" w:rsidTr="00817833">
        <w:tc>
          <w:tcPr>
            <w:tcW w:w="1560" w:type="dxa"/>
            <w:vAlign w:val="center"/>
          </w:tcPr>
          <w:p w14:paraId="51430544" w14:textId="77777777" w:rsidR="00502A11" w:rsidRPr="00AB59C5" w:rsidRDefault="00502A11" w:rsidP="00817833">
            <w:pPr>
              <w:jc w:val="center"/>
              <w:rPr>
                <w:rStyle w:val="IntenseReference"/>
                <w:rFonts w:eastAsiaTheme="minorHAnsi"/>
              </w:rPr>
            </w:pPr>
            <w:r w:rsidRPr="00AB59C5">
              <w:rPr>
                <w:rStyle w:val="IntenseReference"/>
                <w:rFonts w:eastAsiaTheme="minorHAnsi"/>
              </w:rPr>
              <w:t>NRM Region</w:t>
            </w:r>
          </w:p>
        </w:tc>
        <w:tc>
          <w:tcPr>
            <w:tcW w:w="1556" w:type="dxa"/>
            <w:vAlign w:val="center"/>
          </w:tcPr>
          <w:p w14:paraId="132DE3CA" w14:textId="77777777" w:rsidR="00502A11" w:rsidRPr="00AB59C5" w:rsidRDefault="00502A11" w:rsidP="00817833">
            <w:pPr>
              <w:jc w:val="center"/>
              <w:rPr>
                <w:rStyle w:val="IntenseReference"/>
                <w:rFonts w:eastAsiaTheme="minorHAnsi"/>
              </w:rPr>
            </w:pPr>
            <w:r w:rsidRPr="00AB59C5">
              <w:rPr>
                <w:rStyle w:val="IntenseReference"/>
                <w:rFonts w:eastAsiaTheme="minorHAnsi"/>
              </w:rPr>
              <w:t>Catchment</w:t>
            </w:r>
          </w:p>
        </w:tc>
        <w:tc>
          <w:tcPr>
            <w:tcW w:w="2260" w:type="dxa"/>
            <w:vAlign w:val="center"/>
          </w:tcPr>
          <w:p w14:paraId="628866F1" w14:textId="77777777" w:rsidR="00502A11" w:rsidRPr="00AB59C5" w:rsidRDefault="00502A11" w:rsidP="00817833">
            <w:pPr>
              <w:jc w:val="center"/>
              <w:rPr>
                <w:rStyle w:val="IntenseReference"/>
                <w:rFonts w:eastAsiaTheme="minorHAnsi"/>
              </w:rPr>
            </w:pPr>
            <w:r w:rsidRPr="00AB59C5">
              <w:rPr>
                <w:rStyle w:val="IntenseReference"/>
                <w:rFonts w:eastAsiaTheme="minorHAnsi"/>
              </w:rPr>
              <w:t>Reef</w:t>
            </w:r>
          </w:p>
        </w:tc>
        <w:tc>
          <w:tcPr>
            <w:tcW w:w="991" w:type="dxa"/>
            <w:vAlign w:val="center"/>
          </w:tcPr>
          <w:p w14:paraId="25E20BF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Depth</w:t>
            </w:r>
          </w:p>
          <w:p w14:paraId="6BF2939E" w14:textId="77777777" w:rsidR="00502A11" w:rsidRPr="00AB59C5" w:rsidRDefault="00502A11" w:rsidP="00817833">
            <w:pPr>
              <w:jc w:val="center"/>
              <w:rPr>
                <w:rStyle w:val="IntenseReference"/>
                <w:rFonts w:eastAsiaTheme="minorHAnsi"/>
              </w:rPr>
            </w:pPr>
            <w:r w:rsidRPr="00AB59C5">
              <w:rPr>
                <w:rStyle w:val="IntenseReference"/>
                <w:rFonts w:eastAsiaTheme="minorHAnsi"/>
              </w:rPr>
              <w:t>m</w:t>
            </w:r>
          </w:p>
        </w:tc>
        <w:tc>
          <w:tcPr>
            <w:tcW w:w="1150" w:type="dxa"/>
            <w:vAlign w:val="center"/>
          </w:tcPr>
          <w:p w14:paraId="541602C4" w14:textId="77777777" w:rsidR="00502A11" w:rsidRPr="00AB59C5" w:rsidRDefault="00502A11" w:rsidP="00817833">
            <w:pPr>
              <w:jc w:val="center"/>
              <w:rPr>
                <w:rStyle w:val="IntenseReference"/>
                <w:rFonts w:eastAsiaTheme="minorHAnsi"/>
              </w:rPr>
            </w:pPr>
            <w:r w:rsidRPr="00AB59C5">
              <w:rPr>
                <w:rStyle w:val="IntenseReference"/>
                <w:rFonts w:eastAsiaTheme="minorHAnsi"/>
              </w:rPr>
              <w:t>% bleaching</w:t>
            </w:r>
          </w:p>
        </w:tc>
        <w:tc>
          <w:tcPr>
            <w:tcW w:w="1617" w:type="dxa"/>
            <w:shd w:val="clear" w:color="auto" w:fill="auto"/>
          </w:tcPr>
          <w:p w14:paraId="6B750878" w14:textId="77777777" w:rsidR="00502A11" w:rsidRPr="00AB59C5" w:rsidRDefault="00502A11" w:rsidP="00817833">
            <w:pPr>
              <w:jc w:val="center"/>
              <w:rPr>
                <w:rStyle w:val="IntenseReference"/>
                <w:rFonts w:eastAsiaTheme="minorHAnsi"/>
              </w:rPr>
            </w:pPr>
            <w:r w:rsidRPr="00AB59C5">
              <w:rPr>
                <w:rStyle w:val="IntenseReference"/>
                <w:rFonts w:eastAsiaTheme="minorHAnsi"/>
              </w:rPr>
              <w:t>% change in coral cover</w:t>
            </w:r>
          </w:p>
        </w:tc>
      </w:tr>
      <w:tr w:rsidR="00502A11" w:rsidRPr="00A2572F" w14:paraId="52CEF903" w14:textId="77777777" w:rsidTr="00817833">
        <w:trPr>
          <w:trHeight w:val="113"/>
        </w:trPr>
        <w:tc>
          <w:tcPr>
            <w:tcW w:w="1560" w:type="dxa"/>
            <w:vMerge w:val="restart"/>
            <w:textDirection w:val="btLr"/>
            <w:vAlign w:val="center"/>
          </w:tcPr>
          <w:p w14:paraId="4AF5CC3D" w14:textId="77777777" w:rsidR="00502A11" w:rsidRPr="00AB59C5" w:rsidRDefault="00502A11" w:rsidP="00817833">
            <w:pPr>
              <w:ind w:left="113" w:right="113"/>
              <w:jc w:val="center"/>
              <w:rPr>
                <w:rStyle w:val="IntenseReference"/>
                <w:rFonts w:eastAsiaTheme="minorHAnsi"/>
              </w:rPr>
            </w:pPr>
            <w:r w:rsidRPr="00AB59C5">
              <w:rPr>
                <w:rStyle w:val="IntenseReference"/>
                <w:rFonts w:eastAsiaTheme="minorHAnsi"/>
              </w:rPr>
              <w:t>Wet Tropics</w:t>
            </w:r>
          </w:p>
          <w:p w14:paraId="52A92CCE" w14:textId="77777777" w:rsidR="00502A11" w:rsidRPr="00AB59C5" w:rsidRDefault="00502A11" w:rsidP="00817833">
            <w:pPr>
              <w:ind w:left="113" w:right="113"/>
              <w:jc w:val="center"/>
              <w:rPr>
                <w:rStyle w:val="IntenseReference"/>
                <w:rFonts w:eastAsiaTheme="minorHAnsi"/>
              </w:rPr>
            </w:pPr>
          </w:p>
        </w:tc>
        <w:tc>
          <w:tcPr>
            <w:tcW w:w="1556" w:type="dxa"/>
            <w:vMerge w:val="restart"/>
            <w:vAlign w:val="center"/>
          </w:tcPr>
          <w:p w14:paraId="3F28C336" w14:textId="77777777" w:rsidR="00502A11" w:rsidRPr="00AB59C5" w:rsidRDefault="00502A11" w:rsidP="00817833">
            <w:pPr>
              <w:jc w:val="center"/>
              <w:rPr>
                <w:rStyle w:val="IntenseReference"/>
                <w:rFonts w:eastAsiaTheme="minorHAnsi"/>
              </w:rPr>
            </w:pPr>
            <w:r w:rsidRPr="00AB59C5">
              <w:rPr>
                <w:rStyle w:val="IntenseReference"/>
                <w:rFonts w:eastAsiaTheme="minorHAnsi"/>
              </w:rPr>
              <w:t>Barron Daintree</w:t>
            </w:r>
          </w:p>
        </w:tc>
        <w:tc>
          <w:tcPr>
            <w:tcW w:w="2260" w:type="dxa"/>
            <w:vMerge w:val="restart"/>
            <w:vAlign w:val="center"/>
          </w:tcPr>
          <w:p w14:paraId="19D5C96F" w14:textId="77777777" w:rsidR="00502A11" w:rsidRPr="00AB59C5" w:rsidRDefault="00502A11" w:rsidP="00817833">
            <w:pPr>
              <w:jc w:val="center"/>
              <w:rPr>
                <w:rStyle w:val="IntenseReference"/>
                <w:rFonts w:eastAsiaTheme="minorHAnsi"/>
              </w:rPr>
            </w:pPr>
            <w:r w:rsidRPr="00AB59C5">
              <w:rPr>
                <w:rStyle w:val="IntenseReference"/>
                <w:rFonts w:eastAsiaTheme="minorHAnsi"/>
              </w:rPr>
              <w:t>Snapper North</w:t>
            </w:r>
          </w:p>
        </w:tc>
        <w:tc>
          <w:tcPr>
            <w:tcW w:w="991" w:type="dxa"/>
          </w:tcPr>
          <w:p w14:paraId="399D607F"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658BB25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tc>
        <w:tc>
          <w:tcPr>
            <w:tcW w:w="1617" w:type="dxa"/>
            <w:shd w:val="clear" w:color="auto" w:fill="auto"/>
            <w:vAlign w:val="bottom"/>
          </w:tcPr>
          <w:p w14:paraId="3B44A086" w14:textId="77777777" w:rsidR="00502A11" w:rsidRPr="00AB59C5" w:rsidRDefault="00502A11" w:rsidP="00817833">
            <w:pPr>
              <w:jc w:val="center"/>
              <w:rPr>
                <w:rStyle w:val="IntenseReference"/>
                <w:rFonts w:eastAsiaTheme="minorHAnsi"/>
              </w:rPr>
            </w:pPr>
            <w:r w:rsidRPr="00AB59C5">
              <w:rPr>
                <w:rStyle w:val="IntenseReference"/>
                <w:rFonts w:eastAsiaTheme="minorHAnsi"/>
              </w:rPr>
              <w:t>1.83</w:t>
            </w:r>
          </w:p>
        </w:tc>
      </w:tr>
      <w:tr w:rsidR="00502A11" w:rsidRPr="00A2572F" w14:paraId="73548C62" w14:textId="77777777" w:rsidTr="00817833">
        <w:tc>
          <w:tcPr>
            <w:tcW w:w="1560" w:type="dxa"/>
            <w:vMerge/>
            <w:vAlign w:val="center"/>
          </w:tcPr>
          <w:p w14:paraId="6933DB1A" w14:textId="77777777" w:rsidR="00502A11" w:rsidRPr="00AB59C5" w:rsidRDefault="00502A11" w:rsidP="00817833">
            <w:pPr>
              <w:jc w:val="center"/>
              <w:rPr>
                <w:rStyle w:val="IntenseReference"/>
                <w:rFonts w:eastAsiaTheme="minorHAnsi"/>
              </w:rPr>
            </w:pPr>
          </w:p>
        </w:tc>
        <w:tc>
          <w:tcPr>
            <w:tcW w:w="1556" w:type="dxa"/>
            <w:vMerge/>
          </w:tcPr>
          <w:p w14:paraId="05696DAF" w14:textId="77777777" w:rsidR="00502A11" w:rsidRPr="00AB59C5" w:rsidRDefault="00502A11" w:rsidP="00817833">
            <w:pPr>
              <w:jc w:val="center"/>
              <w:rPr>
                <w:rStyle w:val="IntenseReference"/>
                <w:rFonts w:eastAsiaTheme="minorHAnsi"/>
              </w:rPr>
            </w:pPr>
          </w:p>
        </w:tc>
        <w:tc>
          <w:tcPr>
            <w:tcW w:w="2260" w:type="dxa"/>
            <w:vMerge/>
          </w:tcPr>
          <w:p w14:paraId="38A18201" w14:textId="77777777" w:rsidR="00502A11" w:rsidRPr="00AB59C5" w:rsidRDefault="00502A11" w:rsidP="00817833">
            <w:pPr>
              <w:jc w:val="left"/>
              <w:rPr>
                <w:rStyle w:val="IntenseReference"/>
                <w:rFonts w:eastAsiaTheme="minorHAnsi"/>
              </w:rPr>
            </w:pPr>
          </w:p>
        </w:tc>
        <w:tc>
          <w:tcPr>
            <w:tcW w:w="991" w:type="dxa"/>
          </w:tcPr>
          <w:p w14:paraId="27053961"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0E770FFD"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0.4</w:t>
            </w:r>
          </w:p>
        </w:tc>
        <w:tc>
          <w:tcPr>
            <w:tcW w:w="1617" w:type="dxa"/>
            <w:shd w:val="clear" w:color="auto" w:fill="auto"/>
            <w:vAlign w:val="bottom"/>
          </w:tcPr>
          <w:p w14:paraId="08AD16E9"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2.64</w:t>
            </w:r>
          </w:p>
        </w:tc>
      </w:tr>
      <w:tr w:rsidR="00502A11" w:rsidRPr="00A2572F" w14:paraId="664B5380" w14:textId="77777777" w:rsidTr="00817833">
        <w:tc>
          <w:tcPr>
            <w:tcW w:w="1560" w:type="dxa"/>
            <w:vMerge/>
          </w:tcPr>
          <w:p w14:paraId="0D9A7E18" w14:textId="77777777" w:rsidR="00502A11" w:rsidRPr="00AB59C5" w:rsidRDefault="00502A11" w:rsidP="00817833">
            <w:pPr>
              <w:jc w:val="left"/>
              <w:rPr>
                <w:rStyle w:val="IntenseReference"/>
                <w:rFonts w:eastAsiaTheme="minorHAnsi"/>
              </w:rPr>
            </w:pPr>
          </w:p>
        </w:tc>
        <w:tc>
          <w:tcPr>
            <w:tcW w:w="1556" w:type="dxa"/>
            <w:vMerge/>
          </w:tcPr>
          <w:p w14:paraId="7AE4272C" w14:textId="77777777" w:rsidR="00502A11" w:rsidRPr="00AB59C5" w:rsidRDefault="00502A11" w:rsidP="00817833">
            <w:pPr>
              <w:jc w:val="left"/>
              <w:rPr>
                <w:rStyle w:val="IntenseReference"/>
                <w:rFonts w:eastAsiaTheme="minorHAnsi"/>
              </w:rPr>
            </w:pPr>
          </w:p>
        </w:tc>
        <w:tc>
          <w:tcPr>
            <w:tcW w:w="2260" w:type="dxa"/>
            <w:vMerge w:val="restart"/>
            <w:vAlign w:val="center"/>
          </w:tcPr>
          <w:p w14:paraId="1DBFB5A1" w14:textId="77777777" w:rsidR="00502A11" w:rsidRPr="00AB59C5" w:rsidRDefault="00502A11" w:rsidP="00817833">
            <w:pPr>
              <w:jc w:val="center"/>
              <w:rPr>
                <w:rStyle w:val="IntenseReference"/>
                <w:rFonts w:eastAsiaTheme="minorHAnsi"/>
              </w:rPr>
            </w:pPr>
            <w:r w:rsidRPr="00AB59C5">
              <w:rPr>
                <w:rStyle w:val="IntenseReference"/>
                <w:rFonts w:eastAsiaTheme="minorHAnsi"/>
              </w:rPr>
              <w:t>Snapper South</w:t>
            </w:r>
          </w:p>
        </w:tc>
        <w:tc>
          <w:tcPr>
            <w:tcW w:w="991" w:type="dxa"/>
          </w:tcPr>
          <w:p w14:paraId="5EA791AA"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5D8C1F17"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0.4</w:t>
            </w:r>
          </w:p>
        </w:tc>
        <w:tc>
          <w:tcPr>
            <w:tcW w:w="1617" w:type="dxa"/>
            <w:shd w:val="clear" w:color="auto" w:fill="auto"/>
            <w:vAlign w:val="bottom"/>
          </w:tcPr>
          <w:p w14:paraId="6391AA9E" w14:textId="77777777" w:rsidR="00502A11" w:rsidRPr="00AB59C5" w:rsidRDefault="00502A11" w:rsidP="00817833">
            <w:pPr>
              <w:jc w:val="center"/>
              <w:rPr>
                <w:rStyle w:val="IntenseReference"/>
                <w:rFonts w:eastAsiaTheme="minorHAnsi"/>
              </w:rPr>
            </w:pPr>
            <w:r w:rsidRPr="00AB59C5">
              <w:rPr>
                <w:rStyle w:val="IntenseReference"/>
                <w:rFonts w:eastAsiaTheme="minorHAnsi"/>
              </w:rPr>
              <w:t>4.64</w:t>
            </w:r>
          </w:p>
        </w:tc>
      </w:tr>
      <w:tr w:rsidR="00502A11" w:rsidRPr="00A2572F" w14:paraId="15DF1B7D" w14:textId="77777777" w:rsidTr="00817833">
        <w:tc>
          <w:tcPr>
            <w:tcW w:w="1560" w:type="dxa"/>
            <w:vMerge/>
          </w:tcPr>
          <w:p w14:paraId="72CF491D" w14:textId="77777777" w:rsidR="00502A11" w:rsidRPr="00AB59C5" w:rsidRDefault="00502A11" w:rsidP="00817833">
            <w:pPr>
              <w:jc w:val="left"/>
              <w:rPr>
                <w:rStyle w:val="IntenseReference"/>
                <w:rFonts w:eastAsiaTheme="minorHAnsi"/>
              </w:rPr>
            </w:pPr>
          </w:p>
        </w:tc>
        <w:tc>
          <w:tcPr>
            <w:tcW w:w="1556" w:type="dxa"/>
            <w:vMerge/>
          </w:tcPr>
          <w:p w14:paraId="1534C1CB" w14:textId="77777777" w:rsidR="00502A11" w:rsidRPr="00AB59C5" w:rsidRDefault="00502A11" w:rsidP="00817833">
            <w:pPr>
              <w:jc w:val="left"/>
              <w:rPr>
                <w:rStyle w:val="IntenseReference"/>
                <w:rFonts w:eastAsiaTheme="minorHAnsi"/>
              </w:rPr>
            </w:pPr>
          </w:p>
        </w:tc>
        <w:tc>
          <w:tcPr>
            <w:tcW w:w="2260" w:type="dxa"/>
            <w:vMerge/>
            <w:vAlign w:val="center"/>
          </w:tcPr>
          <w:p w14:paraId="23FB3DB9" w14:textId="77777777" w:rsidR="00502A11" w:rsidRPr="00AB59C5" w:rsidRDefault="00502A11" w:rsidP="00817833">
            <w:pPr>
              <w:jc w:val="center"/>
              <w:rPr>
                <w:rStyle w:val="IntenseReference"/>
                <w:rFonts w:eastAsiaTheme="minorHAnsi"/>
              </w:rPr>
            </w:pPr>
          </w:p>
        </w:tc>
        <w:tc>
          <w:tcPr>
            <w:tcW w:w="991" w:type="dxa"/>
          </w:tcPr>
          <w:p w14:paraId="787BA5CA"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3A943071"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0.3</w:t>
            </w:r>
          </w:p>
        </w:tc>
        <w:tc>
          <w:tcPr>
            <w:tcW w:w="1617" w:type="dxa"/>
            <w:shd w:val="clear" w:color="auto" w:fill="auto"/>
            <w:vAlign w:val="bottom"/>
          </w:tcPr>
          <w:p w14:paraId="621334D8"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2.25</w:t>
            </w:r>
          </w:p>
        </w:tc>
      </w:tr>
      <w:tr w:rsidR="00502A11" w:rsidRPr="00A2572F" w14:paraId="541425E4" w14:textId="77777777" w:rsidTr="00817833">
        <w:tc>
          <w:tcPr>
            <w:tcW w:w="1560" w:type="dxa"/>
            <w:vMerge/>
          </w:tcPr>
          <w:p w14:paraId="2B2E35CC" w14:textId="77777777" w:rsidR="00502A11" w:rsidRPr="00AB59C5" w:rsidRDefault="00502A11" w:rsidP="00817833">
            <w:pPr>
              <w:jc w:val="left"/>
              <w:rPr>
                <w:rStyle w:val="IntenseReference"/>
                <w:rFonts w:eastAsiaTheme="minorHAnsi"/>
              </w:rPr>
            </w:pPr>
          </w:p>
        </w:tc>
        <w:tc>
          <w:tcPr>
            <w:tcW w:w="1556" w:type="dxa"/>
            <w:vMerge w:val="restart"/>
            <w:vAlign w:val="center"/>
          </w:tcPr>
          <w:p w14:paraId="26D28D1B" w14:textId="77777777" w:rsidR="00502A11" w:rsidRPr="00AB59C5" w:rsidRDefault="00502A11" w:rsidP="00817833">
            <w:pPr>
              <w:jc w:val="center"/>
              <w:rPr>
                <w:rStyle w:val="IntenseReference"/>
                <w:rFonts w:eastAsiaTheme="minorHAnsi"/>
              </w:rPr>
            </w:pPr>
            <w:r w:rsidRPr="00AB59C5">
              <w:rPr>
                <w:rStyle w:val="IntenseReference"/>
                <w:rFonts w:eastAsiaTheme="minorHAnsi"/>
              </w:rPr>
              <w:t>Johnstone</w:t>
            </w:r>
          </w:p>
          <w:p w14:paraId="767C0EE9" w14:textId="77777777" w:rsidR="00502A11" w:rsidRPr="00AB59C5" w:rsidRDefault="00502A11" w:rsidP="00817833">
            <w:pPr>
              <w:jc w:val="center"/>
              <w:rPr>
                <w:rStyle w:val="IntenseReference"/>
                <w:rFonts w:eastAsiaTheme="minorHAnsi"/>
              </w:rPr>
            </w:pPr>
            <w:r w:rsidRPr="00AB59C5">
              <w:rPr>
                <w:rStyle w:val="IntenseReference"/>
                <w:rFonts w:eastAsiaTheme="minorHAnsi"/>
              </w:rPr>
              <w:t>Russell</w:t>
            </w:r>
          </w:p>
          <w:p w14:paraId="1054F323" w14:textId="77777777" w:rsidR="00502A11" w:rsidRPr="00AB59C5" w:rsidRDefault="00502A11" w:rsidP="00817833">
            <w:pPr>
              <w:jc w:val="center"/>
              <w:rPr>
                <w:rStyle w:val="IntenseReference"/>
                <w:rFonts w:eastAsiaTheme="minorHAnsi"/>
              </w:rPr>
            </w:pPr>
            <w:r w:rsidRPr="00AB59C5">
              <w:rPr>
                <w:rStyle w:val="IntenseReference"/>
                <w:rFonts w:eastAsiaTheme="minorHAnsi"/>
              </w:rPr>
              <w:t>Mulgrave</w:t>
            </w:r>
          </w:p>
        </w:tc>
        <w:tc>
          <w:tcPr>
            <w:tcW w:w="2260" w:type="dxa"/>
            <w:vMerge w:val="restart"/>
            <w:vAlign w:val="center"/>
          </w:tcPr>
          <w:p w14:paraId="26004E2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Fitzroy East</w:t>
            </w:r>
          </w:p>
        </w:tc>
        <w:tc>
          <w:tcPr>
            <w:tcW w:w="991" w:type="dxa"/>
          </w:tcPr>
          <w:p w14:paraId="74C3BA42"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13CD72B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0.05</w:t>
            </w:r>
          </w:p>
        </w:tc>
        <w:tc>
          <w:tcPr>
            <w:tcW w:w="1617" w:type="dxa"/>
            <w:shd w:val="clear" w:color="auto" w:fill="auto"/>
            <w:vAlign w:val="bottom"/>
          </w:tcPr>
          <w:p w14:paraId="4BB75A68" w14:textId="77777777" w:rsidR="00502A11" w:rsidRPr="00AB59C5" w:rsidRDefault="00502A11" w:rsidP="00817833">
            <w:pPr>
              <w:jc w:val="center"/>
              <w:rPr>
                <w:rStyle w:val="IntenseReference"/>
                <w:rFonts w:eastAsiaTheme="minorHAnsi"/>
              </w:rPr>
            </w:pPr>
            <w:r w:rsidRPr="00AB59C5">
              <w:rPr>
                <w:rStyle w:val="IntenseReference"/>
                <w:rFonts w:eastAsiaTheme="minorHAnsi"/>
              </w:rPr>
              <w:t>12.69 *</w:t>
            </w:r>
          </w:p>
        </w:tc>
      </w:tr>
      <w:tr w:rsidR="00502A11" w:rsidRPr="00A2572F" w14:paraId="7640D144" w14:textId="77777777" w:rsidTr="00817833">
        <w:tc>
          <w:tcPr>
            <w:tcW w:w="1560" w:type="dxa"/>
            <w:vMerge/>
          </w:tcPr>
          <w:p w14:paraId="23FE7B10" w14:textId="77777777" w:rsidR="00502A11" w:rsidRPr="00AB59C5" w:rsidRDefault="00502A11" w:rsidP="00817833">
            <w:pPr>
              <w:jc w:val="left"/>
              <w:rPr>
                <w:rStyle w:val="IntenseReference"/>
                <w:rFonts w:eastAsiaTheme="minorHAnsi"/>
              </w:rPr>
            </w:pPr>
          </w:p>
        </w:tc>
        <w:tc>
          <w:tcPr>
            <w:tcW w:w="1556" w:type="dxa"/>
            <w:vMerge/>
            <w:vAlign w:val="center"/>
          </w:tcPr>
          <w:p w14:paraId="74C3E97B" w14:textId="77777777" w:rsidR="00502A11" w:rsidRPr="00AB59C5" w:rsidRDefault="00502A11" w:rsidP="00817833">
            <w:pPr>
              <w:jc w:val="center"/>
              <w:rPr>
                <w:rStyle w:val="IntenseReference"/>
                <w:rFonts w:eastAsiaTheme="minorHAnsi"/>
              </w:rPr>
            </w:pPr>
          </w:p>
        </w:tc>
        <w:tc>
          <w:tcPr>
            <w:tcW w:w="2260" w:type="dxa"/>
            <w:vMerge/>
          </w:tcPr>
          <w:p w14:paraId="1AE0F744" w14:textId="77777777" w:rsidR="00502A11" w:rsidRPr="00AB59C5" w:rsidRDefault="00502A11" w:rsidP="00817833">
            <w:pPr>
              <w:jc w:val="left"/>
              <w:rPr>
                <w:rStyle w:val="IntenseReference"/>
                <w:rFonts w:eastAsiaTheme="minorHAnsi"/>
              </w:rPr>
            </w:pPr>
          </w:p>
        </w:tc>
        <w:tc>
          <w:tcPr>
            <w:tcW w:w="991" w:type="dxa"/>
          </w:tcPr>
          <w:p w14:paraId="437AAE9D"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54899EBE"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0.2</w:t>
            </w:r>
          </w:p>
        </w:tc>
        <w:tc>
          <w:tcPr>
            <w:tcW w:w="1617" w:type="dxa"/>
            <w:shd w:val="clear" w:color="auto" w:fill="auto"/>
            <w:vAlign w:val="bottom"/>
          </w:tcPr>
          <w:p w14:paraId="3E9BB378" w14:textId="358BEFF7"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9.88 *</w:t>
            </w:r>
          </w:p>
        </w:tc>
      </w:tr>
      <w:tr w:rsidR="00502A11" w:rsidRPr="00A2572F" w14:paraId="280F20E1" w14:textId="77777777" w:rsidTr="00817833">
        <w:tc>
          <w:tcPr>
            <w:tcW w:w="1560" w:type="dxa"/>
            <w:vMerge/>
          </w:tcPr>
          <w:p w14:paraId="2FA91344" w14:textId="77777777" w:rsidR="00502A11" w:rsidRPr="00AB59C5" w:rsidRDefault="00502A11" w:rsidP="00817833">
            <w:pPr>
              <w:jc w:val="left"/>
              <w:rPr>
                <w:rStyle w:val="IntenseReference"/>
                <w:rFonts w:eastAsiaTheme="minorHAnsi"/>
              </w:rPr>
            </w:pPr>
          </w:p>
        </w:tc>
        <w:tc>
          <w:tcPr>
            <w:tcW w:w="1556" w:type="dxa"/>
            <w:vMerge/>
          </w:tcPr>
          <w:p w14:paraId="0454F165" w14:textId="77777777" w:rsidR="00502A11" w:rsidRPr="00AB59C5" w:rsidRDefault="00502A11" w:rsidP="00817833">
            <w:pPr>
              <w:jc w:val="left"/>
              <w:rPr>
                <w:rStyle w:val="IntenseReference"/>
                <w:rFonts w:eastAsiaTheme="minorHAnsi"/>
              </w:rPr>
            </w:pPr>
          </w:p>
        </w:tc>
        <w:tc>
          <w:tcPr>
            <w:tcW w:w="2260" w:type="dxa"/>
            <w:vMerge w:val="restart"/>
            <w:vAlign w:val="center"/>
          </w:tcPr>
          <w:p w14:paraId="49BD736D" w14:textId="77777777" w:rsidR="00502A11" w:rsidRPr="00AB59C5" w:rsidRDefault="00502A11" w:rsidP="00817833">
            <w:pPr>
              <w:jc w:val="center"/>
              <w:rPr>
                <w:rStyle w:val="IntenseReference"/>
                <w:rFonts w:eastAsiaTheme="minorHAnsi"/>
              </w:rPr>
            </w:pPr>
            <w:r w:rsidRPr="00AB59C5">
              <w:rPr>
                <w:rStyle w:val="IntenseReference"/>
                <w:rFonts w:eastAsiaTheme="minorHAnsi"/>
              </w:rPr>
              <w:t>Fitzroy West</w:t>
            </w:r>
          </w:p>
        </w:tc>
        <w:tc>
          <w:tcPr>
            <w:tcW w:w="991" w:type="dxa"/>
          </w:tcPr>
          <w:p w14:paraId="0401FE3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5B82EAE8"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tc>
        <w:tc>
          <w:tcPr>
            <w:tcW w:w="1617" w:type="dxa"/>
            <w:shd w:val="clear" w:color="auto" w:fill="auto"/>
            <w:vAlign w:val="bottom"/>
          </w:tcPr>
          <w:p w14:paraId="487ABF71"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2.19</w:t>
            </w:r>
          </w:p>
        </w:tc>
      </w:tr>
      <w:tr w:rsidR="00502A11" w:rsidRPr="00A2572F" w14:paraId="2DBCB749" w14:textId="77777777" w:rsidTr="00817833">
        <w:tc>
          <w:tcPr>
            <w:tcW w:w="1560" w:type="dxa"/>
            <w:vMerge/>
          </w:tcPr>
          <w:p w14:paraId="676D0E82" w14:textId="77777777" w:rsidR="00502A11" w:rsidRPr="00AB59C5" w:rsidRDefault="00502A11" w:rsidP="00817833">
            <w:pPr>
              <w:jc w:val="left"/>
              <w:rPr>
                <w:rStyle w:val="IntenseReference"/>
                <w:rFonts w:eastAsiaTheme="minorHAnsi"/>
              </w:rPr>
            </w:pPr>
          </w:p>
        </w:tc>
        <w:tc>
          <w:tcPr>
            <w:tcW w:w="1556" w:type="dxa"/>
            <w:vMerge/>
          </w:tcPr>
          <w:p w14:paraId="5DD288F6" w14:textId="77777777" w:rsidR="00502A11" w:rsidRPr="00AB59C5" w:rsidRDefault="00502A11" w:rsidP="00817833">
            <w:pPr>
              <w:jc w:val="left"/>
              <w:rPr>
                <w:rStyle w:val="IntenseReference"/>
                <w:rFonts w:eastAsiaTheme="minorHAnsi"/>
              </w:rPr>
            </w:pPr>
          </w:p>
        </w:tc>
        <w:tc>
          <w:tcPr>
            <w:tcW w:w="2260" w:type="dxa"/>
            <w:vMerge/>
          </w:tcPr>
          <w:p w14:paraId="70DD293E" w14:textId="77777777" w:rsidR="00502A11" w:rsidRPr="00AB59C5" w:rsidRDefault="00502A11" w:rsidP="00817833">
            <w:pPr>
              <w:jc w:val="left"/>
              <w:rPr>
                <w:rStyle w:val="IntenseReference"/>
                <w:rFonts w:eastAsiaTheme="minorHAnsi"/>
              </w:rPr>
            </w:pPr>
          </w:p>
        </w:tc>
        <w:tc>
          <w:tcPr>
            <w:tcW w:w="991" w:type="dxa"/>
          </w:tcPr>
          <w:p w14:paraId="6F843498"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3DE29BD6"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0.05</w:t>
            </w:r>
          </w:p>
        </w:tc>
        <w:tc>
          <w:tcPr>
            <w:tcW w:w="1617" w:type="dxa"/>
            <w:shd w:val="clear" w:color="auto" w:fill="auto"/>
            <w:vAlign w:val="bottom"/>
          </w:tcPr>
          <w:p w14:paraId="39813AE2"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2.63</w:t>
            </w:r>
          </w:p>
        </w:tc>
      </w:tr>
      <w:tr w:rsidR="00502A11" w:rsidRPr="00A2572F" w14:paraId="6BFEEB52" w14:textId="77777777" w:rsidTr="00817833">
        <w:tc>
          <w:tcPr>
            <w:tcW w:w="1560" w:type="dxa"/>
            <w:vMerge/>
          </w:tcPr>
          <w:p w14:paraId="3BD0346D" w14:textId="77777777" w:rsidR="00502A11" w:rsidRPr="00AB59C5" w:rsidRDefault="00502A11" w:rsidP="00817833">
            <w:pPr>
              <w:jc w:val="left"/>
              <w:rPr>
                <w:rStyle w:val="IntenseReference"/>
                <w:rFonts w:eastAsiaTheme="minorHAnsi"/>
              </w:rPr>
            </w:pPr>
          </w:p>
        </w:tc>
        <w:tc>
          <w:tcPr>
            <w:tcW w:w="1556" w:type="dxa"/>
            <w:vMerge/>
          </w:tcPr>
          <w:p w14:paraId="3D780952" w14:textId="77777777" w:rsidR="00502A11" w:rsidRPr="00AB59C5" w:rsidRDefault="00502A11" w:rsidP="00817833">
            <w:pPr>
              <w:jc w:val="left"/>
              <w:rPr>
                <w:rStyle w:val="IntenseReference"/>
                <w:rFonts w:eastAsiaTheme="minorHAnsi"/>
              </w:rPr>
            </w:pPr>
          </w:p>
        </w:tc>
        <w:tc>
          <w:tcPr>
            <w:tcW w:w="2260" w:type="dxa"/>
            <w:vMerge w:val="restart"/>
            <w:vAlign w:val="center"/>
          </w:tcPr>
          <w:p w14:paraId="410A72D2" w14:textId="77777777" w:rsidR="00502A11" w:rsidRPr="00AB59C5" w:rsidRDefault="00502A11" w:rsidP="00817833">
            <w:pPr>
              <w:jc w:val="center"/>
              <w:rPr>
                <w:rStyle w:val="IntenseReference"/>
                <w:rFonts w:eastAsiaTheme="minorHAnsi"/>
              </w:rPr>
            </w:pPr>
            <w:r w:rsidRPr="00AB59C5">
              <w:rPr>
                <w:rStyle w:val="IntenseReference"/>
                <w:rFonts w:eastAsiaTheme="minorHAnsi"/>
              </w:rPr>
              <w:t>High East</w:t>
            </w:r>
          </w:p>
        </w:tc>
        <w:tc>
          <w:tcPr>
            <w:tcW w:w="991" w:type="dxa"/>
          </w:tcPr>
          <w:p w14:paraId="48E3A892"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60C6D16A"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0.05</w:t>
            </w:r>
          </w:p>
        </w:tc>
        <w:tc>
          <w:tcPr>
            <w:tcW w:w="1617" w:type="dxa"/>
            <w:shd w:val="clear" w:color="auto" w:fill="auto"/>
            <w:vAlign w:val="bottom"/>
          </w:tcPr>
          <w:p w14:paraId="465CAA52" w14:textId="77777777" w:rsidR="00502A11" w:rsidRPr="00AB59C5" w:rsidRDefault="00502A11" w:rsidP="00817833">
            <w:pPr>
              <w:jc w:val="center"/>
              <w:rPr>
                <w:rStyle w:val="IntenseReference"/>
                <w:rFonts w:eastAsiaTheme="minorHAnsi"/>
              </w:rPr>
            </w:pPr>
            <w:r w:rsidRPr="00AB59C5">
              <w:rPr>
                <w:rStyle w:val="IntenseReference"/>
                <w:rFonts w:eastAsiaTheme="minorHAnsi"/>
              </w:rPr>
              <w:t>12.15</w:t>
            </w:r>
          </w:p>
        </w:tc>
      </w:tr>
      <w:tr w:rsidR="00502A11" w:rsidRPr="00A2572F" w14:paraId="51A98E95" w14:textId="77777777" w:rsidTr="00817833">
        <w:tc>
          <w:tcPr>
            <w:tcW w:w="1560" w:type="dxa"/>
            <w:vMerge/>
          </w:tcPr>
          <w:p w14:paraId="2D969955" w14:textId="77777777" w:rsidR="00502A11" w:rsidRPr="00AB59C5" w:rsidRDefault="00502A11" w:rsidP="00817833">
            <w:pPr>
              <w:jc w:val="left"/>
              <w:rPr>
                <w:rStyle w:val="IntenseReference"/>
                <w:rFonts w:eastAsiaTheme="minorHAnsi"/>
              </w:rPr>
            </w:pPr>
          </w:p>
        </w:tc>
        <w:tc>
          <w:tcPr>
            <w:tcW w:w="1556" w:type="dxa"/>
            <w:vMerge/>
          </w:tcPr>
          <w:p w14:paraId="05852521" w14:textId="77777777" w:rsidR="00502A11" w:rsidRPr="00AB59C5" w:rsidRDefault="00502A11" w:rsidP="00817833">
            <w:pPr>
              <w:jc w:val="left"/>
              <w:rPr>
                <w:rStyle w:val="IntenseReference"/>
                <w:rFonts w:eastAsiaTheme="minorHAnsi"/>
              </w:rPr>
            </w:pPr>
          </w:p>
        </w:tc>
        <w:tc>
          <w:tcPr>
            <w:tcW w:w="2260" w:type="dxa"/>
            <w:vMerge/>
          </w:tcPr>
          <w:p w14:paraId="5FEE0EE5" w14:textId="77777777" w:rsidR="00502A11" w:rsidRPr="00AB59C5" w:rsidRDefault="00502A11" w:rsidP="00817833">
            <w:pPr>
              <w:jc w:val="left"/>
              <w:rPr>
                <w:rStyle w:val="IntenseReference"/>
                <w:rFonts w:eastAsiaTheme="minorHAnsi"/>
              </w:rPr>
            </w:pPr>
          </w:p>
        </w:tc>
        <w:tc>
          <w:tcPr>
            <w:tcW w:w="991" w:type="dxa"/>
          </w:tcPr>
          <w:p w14:paraId="4ABE51F7"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025B445B"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0.05</w:t>
            </w:r>
          </w:p>
        </w:tc>
        <w:tc>
          <w:tcPr>
            <w:tcW w:w="1617" w:type="dxa"/>
            <w:shd w:val="clear" w:color="auto" w:fill="auto"/>
            <w:vAlign w:val="bottom"/>
          </w:tcPr>
          <w:p w14:paraId="0259FF73" w14:textId="77777777" w:rsidR="00502A11" w:rsidRPr="007C7CCD" w:rsidRDefault="00502A11" w:rsidP="00817833">
            <w:pPr>
              <w:jc w:val="center"/>
              <w:rPr>
                <w:rStyle w:val="IntenseReference"/>
                <w:rFonts w:eastAsiaTheme="minorHAnsi"/>
                <w:b/>
              </w:rPr>
            </w:pPr>
            <w:r w:rsidRPr="007C7CCD">
              <w:rPr>
                <w:rStyle w:val="IntenseReference"/>
                <w:rFonts w:eastAsiaTheme="minorHAnsi"/>
                <w:b/>
              </w:rPr>
              <w:t>-1.25</w:t>
            </w:r>
          </w:p>
        </w:tc>
      </w:tr>
      <w:tr w:rsidR="00502A11" w:rsidRPr="00A2572F" w14:paraId="0B0640F2" w14:textId="77777777" w:rsidTr="00817833">
        <w:tc>
          <w:tcPr>
            <w:tcW w:w="1560" w:type="dxa"/>
            <w:vMerge/>
          </w:tcPr>
          <w:p w14:paraId="70CFD69E" w14:textId="77777777" w:rsidR="00502A11" w:rsidRPr="00AB59C5" w:rsidRDefault="00502A11" w:rsidP="00817833">
            <w:pPr>
              <w:jc w:val="left"/>
              <w:rPr>
                <w:rStyle w:val="IntenseReference"/>
                <w:rFonts w:eastAsiaTheme="minorHAnsi"/>
              </w:rPr>
            </w:pPr>
          </w:p>
        </w:tc>
        <w:tc>
          <w:tcPr>
            <w:tcW w:w="1556" w:type="dxa"/>
            <w:vMerge/>
          </w:tcPr>
          <w:p w14:paraId="7069648E" w14:textId="77777777" w:rsidR="00502A11" w:rsidRPr="00AB59C5" w:rsidRDefault="00502A11" w:rsidP="00817833">
            <w:pPr>
              <w:jc w:val="left"/>
              <w:rPr>
                <w:rStyle w:val="IntenseReference"/>
                <w:rFonts w:eastAsiaTheme="minorHAnsi"/>
              </w:rPr>
            </w:pPr>
          </w:p>
        </w:tc>
        <w:tc>
          <w:tcPr>
            <w:tcW w:w="2260" w:type="dxa"/>
            <w:vMerge w:val="restart"/>
            <w:vAlign w:val="center"/>
          </w:tcPr>
          <w:p w14:paraId="164390DA" w14:textId="77777777" w:rsidR="00502A11" w:rsidRPr="00AB59C5" w:rsidRDefault="00502A11" w:rsidP="00817833">
            <w:pPr>
              <w:jc w:val="center"/>
              <w:rPr>
                <w:rStyle w:val="IntenseReference"/>
                <w:rFonts w:eastAsiaTheme="minorHAnsi"/>
              </w:rPr>
            </w:pPr>
            <w:r w:rsidRPr="00AB59C5">
              <w:rPr>
                <w:rStyle w:val="IntenseReference"/>
                <w:rFonts w:eastAsiaTheme="minorHAnsi"/>
              </w:rPr>
              <w:t>High West</w:t>
            </w:r>
          </w:p>
        </w:tc>
        <w:tc>
          <w:tcPr>
            <w:tcW w:w="991" w:type="dxa"/>
          </w:tcPr>
          <w:p w14:paraId="3918B903"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047E7C5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tc>
        <w:tc>
          <w:tcPr>
            <w:tcW w:w="1617" w:type="dxa"/>
            <w:shd w:val="clear" w:color="auto" w:fill="auto"/>
            <w:vAlign w:val="bottom"/>
          </w:tcPr>
          <w:p w14:paraId="0373C2D6" w14:textId="0A3252D3"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2.94 *</w:t>
            </w:r>
          </w:p>
        </w:tc>
      </w:tr>
      <w:tr w:rsidR="00502A11" w:rsidRPr="00A2572F" w14:paraId="5DEDE1E2" w14:textId="77777777" w:rsidTr="00817833">
        <w:tc>
          <w:tcPr>
            <w:tcW w:w="1560" w:type="dxa"/>
            <w:vMerge/>
          </w:tcPr>
          <w:p w14:paraId="09F6360B" w14:textId="77777777" w:rsidR="00502A11" w:rsidRPr="00AB59C5" w:rsidRDefault="00502A11" w:rsidP="00817833">
            <w:pPr>
              <w:jc w:val="left"/>
              <w:rPr>
                <w:rStyle w:val="IntenseReference"/>
                <w:rFonts w:eastAsiaTheme="minorHAnsi"/>
              </w:rPr>
            </w:pPr>
          </w:p>
        </w:tc>
        <w:tc>
          <w:tcPr>
            <w:tcW w:w="1556" w:type="dxa"/>
            <w:vMerge/>
          </w:tcPr>
          <w:p w14:paraId="45840B54" w14:textId="77777777" w:rsidR="00502A11" w:rsidRPr="00AB59C5" w:rsidRDefault="00502A11" w:rsidP="00817833">
            <w:pPr>
              <w:jc w:val="left"/>
              <w:rPr>
                <w:rStyle w:val="IntenseReference"/>
                <w:rFonts w:eastAsiaTheme="minorHAnsi"/>
              </w:rPr>
            </w:pPr>
          </w:p>
        </w:tc>
        <w:tc>
          <w:tcPr>
            <w:tcW w:w="2260" w:type="dxa"/>
            <w:vMerge/>
          </w:tcPr>
          <w:p w14:paraId="75B36C5B" w14:textId="77777777" w:rsidR="00502A11" w:rsidRPr="00AB59C5" w:rsidRDefault="00502A11" w:rsidP="00817833">
            <w:pPr>
              <w:jc w:val="left"/>
              <w:rPr>
                <w:rStyle w:val="IntenseReference"/>
                <w:rFonts w:eastAsiaTheme="minorHAnsi"/>
              </w:rPr>
            </w:pPr>
          </w:p>
        </w:tc>
        <w:tc>
          <w:tcPr>
            <w:tcW w:w="991" w:type="dxa"/>
          </w:tcPr>
          <w:p w14:paraId="7F50CCE6"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59D19ED8"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0.15</w:t>
            </w:r>
          </w:p>
        </w:tc>
        <w:tc>
          <w:tcPr>
            <w:tcW w:w="1617" w:type="dxa"/>
            <w:shd w:val="clear" w:color="auto" w:fill="auto"/>
            <w:vAlign w:val="bottom"/>
          </w:tcPr>
          <w:p w14:paraId="59C7B815" w14:textId="64193305"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7.29 *</w:t>
            </w:r>
          </w:p>
        </w:tc>
      </w:tr>
      <w:tr w:rsidR="00502A11" w:rsidRPr="00A2572F" w14:paraId="06009A59" w14:textId="77777777" w:rsidTr="00817833">
        <w:tc>
          <w:tcPr>
            <w:tcW w:w="1560" w:type="dxa"/>
            <w:vMerge/>
          </w:tcPr>
          <w:p w14:paraId="09FF764B" w14:textId="77777777" w:rsidR="00502A11" w:rsidRPr="00AB59C5" w:rsidRDefault="00502A11" w:rsidP="00817833">
            <w:pPr>
              <w:jc w:val="left"/>
              <w:rPr>
                <w:rStyle w:val="IntenseReference"/>
                <w:rFonts w:eastAsiaTheme="minorHAnsi"/>
              </w:rPr>
            </w:pPr>
          </w:p>
        </w:tc>
        <w:tc>
          <w:tcPr>
            <w:tcW w:w="1556" w:type="dxa"/>
            <w:vMerge/>
          </w:tcPr>
          <w:p w14:paraId="2869D0E6" w14:textId="77777777" w:rsidR="00502A11" w:rsidRPr="00AB59C5" w:rsidRDefault="00502A11" w:rsidP="00817833">
            <w:pPr>
              <w:jc w:val="left"/>
              <w:rPr>
                <w:rStyle w:val="IntenseReference"/>
                <w:rFonts w:eastAsiaTheme="minorHAnsi"/>
              </w:rPr>
            </w:pPr>
          </w:p>
        </w:tc>
        <w:tc>
          <w:tcPr>
            <w:tcW w:w="2260" w:type="dxa"/>
            <w:vMerge w:val="restart"/>
            <w:vAlign w:val="center"/>
          </w:tcPr>
          <w:p w14:paraId="7E7FBD2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Franklands East</w:t>
            </w:r>
          </w:p>
        </w:tc>
        <w:tc>
          <w:tcPr>
            <w:tcW w:w="991" w:type="dxa"/>
          </w:tcPr>
          <w:p w14:paraId="05876FF6"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37DEE33F"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tc>
        <w:tc>
          <w:tcPr>
            <w:tcW w:w="1617" w:type="dxa"/>
            <w:shd w:val="clear" w:color="auto" w:fill="auto"/>
            <w:vAlign w:val="bottom"/>
          </w:tcPr>
          <w:p w14:paraId="7CC0A82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8.31</w:t>
            </w:r>
          </w:p>
        </w:tc>
      </w:tr>
      <w:tr w:rsidR="00502A11" w:rsidRPr="00A2572F" w14:paraId="6DBA317E" w14:textId="77777777" w:rsidTr="00817833">
        <w:tc>
          <w:tcPr>
            <w:tcW w:w="1560" w:type="dxa"/>
            <w:vMerge/>
          </w:tcPr>
          <w:p w14:paraId="602DED45" w14:textId="77777777" w:rsidR="00502A11" w:rsidRPr="00AB59C5" w:rsidRDefault="00502A11" w:rsidP="00817833">
            <w:pPr>
              <w:jc w:val="left"/>
              <w:rPr>
                <w:rStyle w:val="IntenseReference"/>
                <w:rFonts w:eastAsiaTheme="minorHAnsi"/>
              </w:rPr>
            </w:pPr>
          </w:p>
        </w:tc>
        <w:tc>
          <w:tcPr>
            <w:tcW w:w="1556" w:type="dxa"/>
            <w:vMerge/>
          </w:tcPr>
          <w:p w14:paraId="5CF45EF5" w14:textId="77777777" w:rsidR="00502A11" w:rsidRPr="00AB59C5" w:rsidRDefault="00502A11" w:rsidP="00817833">
            <w:pPr>
              <w:jc w:val="left"/>
              <w:rPr>
                <w:rStyle w:val="IntenseReference"/>
                <w:rFonts w:eastAsiaTheme="minorHAnsi"/>
              </w:rPr>
            </w:pPr>
          </w:p>
        </w:tc>
        <w:tc>
          <w:tcPr>
            <w:tcW w:w="2260" w:type="dxa"/>
            <w:vMerge/>
          </w:tcPr>
          <w:p w14:paraId="25EBD69D" w14:textId="77777777" w:rsidR="00502A11" w:rsidRPr="00AB59C5" w:rsidRDefault="00502A11" w:rsidP="00817833">
            <w:pPr>
              <w:jc w:val="left"/>
              <w:rPr>
                <w:rStyle w:val="IntenseReference"/>
                <w:rFonts w:eastAsiaTheme="minorHAnsi"/>
              </w:rPr>
            </w:pPr>
          </w:p>
        </w:tc>
        <w:tc>
          <w:tcPr>
            <w:tcW w:w="991" w:type="dxa"/>
          </w:tcPr>
          <w:p w14:paraId="6395174E"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69ABF61B"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tc>
        <w:tc>
          <w:tcPr>
            <w:tcW w:w="1617" w:type="dxa"/>
            <w:shd w:val="clear" w:color="auto" w:fill="auto"/>
            <w:vAlign w:val="bottom"/>
          </w:tcPr>
          <w:p w14:paraId="050D63C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4.56</w:t>
            </w:r>
          </w:p>
        </w:tc>
      </w:tr>
      <w:tr w:rsidR="00502A11" w:rsidRPr="00A2572F" w14:paraId="4FA5FCE7" w14:textId="77777777" w:rsidTr="00817833">
        <w:tc>
          <w:tcPr>
            <w:tcW w:w="1560" w:type="dxa"/>
            <w:vMerge/>
          </w:tcPr>
          <w:p w14:paraId="1B09AB4F" w14:textId="77777777" w:rsidR="00502A11" w:rsidRPr="00AB59C5" w:rsidRDefault="00502A11" w:rsidP="00817833">
            <w:pPr>
              <w:jc w:val="left"/>
              <w:rPr>
                <w:rStyle w:val="IntenseReference"/>
                <w:rFonts w:eastAsiaTheme="minorHAnsi"/>
              </w:rPr>
            </w:pPr>
          </w:p>
        </w:tc>
        <w:tc>
          <w:tcPr>
            <w:tcW w:w="1556" w:type="dxa"/>
            <w:vMerge/>
          </w:tcPr>
          <w:p w14:paraId="5CFDA4FA" w14:textId="77777777" w:rsidR="00502A11" w:rsidRPr="00AB59C5" w:rsidRDefault="00502A11" w:rsidP="00817833">
            <w:pPr>
              <w:jc w:val="left"/>
              <w:rPr>
                <w:rStyle w:val="IntenseReference"/>
                <w:rFonts w:eastAsiaTheme="minorHAnsi"/>
              </w:rPr>
            </w:pPr>
          </w:p>
        </w:tc>
        <w:tc>
          <w:tcPr>
            <w:tcW w:w="2260" w:type="dxa"/>
            <w:vMerge w:val="restart"/>
            <w:vAlign w:val="center"/>
          </w:tcPr>
          <w:p w14:paraId="09AEFC44" w14:textId="77777777" w:rsidR="00502A11" w:rsidRPr="00AB59C5" w:rsidRDefault="00502A11" w:rsidP="00817833">
            <w:pPr>
              <w:jc w:val="center"/>
              <w:rPr>
                <w:rStyle w:val="IntenseReference"/>
                <w:rFonts w:eastAsiaTheme="minorHAnsi"/>
              </w:rPr>
            </w:pPr>
            <w:r w:rsidRPr="00AB59C5">
              <w:rPr>
                <w:rStyle w:val="IntenseReference"/>
                <w:rFonts w:eastAsiaTheme="minorHAnsi"/>
              </w:rPr>
              <w:t>Franklands West</w:t>
            </w:r>
          </w:p>
        </w:tc>
        <w:tc>
          <w:tcPr>
            <w:tcW w:w="991" w:type="dxa"/>
          </w:tcPr>
          <w:p w14:paraId="19107055"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26B2262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tc>
        <w:tc>
          <w:tcPr>
            <w:tcW w:w="1617" w:type="dxa"/>
            <w:shd w:val="clear" w:color="auto" w:fill="auto"/>
            <w:vAlign w:val="bottom"/>
          </w:tcPr>
          <w:p w14:paraId="1B6D6AC6" w14:textId="37BA6AF9"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9.09 *</w:t>
            </w:r>
          </w:p>
        </w:tc>
      </w:tr>
      <w:tr w:rsidR="00502A11" w:rsidRPr="00A2572F" w14:paraId="0A93A9B8" w14:textId="77777777" w:rsidTr="00817833">
        <w:tc>
          <w:tcPr>
            <w:tcW w:w="1560" w:type="dxa"/>
            <w:vMerge/>
          </w:tcPr>
          <w:p w14:paraId="2DE414FE" w14:textId="77777777" w:rsidR="00502A11" w:rsidRPr="00AB59C5" w:rsidRDefault="00502A11" w:rsidP="00817833">
            <w:pPr>
              <w:jc w:val="left"/>
              <w:rPr>
                <w:rStyle w:val="IntenseReference"/>
                <w:rFonts w:eastAsiaTheme="minorHAnsi"/>
              </w:rPr>
            </w:pPr>
          </w:p>
        </w:tc>
        <w:tc>
          <w:tcPr>
            <w:tcW w:w="1556" w:type="dxa"/>
            <w:vMerge/>
          </w:tcPr>
          <w:p w14:paraId="22061D68" w14:textId="77777777" w:rsidR="00502A11" w:rsidRPr="00AB59C5" w:rsidRDefault="00502A11" w:rsidP="00817833">
            <w:pPr>
              <w:jc w:val="left"/>
              <w:rPr>
                <w:rStyle w:val="IntenseReference"/>
                <w:rFonts w:eastAsiaTheme="minorHAnsi"/>
              </w:rPr>
            </w:pPr>
          </w:p>
        </w:tc>
        <w:tc>
          <w:tcPr>
            <w:tcW w:w="2260" w:type="dxa"/>
            <w:vMerge/>
          </w:tcPr>
          <w:p w14:paraId="5FA2DD0C" w14:textId="77777777" w:rsidR="00502A11" w:rsidRPr="00AB59C5" w:rsidRDefault="00502A11" w:rsidP="00817833">
            <w:pPr>
              <w:jc w:val="left"/>
              <w:rPr>
                <w:rStyle w:val="IntenseReference"/>
                <w:rFonts w:eastAsiaTheme="minorHAnsi"/>
              </w:rPr>
            </w:pPr>
          </w:p>
        </w:tc>
        <w:tc>
          <w:tcPr>
            <w:tcW w:w="991" w:type="dxa"/>
          </w:tcPr>
          <w:p w14:paraId="0606ED08"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52BFECF3"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tc>
        <w:tc>
          <w:tcPr>
            <w:tcW w:w="1617" w:type="dxa"/>
            <w:shd w:val="clear" w:color="auto" w:fill="auto"/>
            <w:vAlign w:val="bottom"/>
          </w:tcPr>
          <w:p w14:paraId="27F20417" w14:textId="77777777" w:rsidR="00502A11" w:rsidRPr="00AB59C5" w:rsidRDefault="00502A11" w:rsidP="00817833">
            <w:pPr>
              <w:jc w:val="center"/>
              <w:rPr>
                <w:rStyle w:val="IntenseReference"/>
                <w:rFonts w:eastAsiaTheme="minorHAnsi"/>
              </w:rPr>
            </w:pPr>
            <w:r w:rsidRPr="00AB59C5">
              <w:rPr>
                <w:rStyle w:val="IntenseReference"/>
                <w:rFonts w:eastAsiaTheme="minorHAnsi"/>
              </w:rPr>
              <w:t>15.87 *</w:t>
            </w:r>
          </w:p>
        </w:tc>
      </w:tr>
      <w:tr w:rsidR="00502A11" w:rsidRPr="00A2572F" w14:paraId="74FFBA93" w14:textId="77777777" w:rsidTr="00817833">
        <w:tc>
          <w:tcPr>
            <w:tcW w:w="1560" w:type="dxa"/>
            <w:vMerge/>
          </w:tcPr>
          <w:p w14:paraId="5DE2B6A2" w14:textId="77777777" w:rsidR="00502A11" w:rsidRPr="00AB59C5" w:rsidRDefault="00502A11" w:rsidP="00817833">
            <w:pPr>
              <w:jc w:val="left"/>
              <w:rPr>
                <w:rStyle w:val="IntenseReference"/>
                <w:rFonts w:eastAsiaTheme="minorHAnsi"/>
              </w:rPr>
            </w:pPr>
          </w:p>
        </w:tc>
        <w:tc>
          <w:tcPr>
            <w:tcW w:w="1556" w:type="dxa"/>
            <w:vMerge w:val="restart"/>
            <w:vAlign w:val="center"/>
          </w:tcPr>
          <w:p w14:paraId="5D8546EE" w14:textId="77777777" w:rsidR="00502A11" w:rsidRPr="00AB59C5" w:rsidRDefault="00502A11" w:rsidP="00817833">
            <w:pPr>
              <w:jc w:val="center"/>
              <w:rPr>
                <w:rStyle w:val="IntenseReference"/>
                <w:rFonts w:eastAsiaTheme="minorHAnsi"/>
              </w:rPr>
            </w:pPr>
            <w:r w:rsidRPr="00AB59C5">
              <w:rPr>
                <w:rStyle w:val="IntenseReference"/>
                <w:rFonts w:eastAsiaTheme="minorHAnsi"/>
              </w:rPr>
              <w:t>Herbert Tully</w:t>
            </w:r>
          </w:p>
        </w:tc>
        <w:tc>
          <w:tcPr>
            <w:tcW w:w="2260" w:type="dxa"/>
            <w:vMerge w:val="restart"/>
            <w:vAlign w:val="center"/>
          </w:tcPr>
          <w:p w14:paraId="5CFF0FBF" w14:textId="77777777" w:rsidR="00502A11" w:rsidRPr="00AB59C5" w:rsidRDefault="00502A11" w:rsidP="00817833">
            <w:pPr>
              <w:jc w:val="center"/>
              <w:rPr>
                <w:rStyle w:val="IntenseReference"/>
                <w:rFonts w:eastAsiaTheme="minorHAnsi"/>
              </w:rPr>
            </w:pPr>
            <w:r w:rsidRPr="00AB59C5">
              <w:rPr>
                <w:rStyle w:val="IntenseReference"/>
                <w:rFonts w:eastAsiaTheme="minorHAnsi"/>
              </w:rPr>
              <w:t>Dunk North</w:t>
            </w:r>
          </w:p>
        </w:tc>
        <w:tc>
          <w:tcPr>
            <w:tcW w:w="991" w:type="dxa"/>
          </w:tcPr>
          <w:p w14:paraId="400BF2D2"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256F335D"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0.05</w:t>
            </w:r>
          </w:p>
        </w:tc>
        <w:tc>
          <w:tcPr>
            <w:tcW w:w="1617" w:type="dxa"/>
            <w:shd w:val="clear" w:color="auto" w:fill="auto"/>
            <w:vAlign w:val="bottom"/>
          </w:tcPr>
          <w:p w14:paraId="36123ECB" w14:textId="66496FFC"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9.75 *</w:t>
            </w:r>
          </w:p>
        </w:tc>
      </w:tr>
      <w:tr w:rsidR="00502A11" w:rsidRPr="00A2572F" w14:paraId="6D3F1812" w14:textId="77777777" w:rsidTr="00817833">
        <w:tc>
          <w:tcPr>
            <w:tcW w:w="1560" w:type="dxa"/>
            <w:vMerge/>
          </w:tcPr>
          <w:p w14:paraId="11A58886" w14:textId="77777777" w:rsidR="00502A11" w:rsidRPr="00AB59C5" w:rsidRDefault="00502A11" w:rsidP="00817833">
            <w:pPr>
              <w:jc w:val="left"/>
              <w:rPr>
                <w:rStyle w:val="IntenseReference"/>
                <w:rFonts w:eastAsiaTheme="minorHAnsi"/>
              </w:rPr>
            </w:pPr>
          </w:p>
        </w:tc>
        <w:tc>
          <w:tcPr>
            <w:tcW w:w="1556" w:type="dxa"/>
            <w:vMerge/>
            <w:vAlign w:val="center"/>
          </w:tcPr>
          <w:p w14:paraId="16733E8B" w14:textId="77777777" w:rsidR="00502A11" w:rsidRPr="00AB59C5" w:rsidRDefault="00502A11" w:rsidP="00817833">
            <w:pPr>
              <w:jc w:val="center"/>
              <w:rPr>
                <w:rStyle w:val="IntenseReference"/>
                <w:rFonts w:eastAsiaTheme="minorHAnsi"/>
              </w:rPr>
            </w:pPr>
          </w:p>
        </w:tc>
        <w:tc>
          <w:tcPr>
            <w:tcW w:w="2260" w:type="dxa"/>
            <w:vMerge/>
          </w:tcPr>
          <w:p w14:paraId="5E33275F" w14:textId="77777777" w:rsidR="00502A11" w:rsidRPr="00AB59C5" w:rsidRDefault="00502A11" w:rsidP="00817833">
            <w:pPr>
              <w:jc w:val="left"/>
              <w:rPr>
                <w:rStyle w:val="IntenseReference"/>
                <w:rFonts w:eastAsiaTheme="minorHAnsi"/>
              </w:rPr>
            </w:pPr>
          </w:p>
        </w:tc>
        <w:tc>
          <w:tcPr>
            <w:tcW w:w="991" w:type="dxa"/>
          </w:tcPr>
          <w:p w14:paraId="6B7A4F49"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4E40935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tc>
        <w:tc>
          <w:tcPr>
            <w:tcW w:w="1617" w:type="dxa"/>
            <w:shd w:val="clear" w:color="auto" w:fill="auto"/>
            <w:vAlign w:val="bottom"/>
          </w:tcPr>
          <w:p w14:paraId="1E603E34" w14:textId="5CA91B1C"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7.12 *</w:t>
            </w:r>
          </w:p>
        </w:tc>
      </w:tr>
      <w:tr w:rsidR="00502A11" w:rsidRPr="00A2572F" w14:paraId="64FB348B" w14:textId="77777777" w:rsidTr="00817833">
        <w:tc>
          <w:tcPr>
            <w:tcW w:w="1560" w:type="dxa"/>
            <w:vMerge/>
          </w:tcPr>
          <w:p w14:paraId="288B59CF" w14:textId="77777777" w:rsidR="00502A11" w:rsidRPr="00AB59C5" w:rsidRDefault="00502A11" w:rsidP="00817833">
            <w:pPr>
              <w:jc w:val="left"/>
              <w:rPr>
                <w:rStyle w:val="IntenseReference"/>
                <w:rFonts w:eastAsiaTheme="minorHAnsi"/>
              </w:rPr>
            </w:pPr>
          </w:p>
        </w:tc>
        <w:tc>
          <w:tcPr>
            <w:tcW w:w="1556" w:type="dxa"/>
            <w:vMerge/>
          </w:tcPr>
          <w:p w14:paraId="05012A00" w14:textId="77777777" w:rsidR="00502A11" w:rsidRPr="00AB59C5" w:rsidRDefault="00502A11" w:rsidP="00817833">
            <w:pPr>
              <w:jc w:val="left"/>
              <w:rPr>
                <w:rStyle w:val="IntenseReference"/>
                <w:rFonts w:eastAsiaTheme="minorHAnsi"/>
              </w:rPr>
            </w:pPr>
          </w:p>
        </w:tc>
        <w:tc>
          <w:tcPr>
            <w:tcW w:w="2260" w:type="dxa"/>
            <w:vMerge w:val="restart"/>
            <w:vAlign w:val="center"/>
          </w:tcPr>
          <w:p w14:paraId="18B506A3" w14:textId="77777777" w:rsidR="00502A11" w:rsidRPr="00AB59C5" w:rsidRDefault="00502A11" w:rsidP="00817833">
            <w:pPr>
              <w:jc w:val="center"/>
              <w:rPr>
                <w:rStyle w:val="IntenseReference"/>
                <w:rFonts w:eastAsiaTheme="minorHAnsi"/>
              </w:rPr>
            </w:pPr>
            <w:r w:rsidRPr="00AB59C5">
              <w:rPr>
                <w:rStyle w:val="IntenseReference"/>
                <w:rFonts w:eastAsiaTheme="minorHAnsi"/>
              </w:rPr>
              <w:t>Dunk South</w:t>
            </w:r>
          </w:p>
        </w:tc>
        <w:tc>
          <w:tcPr>
            <w:tcW w:w="991" w:type="dxa"/>
          </w:tcPr>
          <w:p w14:paraId="73CC5D6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022714A1"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tc>
        <w:tc>
          <w:tcPr>
            <w:tcW w:w="1617" w:type="dxa"/>
            <w:shd w:val="clear" w:color="auto" w:fill="auto"/>
            <w:vAlign w:val="bottom"/>
          </w:tcPr>
          <w:p w14:paraId="304F1591" w14:textId="3AD7E46E"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7.14 *</w:t>
            </w:r>
          </w:p>
        </w:tc>
      </w:tr>
      <w:tr w:rsidR="00502A11" w:rsidRPr="00A2572F" w14:paraId="1CC811DB" w14:textId="77777777" w:rsidTr="00817833">
        <w:tc>
          <w:tcPr>
            <w:tcW w:w="1560" w:type="dxa"/>
            <w:vMerge/>
          </w:tcPr>
          <w:p w14:paraId="141B9350" w14:textId="77777777" w:rsidR="00502A11" w:rsidRPr="00AB59C5" w:rsidRDefault="00502A11" w:rsidP="00817833">
            <w:pPr>
              <w:jc w:val="left"/>
              <w:rPr>
                <w:rStyle w:val="IntenseReference"/>
                <w:rFonts w:eastAsiaTheme="minorHAnsi"/>
              </w:rPr>
            </w:pPr>
          </w:p>
        </w:tc>
        <w:tc>
          <w:tcPr>
            <w:tcW w:w="1556" w:type="dxa"/>
            <w:vMerge/>
          </w:tcPr>
          <w:p w14:paraId="00EF1D3D" w14:textId="77777777" w:rsidR="00502A11" w:rsidRPr="00AB59C5" w:rsidRDefault="00502A11" w:rsidP="00817833">
            <w:pPr>
              <w:jc w:val="left"/>
              <w:rPr>
                <w:rStyle w:val="IntenseReference"/>
                <w:rFonts w:eastAsiaTheme="minorHAnsi"/>
              </w:rPr>
            </w:pPr>
          </w:p>
        </w:tc>
        <w:tc>
          <w:tcPr>
            <w:tcW w:w="2260" w:type="dxa"/>
            <w:vMerge/>
          </w:tcPr>
          <w:p w14:paraId="704150F9" w14:textId="77777777" w:rsidR="00502A11" w:rsidRPr="00AB59C5" w:rsidRDefault="00502A11" w:rsidP="00817833">
            <w:pPr>
              <w:jc w:val="left"/>
              <w:rPr>
                <w:rStyle w:val="IntenseReference"/>
                <w:rFonts w:eastAsiaTheme="minorHAnsi"/>
              </w:rPr>
            </w:pPr>
          </w:p>
        </w:tc>
        <w:tc>
          <w:tcPr>
            <w:tcW w:w="991" w:type="dxa"/>
          </w:tcPr>
          <w:p w14:paraId="14CC59E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7EA25C51"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0.25</w:t>
            </w:r>
          </w:p>
        </w:tc>
        <w:tc>
          <w:tcPr>
            <w:tcW w:w="1617" w:type="dxa"/>
            <w:shd w:val="clear" w:color="auto" w:fill="auto"/>
            <w:vAlign w:val="bottom"/>
          </w:tcPr>
          <w:p w14:paraId="35BC885C" w14:textId="006484E0"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2.34 *</w:t>
            </w:r>
          </w:p>
        </w:tc>
      </w:tr>
      <w:tr w:rsidR="00502A11" w:rsidRPr="00A2572F" w14:paraId="1BB63836" w14:textId="77777777" w:rsidTr="00817833">
        <w:tc>
          <w:tcPr>
            <w:tcW w:w="1560" w:type="dxa"/>
            <w:vMerge/>
          </w:tcPr>
          <w:p w14:paraId="4261CFA2" w14:textId="77777777" w:rsidR="00502A11" w:rsidRPr="00AB59C5" w:rsidRDefault="00502A11" w:rsidP="00817833">
            <w:pPr>
              <w:jc w:val="left"/>
              <w:rPr>
                <w:rStyle w:val="IntenseReference"/>
                <w:rFonts w:eastAsiaTheme="minorHAnsi"/>
              </w:rPr>
            </w:pPr>
          </w:p>
        </w:tc>
        <w:tc>
          <w:tcPr>
            <w:tcW w:w="1556" w:type="dxa"/>
            <w:vMerge/>
          </w:tcPr>
          <w:p w14:paraId="3D6741DC" w14:textId="77777777" w:rsidR="00502A11" w:rsidRPr="00AB59C5" w:rsidRDefault="00502A11" w:rsidP="00817833">
            <w:pPr>
              <w:jc w:val="left"/>
              <w:rPr>
                <w:rStyle w:val="IntenseReference"/>
                <w:rFonts w:eastAsiaTheme="minorHAnsi"/>
              </w:rPr>
            </w:pPr>
          </w:p>
        </w:tc>
        <w:tc>
          <w:tcPr>
            <w:tcW w:w="2260" w:type="dxa"/>
            <w:vMerge w:val="restart"/>
            <w:vAlign w:val="center"/>
          </w:tcPr>
          <w:p w14:paraId="3D565DC1" w14:textId="77777777" w:rsidR="00502A11" w:rsidRPr="00AB59C5" w:rsidRDefault="00502A11" w:rsidP="00817833">
            <w:pPr>
              <w:jc w:val="center"/>
              <w:rPr>
                <w:rStyle w:val="IntenseReference"/>
                <w:rFonts w:eastAsiaTheme="minorHAnsi"/>
              </w:rPr>
            </w:pPr>
            <w:r w:rsidRPr="00AB59C5">
              <w:rPr>
                <w:rStyle w:val="IntenseReference"/>
                <w:rFonts w:eastAsiaTheme="minorHAnsi"/>
              </w:rPr>
              <w:t>Bedarra</w:t>
            </w:r>
          </w:p>
        </w:tc>
        <w:tc>
          <w:tcPr>
            <w:tcW w:w="991" w:type="dxa"/>
          </w:tcPr>
          <w:p w14:paraId="35577DDF"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788495C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0.1</w:t>
            </w:r>
          </w:p>
        </w:tc>
        <w:tc>
          <w:tcPr>
            <w:tcW w:w="1617" w:type="dxa"/>
            <w:shd w:val="clear" w:color="auto" w:fill="auto"/>
            <w:vAlign w:val="bottom"/>
          </w:tcPr>
          <w:p w14:paraId="11739F62" w14:textId="77777777" w:rsidR="00502A11" w:rsidRPr="007C7CCD" w:rsidRDefault="00502A11" w:rsidP="00817833">
            <w:pPr>
              <w:jc w:val="center"/>
              <w:rPr>
                <w:rStyle w:val="IntenseReference"/>
                <w:rFonts w:eastAsiaTheme="minorHAnsi"/>
                <w:b/>
              </w:rPr>
            </w:pPr>
            <w:r w:rsidRPr="007C7CCD">
              <w:rPr>
                <w:rStyle w:val="IntenseReference"/>
                <w:rFonts w:eastAsiaTheme="minorHAnsi"/>
                <w:b/>
              </w:rPr>
              <w:t>-0.69</w:t>
            </w:r>
          </w:p>
        </w:tc>
      </w:tr>
      <w:tr w:rsidR="00502A11" w:rsidRPr="00A2572F" w14:paraId="0872F071" w14:textId="77777777" w:rsidTr="00817833">
        <w:tc>
          <w:tcPr>
            <w:tcW w:w="1560" w:type="dxa"/>
            <w:vMerge/>
          </w:tcPr>
          <w:p w14:paraId="38973FA4" w14:textId="77777777" w:rsidR="00502A11" w:rsidRPr="00AB59C5" w:rsidRDefault="00502A11" w:rsidP="00817833">
            <w:pPr>
              <w:jc w:val="left"/>
              <w:rPr>
                <w:rStyle w:val="IntenseReference"/>
                <w:rFonts w:eastAsiaTheme="minorHAnsi"/>
              </w:rPr>
            </w:pPr>
          </w:p>
        </w:tc>
        <w:tc>
          <w:tcPr>
            <w:tcW w:w="1556" w:type="dxa"/>
            <w:vMerge/>
          </w:tcPr>
          <w:p w14:paraId="1D71501F" w14:textId="77777777" w:rsidR="00502A11" w:rsidRPr="00AB59C5" w:rsidRDefault="00502A11" w:rsidP="00817833">
            <w:pPr>
              <w:jc w:val="left"/>
              <w:rPr>
                <w:rStyle w:val="IntenseReference"/>
                <w:rFonts w:eastAsiaTheme="minorHAnsi"/>
              </w:rPr>
            </w:pPr>
          </w:p>
        </w:tc>
        <w:tc>
          <w:tcPr>
            <w:tcW w:w="2260" w:type="dxa"/>
            <w:vMerge/>
          </w:tcPr>
          <w:p w14:paraId="1F1B6B10" w14:textId="77777777" w:rsidR="00502A11" w:rsidRPr="00AB59C5" w:rsidRDefault="00502A11" w:rsidP="00817833">
            <w:pPr>
              <w:jc w:val="left"/>
              <w:rPr>
                <w:rStyle w:val="IntenseReference"/>
                <w:rFonts w:eastAsiaTheme="minorHAnsi"/>
              </w:rPr>
            </w:pPr>
          </w:p>
        </w:tc>
        <w:tc>
          <w:tcPr>
            <w:tcW w:w="991" w:type="dxa"/>
          </w:tcPr>
          <w:p w14:paraId="79E70852"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2F3724E1"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0.3</w:t>
            </w:r>
          </w:p>
        </w:tc>
        <w:tc>
          <w:tcPr>
            <w:tcW w:w="1617" w:type="dxa"/>
            <w:shd w:val="clear" w:color="auto" w:fill="auto"/>
            <w:vAlign w:val="bottom"/>
          </w:tcPr>
          <w:p w14:paraId="718EA593" w14:textId="77777777" w:rsidR="00502A11" w:rsidRPr="00AB59C5" w:rsidRDefault="00502A11" w:rsidP="00817833">
            <w:pPr>
              <w:jc w:val="center"/>
              <w:rPr>
                <w:rStyle w:val="IntenseReference"/>
                <w:rFonts w:eastAsiaTheme="minorHAnsi"/>
              </w:rPr>
            </w:pPr>
            <w:r w:rsidRPr="00AB59C5">
              <w:rPr>
                <w:rStyle w:val="IntenseReference"/>
                <w:rFonts w:eastAsiaTheme="minorHAnsi"/>
              </w:rPr>
              <w:t>3.13</w:t>
            </w:r>
          </w:p>
        </w:tc>
      </w:tr>
      <w:tr w:rsidR="00502A11" w:rsidRPr="00A2572F" w14:paraId="23EA7C23" w14:textId="77777777" w:rsidTr="00817833">
        <w:tc>
          <w:tcPr>
            <w:tcW w:w="1560" w:type="dxa"/>
            <w:vMerge w:val="restart"/>
            <w:textDirection w:val="btLr"/>
            <w:vAlign w:val="center"/>
          </w:tcPr>
          <w:p w14:paraId="3C7ED23A" w14:textId="77777777" w:rsidR="00502A11" w:rsidRPr="00AB59C5" w:rsidRDefault="00502A11" w:rsidP="00817833">
            <w:pPr>
              <w:ind w:left="113" w:right="113"/>
              <w:jc w:val="center"/>
              <w:rPr>
                <w:rStyle w:val="IntenseReference"/>
                <w:rFonts w:eastAsiaTheme="minorHAnsi"/>
              </w:rPr>
            </w:pPr>
          </w:p>
          <w:p w14:paraId="6853D73B" w14:textId="77777777" w:rsidR="00502A11" w:rsidRPr="00AB59C5" w:rsidRDefault="00502A11" w:rsidP="00817833">
            <w:pPr>
              <w:ind w:left="113" w:right="113"/>
              <w:jc w:val="center"/>
              <w:rPr>
                <w:rStyle w:val="IntenseReference"/>
                <w:rFonts w:eastAsiaTheme="minorHAnsi"/>
              </w:rPr>
            </w:pPr>
            <w:r w:rsidRPr="00AB59C5">
              <w:rPr>
                <w:rStyle w:val="IntenseReference"/>
                <w:rFonts w:eastAsiaTheme="minorHAnsi"/>
              </w:rPr>
              <w:t>Burdekin</w:t>
            </w:r>
          </w:p>
          <w:p w14:paraId="7374DC4E" w14:textId="77777777" w:rsidR="00502A11" w:rsidRPr="00AB59C5" w:rsidRDefault="00502A11" w:rsidP="00817833">
            <w:pPr>
              <w:ind w:left="113" w:right="113"/>
              <w:jc w:val="center"/>
              <w:rPr>
                <w:rStyle w:val="IntenseReference"/>
                <w:rFonts w:eastAsiaTheme="minorHAnsi"/>
              </w:rPr>
            </w:pPr>
          </w:p>
        </w:tc>
        <w:tc>
          <w:tcPr>
            <w:tcW w:w="1556" w:type="dxa"/>
            <w:vMerge w:val="restart"/>
            <w:vAlign w:val="center"/>
          </w:tcPr>
          <w:p w14:paraId="65348F6D" w14:textId="77777777" w:rsidR="00502A11" w:rsidRPr="00AB59C5" w:rsidRDefault="00502A11" w:rsidP="00817833">
            <w:pPr>
              <w:jc w:val="center"/>
              <w:rPr>
                <w:rStyle w:val="IntenseReference"/>
                <w:rFonts w:eastAsiaTheme="minorHAnsi"/>
              </w:rPr>
            </w:pPr>
            <w:r w:rsidRPr="00AB59C5">
              <w:rPr>
                <w:rStyle w:val="IntenseReference"/>
                <w:rFonts w:eastAsiaTheme="minorHAnsi"/>
              </w:rPr>
              <w:t>Burdekin</w:t>
            </w:r>
          </w:p>
        </w:tc>
        <w:tc>
          <w:tcPr>
            <w:tcW w:w="2260" w:type="dxa"/>
            <w:vMerge w:val="restart"/>
            <w:vAlign w:val="center"/>
          </w:tcPr>
          <w:p w14:paraId="2C6F227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Palms East</w:t>
            </w:r>
          </w:p>
        </w:tc>
        <w:tc>
          <w:tcPr>
            <w:tcW w:w="991" w:type="dxa"/>
          </w:tcPr>
          <w:p w14:paraId="3E88F45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271346D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0.15</w:t>
            </w:r>
          </w:p>
        </w:tc>
        <w:tc>
          <w:tcPr>
            <w:tcW w:w="1617" w:type="dxa"/>
            <w:shd w:val="clear" w:color="auto" w:fill="auto"/>
            <w:vAlign w:val="bottom"/>
          </w:tcPr>
          <w:p w14:paraId="299067CA" w14:textId="77777777" w:rsidR="00502A11" w:rsidRPr="00AB59C5" w:rsidRDefault="00502A11" w:rsidP="00817833">
            <w:pPr>
              <w:jc w:val="center"/>
              <w:rPr>
                <w:rStyle w:val="IntenseReference"/>
                <w:rFonts w:eastAsiaTheme="minorHAnsi"/>
              </w:rPr>
            </w:pPr>
            <w:r w:rsidRPr="00AB59C5">
              <w:rPr>
                <w:rStyle w:val="IntenseReference"/>
                <w:rFonts w:eastAsiaTheme="minorHAnsi"/>
              </w:rPr>
              <w:t>12.19</w:t>
            </w:r>
          </w:p>
        </w:tc>
      </w:tr>
      <w:tr w:rsidR="00502A11" w:rsidRPr="00A2572F" w14:paraId="4305AF00" w14:textId="77777777" w:rsidTr="00817833">
        <w:tc>
          <w:tcPr>
            <w:tcW w:w="1560" w:type="dxa"/>
            <w:vMerge/>
            <w:vAlign w:val="center"/>
          </w:tcPr>
          <w:p w14:paraId="75A916B0" w14:textId="77777777" w:rsidR="00502A11" w:rsidRPr="00AB59C5" w:rsidRDefault="00502A11" w:rsidP="00817833">
            <w:pPr>
              <w:jc w:val="center"/>
              <w:rPr>
                <w:rStyle w:val="IntenseReference"/>
                <w:rFonts w:eastAsiaTheme="minorHAnsi"/>
              </w:rPr>
            </w:pPr>
          </w:p>
        </w:tc>
        <w:tc>
          <w:tcPr>
            <w:tcW w:w="1556" w:type="dxa"/>
            <w:vMerge/>
            <w:vAlign w:val="center"/>
          </w:tcPr>
          <w:p w14:paraId="72D8652E" w14:textId="77777777" w:rsidR="00502A11" w:rsidRPr="00AB59C5" w:rsidRDefault="00502A11" w:rsidP="00817833">
            <w:pPr>
              <w:jc w:val="center"/>
              <w:rPr>
                <w:rStyle w:val="IntenseReference"/>
                <w:rFonts w:eastAsiaTheme="minorHAnsi"/>
              </w:rPr>
            </w:pPr>
          </w:p>
        </w:tc>
        <w:tc>
          <w:tcPr>
            <w:tcW w:w="2260" w:type="dxa"/>
            <w:vMerge/>
          </w:tcPr>
          <w:p w14:paraId="72AE90AA" w14:textId="77777777" w:rsidR="00502A11" w:rsidRPr="00AB59C5" w:rsidRDefault="00502A11" w:rsidP="00817833">
            <w:pPr>
              <w:jc w:val="left"/>
              <w:rPr>
                <w:rStyle w:val="IntenseReference"/>
                <w:rFonts w:eastAsiaTheme="minorHAnsi"/>
              </w:rPr>
            </w:pPr>
          </w:p>
        </w:tc>
        <w:tc>
          <w:tcPr>
            <w:tcW w:w="991" w:type="dxa"/>
          </w:tcPr>
          <w:p w14:paraId="2DF0CCCF"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09EDEF34"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0.25</w:t>
            </w:r>
          </w:p>
        </w:tc>
        <w:tc>
          <w:tcPr>
            <w:tcW w:w="1617" w:type="dxa"/>
            <w:shd w:val="clear" w:color="auto" w:fill="auto"/>
            <w:vAlign w:val="bottom"/>
          </w:tcPr>
          <w:p w14:paraId="07FE54BE" w14:textId="77777777" w:rsidR="00502A11" w:rsidRPr="00AB59C5" w:rsidRDefault="00502A11" w:rsidP="00817833">
            <w:pPr>
              <w:jc w:val="center"/>
              <w:rPr>
                <w:rStyle w:val="IntenseReference"/>
                <w:rFonts w:eastAsiaTheme="minorHAnsi"/>
              </w:rPr>
            </w:pPr>
            <w:r w:rsidRPr="00AB59C5">
              <w:rPr>
                <w:rStyle w:val="IntenseReference"/>
                <w:rFonts w:eastAsiaTheme="minorHAnsi"/>
              </w:rPr>
              <w:t>8.06</w:t>
            </w:r>
          </w:p>
        </w:tc>
      </w:tr>
      <w:tr w:rsidR="00502A11" w:rsidRPr="00A2572F" w14:paraId="7DAB652F" w14:textId="77777777" w:rsidTr="00817833">
        <w:tc>
          <w:tcPr>
            <w:tcW w:w="1560" w:type="dxa"/>
            <w:vMerge/>
          </w:tcPr>
          <w:p w14:paraId="4C1772C2" w14:textId="77777777" w:rsidR="00502A11" w:rsidRPr="00AB59C5" w:rsidRDefault="00502A11" w:rsidP="00817833">
            <w:pPr>
              <w:jc w:val="left"/>
              <w:rPr>
                <w:rStyle w:val="IntenseReference"/>
                <w:rFonts w:eastAsiaTheme="minorHAnsi"/>
              </w:rPr>
            </w:pPr>
          </w:p>
        </w:tc>
        <w:tc>
          <w:tcPr>
            <w:tcW w:w="1556" w:type="dxa"/>
            <w:vMerge/>
          </w:tcPr>
          <w:p w14:paraId="3A9A5B90" w14:textId="77777777" w:rsidR="00502A11" w:rsidRPr="00AB59C5" w:rsidRDefault="00502A11" w:rsidP="00817833">
            <w:pPr>
              <w:jc w:val="left"/>
              <w:rPr>
                <w:rStyle w:val="IntenseReference"/>
                <w:rFonts w:eastAsiaTheme="minorHAnsi"/>
              </w:rPr>
            </w:pPr>
          </w:p>
        </w:tc>
        <w:tc>
          <w:tcPr>
            <w:tcW w:w="2260" w:type="dxa"/>
            <w:vMerge w:val="restart"/>
            <w:vAlign w:val="center"/>
          </w:tcPr>
          <w:p w14:paraId="4EB76A0B" w14:textId="77777777" w:rsidR="00502A11" w:rsidRPr="00AB59C5" w:rsidRDefault="00502A11" w:rsidP="00817833">
            <w:pPr>
              <w:jc w:val="center"/>
              <w:rPr>
                <w:rStyle w:val="IntenseReference"/>
                <w:rFonts w:eastAsiaTheme="minorHAnsi"/>
              </w:rPr>
            </w:pPr>
            <w:r w:rsidRPr="00AB59C5">
              <w:rPr>
                <w:rStyle w:val="IntenseReference"/>
                <w:rFonts w:eastAsiaTheme="minorHAnsi"/>
              </w:rPr>
              <w:t>Palms West</w:t>
            </w:r>
          </w:p>
        </w:tc>
        <w:tc>
          <w:tcPr>
            <w:tcW w:w="991" w:type="dxa"/>
          </w:tcPr>
          <w:p w14:paraId="6D6C13D1"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6641216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0.65</w:t>
            </w:r>
          </w:p>
        </w:tc>
        <w:tc>
          <w:tcPr>
            <w:tcW w:w="1617" w:type="dxa"/>
            <w:shd w:val="clear" w:color="auto" w:fill="auto"/>
            <w:vAlign w:val="bottom"/>
          </w:tcPr>
          <w:p w14:paraId="6BAA41CE" w14:textId="59A7928A"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 xml:space="preserve"> 1.88 *</w:t>
            </w:r>
          </w:p>
        </w:tc>
      </w:tr>
      <w:tr w:rsidR="00502A11" w:rsidRPr="00A2572F" w14:paraId="0AC3CE4E" w14:textId="77777777" w:rsidTr="00817833">
        <w:tc>
          <w:tcPr>
            <w:tcW w:w="1560" w:type="dxa"/>
            <w:vMerge/>
          </w:tcPr>
          <w:p w14:paraId="3355A4E6" w14:textId="77777777" w:rsidR="00502A11" w:rsidRPr="00AB59C5" w:rsidRDefault="00502A11" w:rsidP="00817833">
            <w:pPr>
              <w:jc w:val="left"/>
              <w:rPr>
                <w:rStyle w:val="IntenseReference"/>
                <w:rFonts w:eastAsiaTheme="minorHAnsi"/>
              </w:rPr>
            </w:pPr>
          </w:p>
        </w:tc>
        <w:tc>
          <w:tcPr>
            <w:tcW w:w="1556" w:type="dxa"/>
            <w:vMerge/>
          </w:tcPr>
          <w:p w14:paraId="77A3E9E3" w14:textId="77777777" w:rsidR="00502A11" w:rsidRPr="00AB59C5" w:rsidRDefault="00502A11" w:rsidP="00817833">
            <w:pPr>
              <w:jc w:val="left"/>
              <w:rPr>
                <w:rStyle w:val="IntenseReference"/>
                <w:rFonts w:eastAsiaTheme="minorHAnsi"/>
              </w:rPr>
            </w:pPr>
          </w:p>
        </w:tc>
        <w:tc>
          <w:tcPr>
            <w:tcW w:w="2260" w:type="dxa"/>
            <w:vMerge/>
          </w:tcPr>
          <w:p w14:paraId="66509D9A" w14:textId="77777777" w:rsidR="00502A11" w:rsidRPr="00AB59C5" w:rsidRDefault="00502A11" w:rsidP="00817833">
            <w:pPr>
              <w:jc w:val="left"/>
              <w:rPr>
                <w:rStyle w:val="IntenseReference"/>
                <w:rFonts w:eastAsiaTheme="minorHAnsi"/>
              </w:rPr>
            </w:pPr>
          </w:p>
        </w:tc>
        <w:tc>
          <w:tcPr>
            <w:tcW w:w="991" w:type="dxa"/>
          </w:tcPr>
          <w:p w14:paraId="3DBB0BC4"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4BBF2A7B" w14:textId="77777777" w:rsidR="00502A11" w:rsidRPr="00AB59C5" w:rsidRDefault="00502A11" w:rsidP="00817833">
            <w:pPr>
              <w:jc w:val="center"/>
              <w:rPr>
                <w:rStyle w:val="IntenseReference"/>
                <w:rFonts w:eastAsiaTheme="minorHAnsi"/>
              </w:rPr>
            </w:pPr>
            <w:r w:rsidRPr="00AB59C5">
              <w:rPr>
                <w:rStyle w:val="IntenseReference"/>
                <w:rFonts w:eastAsiaTheme="minorHAnsi"/>
              </w:rPr>
              <w:t>1.65</w:t>
            </w:r>
          </w:p>
        </w:tc>
        <w:tc>
          <w:tcPr>
            <w:tcW w:w="1617" w:type="dxa"/>
            <w:shd w:val="clear" w:color="auto" w:fill="auto"/>
            <w:vAlign w:val="bottom"/>
          </w:tcPr>
          <w:p w14:paraId="7FCD8713" w14:textId="7C3E32AD"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 xml:space="preserve"> 3.44 *</w:t>
            </w:r>
          </w:p>
        </w:tc>
      </w:tr>
      <w:tr w:rsidR="00502A11" w:rsidRPr="00A2572F" w14:paraId="3D14A800" w14:textId="77777777" w:rsidTr="00817833">
        <w:tc>
          <w:tcPr>
            <w:tcW w:w="1560" w:type="dxa"/>
            <w:vMerge/>
          </w:tcPr>
          <w:p w14:paraId="14CE371E" w14:textId="77777777" w:rsidR="00502A11" w:rsidRPr="00AB59C5" w:rsidRDefault="00502A11" w:rsidP="00817833">
            <w:pPr>
              <w:jc w:val="left"/>
              <w:rPr>
                <w:rStyle w:val="IntenseReference"/>
                <w:rFonts w:eastAsiaTheme="minorHAnsi"/>
              </w:rPr>
            </w:pPr>
          </w:p>
        </w:tc>
        <w:tc>
          <w:tcPr>
            <w:tcW w:w="1556" w:type="dxa"/>
            <w:vMerge/>
          </w:tcPr>
          <w:p w14:paraId="462536E4" w14:textId="77777777" w:rsidR="00502A11" w:rsidRPr="00AB59C5" w:rsidRDefault="00502A11" w:rsidP="00817833">
            <w:pPr>
              <w:jc w:val="left"/>
              <w:rPr>
                <w:rStyle w:val="IntenseReference"/>
                <w:rFonts w:eastAsiaTheme="minorHAnsi"/>
              </w:rPr>
            </w:pPr>
          </w:p>
        </w:tc>
        <w:tc>
          <w:tcPr>
            <w:tcW w:w="2260" w:type="dxa"/>
            <w:vMerge w:val="restart"/>
            <w:vAlign w:val="center"/>
          </w:tcPr>
          <w:p w14:paraId="1CB79D2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Lady Elliot</w:t>
            </w:r>
          </w:p>
        </w:tc>
        <w:tc>
          <w:tcPr>
            <w:tcW w:w="991" w:type="dxa"/>
          </w:tcPr>
          <w:p w14:paraId="4B13955D"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4955E83A"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0.15</w:t>
            </w:r>
          </w:p>
        </w:tc>
        <w:tc>
          <w:tcPr>
            <w:tcW w:w="1617" w:type="dxa"/>
            <w:shd w:val="clear" w:color="auto" w:fill="auto"/>
            <w:vAlign w:val="bottom"/>
          </w:tcPr>
          <w:p w14:paraId="7FBAD1EF" w14:textId="77777777" w:rsidR="00502A11" w:rsidRPr="00AB59C5" w:rsidRDefault="00502A11" w:rsidP="00817833">
            <w:pPr>
              <w:jc w:val="center"/>
              <w:rPr>
                <w:rStyle w:val="IntenseReference"/>
                <w:rFonts w:eastAsiaTheme="minorHAnsi"/>
              </w:rPr>
            </w:pPr>
            <w:r w:rsidRPr="00AB59C5">
              <w:rPr>
                <w:rStyle w:val="IntenseReference"/>
                <w:rFonts w:eastAsiaTheme="minorHAnsi"/>
              </w:rPr>
              <w:t xml:space="preserve"> 10.88 *</w:t>
            </w:r>
          </w:p>
        </w:tc>
      </w:tr>
      <w:tr w:rsidR="00502A11" w:rsidRPr="00A2572F" w14:paraId="2CDC15BE" w14:textId="77777777" w:rsidTr="00817833">
        <w:tc>
          <w:tcPr>
            <w:tcW w:w="1560" w:type="dxa"/>
            <w:vMerge/>
          </w:tcPr>
          <w:p w14:paraId="5C7DCA4F" w14:textId="77777777" w:rsidR="00502A11" w:rsidRPr="00AB59C5" w:rsidRDefault="00502A11" w:rsidP="00817833">
            <w:pPr>
              <w:jc w:val="left"/>
              <w:rPr>
                <w:rStyle w:val="IntenseReference"/>
                <w:rFonts w:eastAsiaTheme="minorHAnsi"/>
              </w:rPr>
            </w:pPr>
          </w:p>
        </w:tc>
        <w:tc>
          <w:tcPr>
            <w:tcW w:w="1556" w:type="dxa"/>
            <w:vMerge/>
          </w:tcPr>
          <w:p w14:paraId="60C72F62" w14:textId="77777777" w:rsidR="00502A11" w:rsidRPr="00AB59C5" w:rsidRDefault="00502A11" w:rsidP="00817833">
            <w:pPr>
              <w:jc w:val="left"/>
              <w:rPr>
                <w:rStyle w:val="IntenseReference"/>
                <w:rFonts w:eastAsiaTheme="minorHAnsi"/>
              </w:rPr>
            </w:pPr>
          </w:p>
        </w:tc>
        <w:tc>
          <w:tcPr>
            <w:tcW w:w="2260" w:type="dxa"/>
            <w:vMerge/>
          </w:tcPr>
          <w:p w14:paraId="5471B803" w14:textId="77777777" w:rsidR="00502A11" w:rsidRPr="00AB59C5" w:rsidRDefault="00502A11" w:rsidP="00817833">
            <w:pPr>
              <w:jc w:val="left"/>
              <w:rPr>
                <w:rStyle w:val="IntenseReference"/>
                <w:rFonts w:eastAsiaTheme="minorHAnsi"/>
              </w:rPr>
            </w:pPr>
          </w:p>
        </w:tc>
        <w:tc>
          <w:tcPr>
            <w:tcW w:w="991" w:type="dxa"/>
          </w:tcPr>
          <w:p w14:paraId="29AD3D22"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760F065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0.6</w:t>
            </w:r>
          </w:p>
        </w:tc>
        <w:tc>
          <w:tcPr>
            <w:tcW w:w="1617" w:type="dxa"/>
            <w:shd w:val="clear" w:color="auto" w:fill="auto"/>
            <w:vAlign w:val="bottom"/>
          </w:tcPr>
          <w:p w14:paraId="3973DC6D" w14:textId="27A7BDB5"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6.5 *</w:t>
            </w:r>
          </w:p>
        </w:tc>
      </w:tr>
      <w:tr w:rsidR="00502A11" w:rsidRPr="00A2572F" w14:paraId="53D4672E" w14:textId="77777777" w:rsidTr="00817833">
        <w:tc>
          <w:tcPr>
            <w:tcW w:w="1560" w:type="dxa"/>
            <w:vMerge/>
          </w:tcPr>
          <w:p w14:paraId="123AF331" w14:textId="77777777" w:rsidR="00502A11" w:rsidRPr="00AB59C5" w:rsidRDefault="00502A11" w:rsidP="00817833">
            <w:pPr>
              <w:jc w:val="left"/>
              <w:rPr>
                <w:rStyle w:val="IntenseReference"/>
                <w:rFonts w:eastAsiaTheme="minorHAnsi"/>
              </w:rPr>
            </w:pPr>
          </w:p>
        </w:tc>
        <w:tc>
          <w:tcPr>
            <w:tcW w:w="1556" w:type="dxa"/>
            <w:vMerge/>
          </w:tcPr>
          <w:p w14:paraId="7A90581E" w14:textId="77777777" w:rsidR="00502A11" w:rsidRPr="00AB59C5" w:rsidRDefault="00502A11" w:rsidP="00817833">
            <w:pPr>
              <w:jc w:val="left"/>
              <w:rPr>
                <w:rStyle w:val="IntenseReference"/>
                <w:rFonts w:eastAsiaTheme="minorHAnsi"/>
              </w:rPr>
            </w:pPr>
          </w:p>
        </w:tc>
        <w:tc>
          <w:tcPr>
            <w:tcW w:w="2260" w:type="dxa"/>
            <w:vMerge w:val="restart"/>
            <w:vAlign w:val="center"/>
          </w:tcPr>
          <w:p w14:paraId="0E917561" w14:textId="77777777" w:rsidR="00502A11" w:rsidRPr="00AB59C5" w:rsidRDefault="00502A11" w:rsidP="00817833">
            <w:pPr>
              <w:jc w:val="center"/>
              <w:rPr>
                <w:rStyle w:val="IntenseReference"/>
                <w:rFonts w:eastAsiaTheme="minorHAnsi"/>
              </w:rPr>
            </w:pPr>
            <w:r w:rsidRPr="00AB59C5">
              <w:rPr>
                <w:rStyle w:val="IntenseReference"/>
                <w:rFonts w:eastAsiaTheme="minorHAnsi"/>
              </w:rPr>
              <w:t>Pandora</w:t>
            </w:r>
          </w:p>
        </w:tc>
        <w:tc>
          <w:tcPr>
            <w:tcW w:w="991" w:type="dxa"/>
          </w:tcPr>
          <w:p w14:paraId="7D50D517"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210BBECE"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0.4</w:t>
            </w:r>
          </w:p>
        </w:tc>
        <w:tc>
          <w:tcPr>
            <w:tcW w:w="1617" w:type="dxa"/>
            <w:shd w:val="clear" w:color="auto" w:fill="auto"/>
            <w:vAlign w:val="bottom"/>
          </w:tcPr>
          <w:p w14:paraId="5AA3AA98" w14:textId="5ED7FCA2"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2.87 *</w:t>
            </w:r>
          </w:p>
        </w:tc>
      </w:tr>
      <w:tr w:rsidR="00502A11" w:rsidRPr="00A2572F" w14:paraId="3058E931" w14:textId="77777777" w:rsidTr="00817833">
        <w:tc>
          <w:tcPr>
            <w:tcW w:w="1560" w:type="dxa"/>
            <w:vMerge/>
          </w:tcPr>
          <w:p w14:paraId="16872103" w14:textId="77777777" w:rsidR="00502A11" w:rsidRPr="00AB59C5" w:rsidRDefault="00502A11" w:rsidP="00817833">
            <w:pPr>
              <w:jc w:val="left"/>
              <w:rPr>
                <w:rStyle w:val="IntenseReference"/>
                <w:rFonts w:eastAsiaTheme="minorHAnsi"/>
              </w:rPr>
            </w:pPr>
          </w:p>
        </w:tc>
        <w:tc>
          <w:tcPr>
            <w:tcW w:w="1556" w:type="dxa"/>
            <w:vMerge/>
          </w:tcPr>
          <w:p w14:paraId="590A26A3" w14:textId="77777777" w:rsidR="00502A11" w:rsidRPr="00AB59C5" w:rsidRDefault="00502A11" w:rsidP="00817833">
            <w:pPr>
              <w:jc w:val="left"/>
              <w:rPr>
                <w:rStyle w:val="IntenseReference"/>
                <w:rFonts w:eastAsiaTheme="minorHAnsi"/>
              </w:rPr>
            </w:pPr>
          </w:p>
        </w:tc>
        <w:tc>
          <w:tcPr>
            <w:tcW w:w="2260" w:type="dxa"/>
            <w:vMerge/>
          </w:tcPr>
          <w:p w14:paraId="75791E0B" w14:textId="77777777" w:rsidR="00502A11" w:rsidRPr="00AB59C5" w:rsidRDefault="00502A11" w:rsidP="00817833">
            <w:pPr>
              <w:jc w:val="left"/>
              <w:rPr>
                <w:rStyle w:val="IntenseReference"/>
                <w:rFonts w:eastAsiaTheme="minorHAnsi"/>
              </w:rPr>
            </w:pPr>
          </w:p>
        </w:tc>
        <w:tc>
          <w:tcPr>
            <w:tcW w:w="991" w:type="dxa"/>
          </w:tcPr>
          <w:p w14:paraId="42827C3D"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22E50DE6" w14:textId="77777777" w:rsidR="00502A11" w:rsidRPr="00AB59C5" w:rsidRDefault="00502A11" w:rsidP="00817833">
            <w:pPr>
              <w:jc w:val="center"/>
              <w:rPr>
                <w:rStyle w:val="IntenseReference"/>
                <w:rFonts w:eastAsiaTheme="minorHAnsi"/>
              </w:rPr>
            </w:pPr>
            <w:r w:rsidRPr="00AB59C5">
              <w:rPr>
                <w:rStyle w:val="IntenseReference"/>
                <w:rFonts w:eastAsiaTheme="minorHAnsi"/>
              </w:rPr>
              <w:t>1</w:t>
            </w:r>
          </w:p>
        </w:tc>
        <w:tc>
          <w:tcPr>
            <w:tcW w:w="1617" w:type="dxa"/>
            <w:shd w:val="clear" w:color="auto" w:fill="auto"/>
            <w:vAlign w:val="bottom"/>
          </w:tcPr>
          <w:p w14:paraId="4852ECF2" w14:textId="6D9CD619"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1.06 *</w:t>
            </w:r>
          </w:p>
        </w:tc>
      </w:tr>
      <w:tr w:rsidR="00502A11" w:rsidRPr="00A2572F" w14:paraId="6C89BF65" w14:textId="77777777" w:rsidTr="00817833">
        <w:tc>
          <w:tcPr>
            <w:tcW w:w="1560" w:type="dxa"/>
            <w:vMerge/>
          </w:tcPr>
          <w:p w14:paraId="5DF6B824" w14:textId="77777777" w:rsidR="00502A11" w:rsidRPr="00AB59C5" w:rsidRDefault="00502A11" w:rsidP="00817833">
            <w:pPr>
              <w:jc w:val="left"/>
              <w:rPr>
                <w:rStyle w:val="IntenseReference"/>
                <w:rFonts w:eastAsiaTheme="minorHAnsi"/>
              </w:rPr>
            </w:pPr>
          </w:p>
        </w:tc>
        <w:tc>
          <w:tcPr>
            <w:tcW w:w="1556" w:type="dxa"/>
            <w:vMerge/>
          </w:tcPr>
          <w:p w14:paraId="5D0337E2" w14:textId="77777777" w:rsidR="00502A11" w:rsidRPr="00AB59C5" w:rsidRDefault="00502A11" w:rsidP="00817833">
            <w:pPr>
              <w:jc w:val="left"/>
              <w:rPr>
                <w:rStyle w:val="IntenseReference"/>
                <w:rFonts w:eastAsiaTheme="minorHAnsi"/>
              </w:rPr>
            </w:pPr>
          </w:p>
        </w:tc>
        <w:tc>
          <w:tcPr>
            <w:tcW w:w="2260" w:type="dxa"/>
            <w:vMerge w:val="restart"/>
            <w:vAlign w:val="center"/>
          </w:tcPr>
          <w:p w14:paraId="5F83CE23" w14:textId="77777777" w:rsidR="00502A11" w:rsidRPr="00AB59C5" w:rsidRDefault="00502A11" w:rsidP="00817833">
            <w:pPr>
              <w:jc w:val="center"/>
              <w:rPr>
                <w:rStyle w:val="IntenseReference"/>
                <w:rFonts w:eastAsiaTheme="minorHAnsi"/>
              </w:rPr>
            </w:pPr>
            <w:r w:rsidRPr="00AB59C5">
              <w:rPr>
                <w:rStyle w:val="IntenseReference"/>
                <w:rFonts w:eastAsiaTheme="minorHAnsi"/>
              </w:rPr>
              <w:t>Havannah</w:t>
            </w:r>
          </w:p>
        </w:tc>
        <w:tc>
          <w:tcPr>
            <w:tcW w:w="991" w:type="dxa"/>
          </w:tcPr>
          <w:p w14:paraId="5E880A47"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23FF1F69"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0.35</w:t>
            </w:r>
          </w:p>
        </w:tc>
        <w:tc>
          <w:tcPr>
            <w:tcW w:w="1617" w:type="dxa"/>
            <w:shd w:val="clear" w:color="auto" w:fill="auto"/>
            <w:vAlign w:val="bottom"/>
          </w:tcPr>
          <w:p w14:paraId="0D64BBEA" w14:textId="77777777" w:rsidR="00502A11" w:rsidRPr="007C7CCD" w:rsidRDefault="00502A11" w:rsidP="00817833">
            <w:pPr>
              <w:jc w:val="center"/>
              <w:rPr>
                <w:rStyle w:val="IntenseReference"/>
                <w:rFonts w:eastAsiaTheme="minorHAnsi"/>
                <w:b/>
              </w:rPr>
            </w:pPr>
            <w:r w:rsidRPr="007C7CCD">
              <w:rPr>
                <w:rStyle w:val="IntenseReference"/>
                <w:rFonts w:eastAsiaTheme="minorHAnsi"/>
                <w:b/>
              </w:rPr>
              <w:t>-0.25</w:t>
            </w:r>
          </w:p>
        </w:tc>
      </w:tr>
      <w:tr w:rsidR="00502A11" w:rsidRPr="00A2572F" w14:paraId="47658B7F" w14:textId="77777777" w:rsidTr="00817833">
        <w:tc>
          <w:tcPr>
            <w:tcW w:w="1560" w:type="dxa"/>
            <w:vMerge/>
          </w:tcPr>
          <w:p w14:paraId="7B807927" w14:textId="77777777" w:rsidR="00502A11" w:rsidRPr="00AB59C5" w:rsidRDefault="00502A11" w:rsidP="00817833">
            <w:pPr>
              <w:jc w:val="left"/>
              <w:rPr>
                <w:rStyle w:val="IntenseReference"/>
                <w:rFonts w:eastAsiaTheme="minorHAnsi"/>
              </w:rPr>
            </w:pPr>
          </w:p>
        </w:tc>
        <w:tc>
          <w:tcPr>
            <w:tcW w:w="1556" w:type="dxa"/>
            <w:vMerge/>
          </w:tcPr>
          <w:p w14:paraId="0AB4C9ED" w14:textId="77777777" w:rsidR="00502A11" w:rsidRPr="00AB59C5" w:rsidRDefault="00502A11" w:rsidP="00817833">
            <w:pPr>
              <w:jc w:val="left"/>
              <w:rPr>
                <w:rStyle w:val="IntenseReference"/>
                <w:rFonts w:eastAsiaTheme="minorHAnsi"/>
              </w:rPr>
            </w:pPr>
          </w:p>
        </w:tc>
        <w:tc>
          <w:tcPr>
            <w:tcW w:w="2260" w:type="dxa"/>
            <w:vMerge/>
          </w:tcPr>
          <w:p w14:paraId="54B34D35" w14:textId="77777777" w:rsidR="00502A11" w:rsidRPr="00AB59C5" w:rsidRDefault="00502A11" w:rsidP="00817833">
            <w:pPr>
              <w:jc w:val="left"/>
              <w:rPr>
                <w:rStyle w:val="IntenseReference"/>
                <w:rFonts w:eastAsiaTheme="minorHAnsi"/>
              </w:rPr>
            </w:pPr>
          </w:p>
        </w:tc>
        <w:tc>
          <w:tcPr>
            <w:tcW w:w="991" w:type="dxa"/>
          </w:tcPr>
          <w:p w14:paraId="7DA5C85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5C047705"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617" w:type="dxa"/>
            <w:shd w:val="clear" w:color="auto" w:fill="auto"/>
            <w:vAlign w:val="bottom"/>
          </w:tcPr>
          <w:p w14:paraId="3256CF9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7.06</w:t>
            </w:r>
          </w:p>
        </w:tc>
      </w:tr>
      <w:tr w:rsidR="00502A11" w:rsidRPr="00A2572F" w14:paraId="2B1B8808" w14:textId="77777777" w:rsidTr="00817833">
        <w:tc>
          <w:tcPr>
            <w:tcW w:w="1560" w:type="dxa"/>
            <w:vMerge/>
          </w:tcPr>
          <w:p w14:paraId="1DA56C38" w14:textId="77777777" w:rsidR="00502A11" w:rsidRPr="00AB59C5" w:rsidRDefault="00502A11" w:rsidP="00817833">
            <w:pPr>
              <w:jc w:val="left"/>
              <w:rPr>
                <w:rStyle w:val="IntenseReference"/>
                <w:rFonts w:eastAsiaTheme="minorHAnsi"/>
              </w:rPr>
            </w:pPr>
          </w:p>
        </w:tc>
        <w:tc>
          <w:tcPr>
            <w:tcW w:w="1556" w:type="dxa"/>
            <w:vMerge/>
          </w:tcPr>
          <w:p w14:paraId="6E355517" w14:textId="77777777" w:rsidR="00502A11" w:rsidRPr="00AB59C5" w:rsidRDefault="00502A11" w:rsidP="00817833">
            <w:pPr>
              <w:jc w:val="left"/>
              <w:rPr>
                <w:rStyle w:val="IntenseReference"/>
                <w:rFonts w:eastAsiaTheme="minorHAnsi"/>
              </w:rPr>
            </w:pPr>
          </w:p>
        </w:tc>
        <w:tc>
          <w:tcPr>
            <w:tcW w:w="2260" w:type="dxa"/>
            <w:vMerge w:val="restart"/>
            <w:vAlign w:val="center"/>
          </w:tcPr>
          <w:p w14:paraId="0F0E4EC4" w14:textId="77777777" w:rsidR="00502A11" w:rsidRPr="00AB59C5" w:rsidRDefault="00502A11" w:rsidP="00817833">
            <w:pPr>
              <w:jc w:val="center"/>
              <w:rPr>
                <w:rStyle w:val="IntenseReference"/>
                <w:rFonts w:eastAsiaTheme="minorHAnsi"/>
              </w:rPr>
            </w:pPr>
            <w:r w:rsidRPr="00AB59C5">
              <w:rPr>
                <w:rStyle w:val="IntenseReference"/>
                <w:rFonts w:eastAsiaTheme="minorHAnsi"/>
              </w:rPr>
              <w:t>Magnetic</w:t>
            </w:r>
          </w:p>
        </w:tc>
        <w:tc>
          <w:tcPr>
            <w:tcW w:w="991" w:type="dxa"/>
          </w:tcPr>
          <w:p w14:paraId="32F06EF9"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4CDE2205"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0.35</w:t>
            </w:r>
          </w:p>
        </w:tc>
        <w:tc>
          <w:tcPr>
            <w:tcW w:w="1617" w:type="dxa"/>
            <w:shd w:val="clear" w:color="auto" w:fill="auto"/>
            <w:vAlign w:val="bottom"/>
          </w:tcPr>
          <w:p w14:paraId="00CBF25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4.63</w:t>
            </w:r>
          </w:p>
        </w:tc>
      </w:tr>
      <w:tr w:rsidR="00502A11" w:rsidRPr="00A2572F" w14:paraId="40C54B2D" w14:textId="77777777" w:rsidTr="00817833">
        <w:tc>
          <w:tcPr>
            <w:tcW w:w="1560" w:type="dxa"/>
            <w:vMerge/>
          </w:tcPr>
          <w:p w14:paraId="5A3E71BF" w14:textId="77777777" w:rsidR="00502A11" w:rsidRPr="00AB59C5" w:rsidRDefault="00502A11" w:rsidP="00817833">
            <w:pPr>
              <w:jc w:val="left"/>
              <w:rPr>
                <w:rStyle w:val="IntenseReference"/>
                <w:rFonts w:eastAsiaTheme="minorHAnsi"/>
              </w:rPr>
            </w:pPr>
          </w:p>
        </w:tc>
        <w:tc>
          <w:tcPr>
            <w:tcW w:w="1556" w:type="dxa"/>
            <w:vMerge/>
          </w:tcPr>
          <w:p w14:paraId="289EA5BC" w14:textId="77777777" w:rsidR="00502A11" w:rsidRPr="00AB59C5" w:rsidRDefault="00502A11" w:rsidP="00817833">
            <w:pPr>
              <w:jc w:val="left"/>
              <w:rPr>
                <w:rStyle w:val="IntenseReference"/>
                <w:rFonts w:eastAsiaTheme="minorHAnsi"/>
              </w:rPr>
            </w:pPr>
          </w:p>
        </w:tc>
        <w:tc>
          <w:tcPr>
            <w:tcW w:w="2260" w:type="dxa"/>
            <w:vMerge/>
          </w:tcPr>
          <w:p w14:paraId="6948EA52" w14:textId="77777777" w:rsidR="00502A11" w:rsidRPr="00AB59C5" w:rsidRDefault="00502A11" w:rsidP="00817833">
            <w:pPr>
              <w:jc w:val="left"/>
              <w:rPr>
                <w:rStyle w:val="IntenseReference"/>
                <w:rFonts w:eastAsiaTheme="minorHAnsi"/>
              </w:rPr>
            </w:pPr>
          </w:p>
        </w:tc>
        <w:tc>
          <w:tcPr>
            <w:tcW w:w="991" w:type="dxa"/>
          </w:tcPr>
          <w:p w14:paraId="2D524181"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47A7B30D"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0.25</w:t>
            </w:r>
          </w:p>
        </w:tc>
        <w:tc>
          <w:tcPr>
            <w:tcW w:w="1617" w:type="dxa"/>
            <w:shd w:val="clear" w:color="auto" w:fill="auto"/>
            <w:vAlign w:val="bottom"/>
          </w:tcPr>
          <w:p w14:paraId="078CD49D"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2.44</w:t>
            </w:r>
          </w:p>
        </w:tc>
      </w:tr>
      <w:tr w:rsidR="00502A11" w:rsidRPr="00A2572F" w14:paraId="5F8391E5" w14:textId="77777777" w:rsidTr="00817833">
        <w:tc>
          <w:tcPr>
            <w:tcW w:w="1560" w:type="dxa"/>
            <w:vMerge w:val="restart"/>
            <w:textDirection w:val="btLr"/>
            <w:vAlign w:val="center"/>
          </w:tcPr>
          <w:p w14:paraId="6BE1C367" w14:textId="77777777" w:rsidR="00502A11" w:rsidRPr="00AB59C5" w:rsidRDefault="00502A11" w:rsidP="00817833">
            <w:pPr>
              <w:ind w:left="113" w:right="113"/>
              <w:jc w:val="center"/>
              <w:rPr>
                <w:rStyle w:val="IntenseReference"/>
                <w:rFonts w:eastAsiaTheme="minorHAnsi"/>
              </w:rPr>
            </w:pPr>
            <w:r w:rsidRPr="00AB59C5">
              <w:rPr>
                <w:rStyle w:val="IntenseReference"/>
                <w:rFonts w:eastAsiaTheme="minorHAnsi"/>
              </w:rPr>
              <w:t>Mackay Whitsunday</w:t>
            </w:r>
          </w:p>
        </w:tc>
        <w:tc>
          <w:tcPr>
            <w:tcW w:w="1556" w:type="dxa"/>
            <w:vMerge w:val="restart"/>
            <w:vAlign w:val="center"/>
          </w:tcPr>
          <w:p w14:paraId="4F12404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Proserpine</w:t>
            </w:r>
          </w:p>
        </w:tc>
        <w:tc>
          <w:tcPr>
            <w:tcW w:w="2260" w:type="dxa"/>
            <w:vMerge w:val="restart"/>
            <w:vAlign w:val="center"/>
          </w:tcPr>
          <w:p w14:paraId="0A37BE94" w14:textId="77777777" w:rsidR="00502A11" w:rsidRPr="00AB59C5" w:rsidRDefault="00502A11" w:rsidP="00817833">
            <w:pPr>
              <w:jc w:val="center"/>
              <w:rPr>
                <w:rStyle w:val="IntenseReference"/>
                <w:rFonts w:eastAsiaTheme="minorHAnsi"/>
              </w:rPr>
            </w:pPr>
            <w:r w:rsidRPr="00AB59C5">
              <w:rPr>
                <w:rStyle w:val="IntenseReference"/>
                <w:rFonts w:eastAsiaTheme="minorHAnsi"/>
              </w:rPr>
              <w:t>Double Cone</w:t>
            </w:r>
          </w:p>
        </w:tc>
        <w:tc>
          <w:tcPr>
            <w:tcW w:w="991" w:type="dxa"/>
          </w:tcPr>
          <w:p w14:paraId="1796F9C0"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15F80741"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0.95</w:t>
            </w:r>
          </w:p>
        </w:tc>
        <w:tc>
          <w:tcPr>
            <w:tcW w:w="1617" w:type="dxa"/>
            <w:shd w:val="clear" w:color="auto" w:fill="auto"/>
            <w:vAlign w:val="bottom"/>
          </w:tcPr>
          <w:p w14:paraId="673B0D8C" w14:textId="6C293067"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8.81 *</w:t>
            </w:r>
          </w:p>
        </w:tc>
      </w:tr>
      <w:tr w:rsidR="00502A11" w:rsidRPr="00A2572F" w14:paraId="3862DDDC" w14:textId="77777777" w:rsidTr="00817833">
        <w:tc>
          <w:tcPr>
            <w:tcW w:w="1560" w:type="dxa"/>
            <w:vMerge/>
            <w:vAlign w:val="center"/>
          </w:tcPr>
          <w:p w14:paraId="5580D675" w14:textId="77777777" w:rsidR="00502A11" w:rsidRPr="00AB59C5" w:rsidRDefault="00502A11" w:rsidP="00817833">
            <w:pPr>
              <w:jc w:val="center"/>
              <w:rPr>
                <w:rStyle w:val="IntenseReference"/>
                <w:rFonts w:eastAsiaTheme="minorHAnsi"/>
              </w:rPr>
            </w:pPr>
          </w:p>
        </w:tc>
        <w:tc>
          <w:tcPr>
            <w:tcW w:w="1556" w:type="dxa"/>
            <w:vMerge/>
            <w:vAlign w:val="center"/>
          </w:tcPr>
          <w:p w14:paraId="4AB01F4B" w14:textId="77777777" w:rsidR="00502A11" w:rsidRPr="00AB59C5" w:rsidRDefault="00502A11" w:rsidP="00817833">
            <w:pPr>
              <w:jc w:val="center"/>
              <w:rPr>
                <w:rStyle w:val="IntenseReference"/>
                <w:rFonts w:eastAsiaTheme="minorHAnsi"/>
              </w:rPr>
            </w:pPr>
          </w:p>
        </w:tc>
        <w:tc>
          <w:tcPr>
            <w:tcW w:w="2260" w:type="dxa"/>
            <w:vMerge/>
          </w:tcPr>
          <w:p w14:paraId="61AD6373" w14:textId="77777777" w:rsidR="00502A11" w:rsidRPr="00AB59C5" w:rsidRDefault="00502A11" w:rsidP="00817833">
            <w:pPr>
              <w:jc w:val="left"/>
              <w:rPr>
                <w:rStyle w:val="IntenseReference"/>
                <w:rFonts w:eastAsiaTheme="minorHAnsi"/>
              </w:rPr>
            </w:pPr>
          </w:p>
        </w:tc>
        <w:tc>
          <w:tcPr>
            <w:tcW w:w="991" w:type="dxa"/>
          </w:tcPr>
          <w:p w14:paraId="53CD1F7F"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7F3E3A7A" w14:textId="77777777" w:rsidR="00502A11" w:rsidRPr="00AB59C5" w:rsidRDefault="00502A11" w:rsidP="00817833">
            <w:pPr>
              <w:jc w:val="center"/>
              <w:rPr>
                <w:rStyle w:val="IntenseReference"/>
                <w:rFonts w:eastAsiaTheme="minorHAnsi"/>
              </w:rPr>
            </w:pPr>
            <w:r w:rsidRPr="00AB59C5">
              <w:rPr>
                <w:rStyle w:val="IntenseReference"/>
                <w:rFonts w:eastAsiaTheme="minorHAnsi"/>
              </w:rPr>
              <w:t>1.45</w:t>
            </w:r>
          </w:p>
        </w:tc>
        <w:tc>
          <w:tcPr>
            <w:tcW w:w="1617" w:type="dxa"/>
            <w:shd w:val="clear" w:color="auto" w:fill="auto"/>
            <w:vAlign w:val="bottom"/>
          </w:tcPr>
          <w:p w14:paraId="11565761" w14:textId="34F7C0C2"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3.75 *</w:t>
            </w:r>
          </w:p>
        </w:tc>
      </w:tr>
      <w:tr w:rsidR="00502A11" w:rsidRPr="00A2572F" w14:paraId="36BB5C98" w14:textId="77777777" w:rsidTr="00817833">
        <w:tc>
          <w:tcPr>
            <w:tcW w:w="1560" w:type="dxa"/>
            <w:vMerge/>
          </w:tcPr>
          <w:p w14:paraId="43E60E8C" w14:textId="77777777" w:rsidR="00502A11" w:rsidRPr="00AB59C5" w:rsidRDefault="00502A11" w:rsidP="00817833">
            <w:pPr>
              <w:jc w:val="left"/>
              <w:rPr>
                <w:rStyle w:val="IntenseReference"/>
                <w:rFonts w:eastAsiaTheme="minorHAnsi"/>
              </w:rPr>
            </w:pPr>
          </w:p>
        </w:tc>
        <w:tc>
          <w:tcPr>
            <w:tcW w:w="1556" w:type="dxa"/>
            <w:vMerge/>
          </w:tcPr>
          <w:p w14:paraId="6BC8F197" w14:textId="77777777" w:rsidR="00502A11" w:rsidRPr="00AB59C5" w:rsidRDefault="00502A11" w:rsidP="00817833">
            <w:pPr>
              <w:jc w:val="left"/>
              <w:rPr>
                <w:rStyle w:val="IntenseReference"/>
                <w:rFonts w:eastAsiaTheme="minorHAnsi"/>
              </w:rPr>
            </w:pPr>
          </w:p>
        </w:tc>
        <w:tc>
          <w:tcPr>
            <w:tcW w:w="2260" w:type="dxa"/>
            <w:vMerge w:val="restart"/>
            <w:vAlign w:val="center"/>
          </w:tcPr>
          <w:p w14:paraId="16E91ACE" w14:textId="77777777" w:rsidR="00502A11" w:rsidRPr="00AB59C5" w:rsidRDefault="00502A11" w:rsidP="00817833">
            <w:pPr>
              <w:jc w:val="center"/>
              <w:rPr>
                <w:rStyle w:val="IntenseReference"/>
                <w:rFonts w:eastAsiaTheme="minorHAnsi"/>
              </w:rPr>
            </w:pPr>
            <w:r w:rsidRPr="00AB59C5">
              <w:rPr>
                <w:rStyle w:val="IntenseReference"/>
                <w:rFonts w:eastAsiaTheme="minorHAnsi"/>
              </w:rPr>
              <w:t>Hook</w:t>
            </w:r>
          </w:p>
        </w:tc>
        <w:tc>
          <w:tcPr>
            <w:tcW w:w="991" w:type="dxa"/>
          </w:tcPr>
          <w:p w14:paraId="07B60883"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6D713B7D"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0.3</w:t>
            </w:r>
          </w:p>
        </w:tc>
        <w:tc>
          <w:tcPr>
            <w:tcW w:w="1617" w:type="dxa"/>
            <w:shd w:val="clear" w:color="auto" w:fill="auto"/>
            <w:vAlign w:val="bottom"/>
          </w:tcPr>
          <w:p w14:paraId="2C042991" w14:textId="37322BBA"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1.28 *</w:t>
            </w:r>
          </w:p>
        </w:tc>
      </w:tr>
      <w:tr w:rsidR="00502A11" w:rsidRPr="00A2572F" w14:paraId="6A2E24EA" w14:textId="77777777" w:rsidTr="00817833">
        <w:tc>
          <w:tcPr>
            <w:tcW w:w="1560" w:type="dxa"/>
            <w:vMerge/>
          </w:tcPr>
          <w:p w14:paraId="4CDC008B" w14:textId="77777777" w:rsidR="00502A11" w:rsidRPr="00AB59C5" w:rsidRDefault="00502A11" w:rsidP="00817833">
            <w:pPr>
              <w:jc w:val="left"/>
              <w:rPr>
                <w:rStyle w:val="IntenseReference"/>
                <w:rFonts w:eastAsiaTheme="minorHAnsi"/>
              </w:rPr>
            </w:pPr>
          </w:p>
        </w:tc>
        <w:tc>
          <w:tcPr>
            <w:tcW w:w="1556" w:type="dxa"/>
            <w:vMerge/>
          </w:tcPr>
          <w:p w14:paraId="2F0DBFB8" w14:textId="77777777" w:rsidR="00502A11" w:rsidRPr="00AB59C5" w:rsidRDefault="00502A11" w:rsidP="00817833">
            <w:pPr>
              <w:jc w:val="left"/>
              <w:rPr>
                <w:rStyle w:val="IntenseReference"/>
                <w:rFonts w:eastAsiaTheme="minorHAnsi"/>
              </w:rPr>
            </w:pPr>
          </w:p>
        </w:tc>
        <w:tc>
          <w:tcPr>
            <w:tcW w:w="2260" w:type="dxa"/>
            <w:vMerge/>
          </w:tcPr>
          <w:p w14:paraId="3D80CCE9" w14:textId="77777777" w:rsidR="00502A11" w:rsidRPr="00AB59C5" w:rsidRDefault="00502A11" w:rsidP="00817833">
            <w:pPr>
              <w:jc w:val="left"/>
              <w:rPr>
                <w:rStyle w:val="IntenseReference"/>
                <w:rFonts w:eastAsiaTheme="minorHAnsi"/>
              </w:rPr>
            </w:pPr>
          </w:p>
        </w:tc>
        <w:tc>
          <w:tcPr>
            <w:tcW w:w="991" w:type="dxa"/>
          </w:tcPr>
          <w:p w14:paraId="1141E309"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27AF8253"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0.25</w:t>
            </w:r>
          </w:p>
        </w:tc>
        <w:tc>
          <w:tcPr>
            <w:tcW w:w="1617" w:type="dxa"/>
            <w:shd w:val="clear" w:color="auto" w:fill="auto"/>
            <w:vAlign w:val="bottom"/>
          </w:tcPr>
          <w:p w14:paraId="13276A85" w14:textId="5E13D2DE"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2.89 *</w:t>
            </w:r>
          </w:p>
        </w:tc>
      </w:tr>
      <w:tr w:rsidR="00502A11" w:rsidRPr="00A2572F" w14:paraId="1B2FE3E8" w14:textId="77777777" w:rsidTr="00817833">
        <w:tc>
          <w:tcPr>
            <w:tcW w:w="1560" w:type="dxa"/>
            <w:vMerge/>
          </w:tcPr>
          <w:p w14:paraId="074B127B" w14:textId="77777777" w:rsidR="00502A11" w:rsidRPr="00AB59C5" w:rsidRDefault="00502A11" w:rsidP="00817833">
            <w:pPr>
              <w:jc w:val="left"/>
              <w:rPr>
                <w:rStyle w:val="IntenseReference"/>
                <w:rFonts w:eastAsiaTheme="minorHAnsi"/>
              </w:rPr>
            </w:pPr>
          </w:p>
        </w:tc>
        <w:tc>
          <w:tcPr>
            <w:tcW w:w="1556" w:type="dxa"/>
            <w:vMerge/>
          </w:tcPr>
          <w:p w14:paraId="6610BA9E" w14:textId="77777777" w:rsidR="00502A11" w:rsidRPr="00AB59C5" w:rsidRDefault="00502A11" w:rsidP="00817833">
            <w:pPr>
              <w:jc w:val="left"/>
              <w:rPr>
                <w:rStyle w:val="IntenseReference"/>
                <w:rFonts w:eastAsiaTheme="minorHAnsi"/>
              </w:rPr>
            </w:pPr>
          </w:p>
        </w:tc>
        <w:tc>
          <w:tcPr>
            <w:tcW w:w="2260" w:type="dxa"/>
            <w:vMerge w:val="restart"/>
            <w:vAlign w:val="center"/>
          </w:tcPr>
          <w:p w14:paraId="2AD4399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Daydream</w:t>
            </w:r>
          </w:p>
        </w:tc>
        <w:tc>
          <w:tcPr>
            <w:tcW w:w="991" w:type="dxa"/>
          </w:tcPr>
          <w:p w14:paraId="2AB2D2F7"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29541789"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0.6</w:t>
            </w:r>
          </w:p>
        </w:tc>
        <w:tc>
          <w:tcPr>
            <w:tcW w:w="1617" w:type="dxa"/>
            <w:shd w:val="clear" w:color="auto" w:fill="auto"/>
            <w:vAlign w:val="bottom"/>
          </w:tcPr>
          <w:p w14:paraId="1A17B964" w14:textId="04F646A8"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14.44 *</w:t>
            </w:r>
          </w:p>
        </w:tc>
      </w:tr>
      <w:tr w:rsidR="00502A11" w:rsidRPr="00A2572F" w14:paraId="3CBD693A" w14:textId="77777777" w:rsidTr="00817833">
        <w:tc>
          <w:tcPr>
            <w:tcW w:w="1560" w:type="dxa"/>
            <w:vMerge/>
          </w:tcPr>
          <w:p w14:paraId="17470610" w14:textId="77777777" w:rsidR="00502A11" w:rsidRPr="00AB59C5" w:rsidRDefault="00502A11" w:rsidP="00817833">
            <w:pPr>
              <w:jc w:val="left"/>
              <w:rPr>
                <w:rStyle w:val="IntenseReference"/>
                <w:rFonts w:eastAsiaTheme="minorHAnsi"/>
              </w:rPr>
            </w:pPr>
          </w:p>
        </w:tc>
        <w:tc>
          <w:tcPr>
            <w:tcW w:w="1556" w:type="dxa"/>
            <w:vMerge/>
          </w:tcPr>
          <w:p w14:paraId="1AC051EE" w14:textId="77777777" w:rsidR="00502A11" w:rsidRPr="00AB59C5" w:rsidRDefault="00502A11" w:rsidP="00817833">
            <w:pPr>
              <w:jc w:val="left"/>
              <w:rPr>
                <w:rStyle w:val="IntenseReference"/>
                <w:rFonts w:eastAsiaTheme="minorHAnsi"/>
              </w:rPr>
            </w:pPr>
          </w:p>
        </w:tc>
        <w:tc>
          <w:tcPr>
            <w:tcW w:w="2260" w:type="dxa"/>
            <w:vMerge/>
          </w:tcPr>
          <w:p w14:paraId="5F13E130" w14:textId="77777777" w:rsidR="00502A11" w:rsidRPr="00AB59C5" w:rsidRDefault="00502A11" w:rsidP="00817833">
            <w:pPr>
              <w:jc w:val="left"/>
              <w:rPr>
                <w:rStyle w:val="IntenseReference"/>
                <w:rFonts w:eastAsiaTheme="minorHAnsi"/>
              </w:rPr>
            </w:pPr>
          </w:p>
        </w:tc>
        <w:tc>
          <w:tcPr>
            <w:tcW w:w="991" w:type="dxa"/>
          </w:tcPr>
          <w:p w14:paraId="18B2E474"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21F2ECD7"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0.3</w:t>
            </w:r>
          </w:p>
        </w:tc>
        <w:tc>
          <w:tcPr>
            <w:tcW w:w="1617" w:type="dxa"/>
            <w:shd w:val="clear" w:color="auto" w:fill="auto"/>
            <w:vAlign w:val="bottom"/>
          </w:tcPr>
          <w:p w14:paraId="7F74BE81" w14:textId="0A9D66D7"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12.52 *</w:t>
            </w:r>
          </w:p>
        </w:tc>
      </w:tr>
      <w:tr w:rsidR="00502A11" w:rsidRPr="00A2572F" w14:paraId="70A58F44" w14:textId="77777777" w:rsidTr="00817833">
        <w:tc>
          <w:tcPr>
            <w:tcW w:w="1560" w:type="dxa"/>
            <w:vMerge/>
          </w:tcPr>
          <w:p w14:paraId="497AB468" w14:textId="77777777" w:rsidR="00502A11" w:rsidRPr="00AB59C5" w:rsidRDefault="00502A11" w:rsidP="00817833">
            <w:pPr>
              <w:jc w:val="left"/>
              <w:rPr>
                <w:rStyle w:val="IntenseReference"/>
                <w:rFonts w:eastAsiaTheme="minorHAnsi"/>
              </w:rPr>
            </w:pPr>
          </w:p>
        </w:tc>
        <w:tc>
          <w:tcPr>
            <w:tcW w:w="1556" w:type="dxa"/>
            <w:vMerge/>
          </w:tcPr>
          <w:p w14:paraId="0367C790" w14:textId="77777777" w:rsidR="00502A11" w:rsidRPr="00AB59C5" w:rsidRDefault="00502A11" w:rsidP="00817833">
            <w:pPr>
              <w:jc w:val="left"/>
              <w:rPr>
                <w:rStyle w:val="IntenseReference"/>
                <w:rFonts w:eastAsiaTheme="minorHAnsi"/>
              </w:rPr>
            </w:pPr>
          </w:p>
        </w:tc>
        <w:tc>
          <w:tcPr>
            <w:tcW w:w="2260" w:type="dxa"/>
            <w:vMerge w:val="restart"/>
            <w:vAlign w:val="center"/>
          </w:tcPr>
          <w:p w14:paraId="3F5F8141" w14:textId="77777777" w:rsidR="00502A11" w:rsidRPr="00AB59C5" w:rsidRDefault="00502A11" w:rsidP="00817833">
            <w:pPr>
              <w:jc w:val="center"/>
              <w:rPr>
                <w:rStyle w:val="IntenseReference"/>
                <w:rFonts w:eastAsiaTheme="minorHAnsi"/>
              </w:rPr>
            </w:pPr>
            <w:r w:rsidRPr="00AB59C5">
              <w:rPr>
                <w:rStyle w:val="IntenseReference"/>
                <w:rFonts w:eastAsiaTheme="minorHAnsi"/>
              </w:rPr>
              <w:t>Shute Harbour</w:t>
            </w:r>
          </w:p>
        </w:tc>
        <w:tc>
          <w:tcPr>
            <w:tcW w:w="991" w:type="dxa"/>
          </w:tcPr>
          <w:p w14:paraId="4DEE7F51"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5197250F"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0.2</w:t>
            </w:r>
          </w:p>
        </w:tc>
        <w:tc>
          <w:tcPr>
            <w:tcW w:w="1617" w:type="dxa"/>
            <w:shd w:val="clear" w:color="auto" w:fill="auto"/>
            <w:vAlign w:val="bottom"/>
          </w:tcPr>
          <w:p w14:paraId="2E759A19" w14:textId="47623003"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13.64 *</w:t>
            </w:r>
          </w:p>
        </w:tc>
      </w:tr>
      <w:tr w:rsidR="00502A11" w:rsidRPr="00A2572F" w14:paraId="70F09461" w14:textId="77777777" w:rsidTr="00817833">
        <w:tc>
          <w:tcPr>
            <w:tcW w:w="1560" w:type="dxa"/>
            <w:vMerge/>
          </w:tcPr>
          <w:p w14:paraId="1A7609E8" w14:textId="77777777" w:rsidR="00502A11" w:rsidRPr="00AB59C5" w:rsidRDefault="00502A11" w:rsidP="00817833">
            <w:pPr>
              <w:jc w:val="left"/>
              <w:rPr>
                <w:rStyle w:val="IntenseReference"/>
                <w:rFonts w:eastAsiaTheme="minorHAnsi"/>
              </w:rPr>
            </w:pPr>
          </w:p>
        </w:tc>
        <w:tc>
          <w:tcPr>
            <w:tcW w:w="1556" w:type="dxa"/>
            <w:vMerge/>
          </w:tcPr>
          <w:p w14:paraId="3D66D9D4" w14:textId="77777777" w:rsidR="00502A11" w:rsidRPr="00AB59C5" w:rsidRDefault="00502A11" w:rsidP="00817833">
            <w:pPr>
              <w:jc w:val="left"/>
              <w:rPr>
                <w:rStyle w:val="IntenseReference"/>
                <w:rFonts w:eastAsiaTheme="minorHAnsi"/>
              </w:rPr>
            </w:pPr>
          </w:p>
        </w:tc>
        <w:tc>
          <w:tcPr>
            <w:tcW w:w="2260" w:type="dxa"/>
            <w:vMerge/>
            <w:vAlign w:val="center"/>
          </w:tcPr>
          <w:p w14:paraId="2DBF7DF9" w14:textId="77777777" w:rsidR="00502A11" w:rsidRPr="00AB59C5" w:rsidRDefault="00502A11" w:rsidP="00817833">
            <w:pPr>
              <w:jc w:val="center"/>
              <w:rPr>
                <w:rStyle w:val="IntenseReference"/>
                <w:rFonts w:eastAsiaTheme="minorHAnsi"/>
              </w:rPr>
            </w:pPr>
          </w:p>
        </w:tc>
        <w:tc>
          <w:tcPr>
            <w:tcW w:w="991" w:type="dxa"/>
          </w:tcPr>
          <w:p w14:paraId="265078C6"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78360A0F"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0.1</w:t>
            </w:r>
          </w:p>
        </w:tc>
        <w:tc>
          <w:tcPr>
            <w:tcW w:w="1617" w:type="dxa"/>
            <w:shd w:val="clear" w:color="auto" w:fill="auto"/>
            <w:vAlign w:val="bottom"/>
          </w:tcPr>
          <w:p w14:paraId="4C2CE240" w14:textId="7FF59349" w:rsidR="00502A11" w:rsidRPr="00AB59C5" w:rsidRDefault="00E75F5C" w:rsidP="00817833">
            <w:pPr>
              <w:jc w:val="center"/>
              <w:rPr>
                <w:rStyle w:val="IntenseReference"/>
                <w:rFonts w:eastAsiaTheme="minorHAnsi"/>
              </w:rPr>
            </w:pPr>
            <w:r>
              <w:rPr>
                <w:rStyle w:val="IntenseReference"/>
                <w:rFonts w:eastAsiaTheme="minorHAnsi"/>
              </w:rPr>
              <w:t xml:space="preserve">  </w:t>
            </w:r>
            <w:r w:rsidR="00502A11" w:rsidRPr="00AB59C5">
              <w:rPr>
                <w:rStyle w:val="IntenseReference"/>
                <w:rFonts w:eastAsiaTheme="minorHAnsi"/>
              </w:rPr>
              <w:t>2.67 *</w:t>
            </w:r>
          </w:p>
        </w:tc>
      </w:tr>
      <w:tr w:rsidR="00502A11" w:rsidRPr="00A2572F" w14:paraId="7F7BF791" w14:textId="77777777" w:rsidTr="00817833">
        <w:tc>
          <w:tcPr>
            <w:tcW w:w="1560" w:type="dxa"/>
            <w:vMerge w:val="restart"/>
            <w:textDirection w:val="btLr"/>
            <w:vAlign w:val="center"/>
          </w:tcPr>
          <w:p w14:paraId="587932FD" w14:textId="77777777" w:rsidR="00502A11" w:rsidRPr="00AB59C5" w:rsidRDefault="00502A11" w:rsidP="00817833">
            <w:pPr>
              <w:ind w:left="113" w:right="113"/>
              <w:jc w:val="center"/>
              <w:rPr>
                <w:rStyle w:val="IntenseReference"/>
                <w:rFonts w:eastAsiaTheme="minorHAnsi"/>
              </w:rPr>
            </w:pPr>
            <w:r w:rsidRPr="00AB59C5">
              <w:rPr>
                <w:rStyle w:val="IntenseReference"/>
                <w:rFonts w:eastAsiaTheme="minorHAnsi"/>
              </w:rPr>
              <w:t>Fitzroy Basin Association</w:t>
            </w:r>
          </w:p>
        </w:tc>
        <w:tc>
          <w:tcPr>
            <w:tcW w:w="1556" w:type="dxa"/>
            <w:vMerge w:val="restart"/>
            <w:vAlign w:val="center"/>
          </w:tcPr>
          <w:p w14:paraId="3CA60786" w14:textId="77777777" w:rsidR="00502A11" w:rsidRPr="00AB59C5" w:rsidRDefault="00502A11" w:rsidP="00817833">
            <w:pPr>
              <w:jc w:val="center"/>
              <w:rPr>
                <w:rStyle w:val="IntenseReference"/>
                <w:rFonts w:eastAsiaTheme="minorHAnsi"/>
              </w:rPr>
            </w:pPr>
            <w:r w:rsidRPr="00AB59C5">
              <w:rPr>
                <w:rStyle w:val="IntenseReference"/>
                <w:rFonts w:eastAsiaTheme="minorHAnsi"/>
              </w:rPr>
              <w:t>Fitzroy</w:t>
            </w:r>
          </w:p>
        </w:tc>
        <w:tc>
          <w:tcPr>
            <w:tcW w:w="2260" w:type="dxa"/>
            <w:vMerge w:val="restart"/>
            <w:vAlign w:val="center"/>
          </w:tcPr>
          <w:p w14:paraId="487B83EF" w14:textId="77777777" w:rsidR="00502A11" w:rsidRPr="00AB59C5" w:rsidRDefault="00502A11" w:rsidP="00817833">
            <w:pPr>
              <w:jc w:val="center"/>
              <w:rPr>
                <w:rStyle w:val="IntenseReference"/>
                <w:rFonts w:eastAsiaTheme="minorHAnsi"/>
              </w:rPr>
            </w:pPr>
            <w:r w:rsidRPr="00AB59C5">
              <w:rPr>
                <w:rStyle w:val="IntenseReference"/>
                <w:rFonts w:eastAsiaTheme="minorHAnsi"/>
              </w:rPr>
              <w:t>Middle</w:t>
            </w:r>
          </w:p>
        </w:tc>
        <w:tc>
          <w:tcPr>
            <w:tcW w:w="991" w:type="dxa"/>
          </w:tcPr>
          <w:p w14:paraId="45814303"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0AF4A61B"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tc>
        <w:tc>
          <w:tcPr>
            <w:tcW w:w="1617" w:type="dxa"/>
            <w:shd w:val="clear" w:color="auto" w:fill="auto"/>
            <w:vAlign w:val="bottom"/>
          </w:tcPr>
          <w:p w14:paraId="66950F61" w14:textId="77777777" w:rsidR="00502A11" w:rsidRPr="00AB59C5" w:rsidRDefault="00502A11" w:rsidP="00817833">
            <w:pPr>
              <w:jc w:val="center"/>
              <w:rPr>
                <w:rStyle w:val="IntenseReference"/>
                <w:rFonts w:eastAsiaTheme="minorHAnsi"/>
              </w:rPr>
            </w:pPr>
            <w:r w:rsidRPr="00AB59C5">
              <w:rPr>
                <w:rStyle w:val="IntenseReference"/>
                <w:rFonts w:eastAsiaTheme="minorHAnsi"/>
              </w:rPr>
              <w:t>1.27</w:t>
            </w:r>
          </w:p>
        </w:tc>
      </w:tr>
      <w:tr w:rsidR="00502A11" w:rsidRPr="00A2572F" w14:paraId="1CEE1C95" w14:textId="77777777" w:rsidTr="00817833">
        <w:tc>
          <w:tcPr>
            <w:tcW w:w="1560" w:type="dxa"/>
            <w:vMerge/>
            <w:vAlign w:val="center"/>
          </w:tcPr>
          <w:p w14:paraId="51D57521" w14:textId="77777777" w:rsidR="00502A11" w:rsidRPr="00AB59C5" w:rsidRDefault="00502A11" w:rsidP="00817833">
            <w:pPr>
              <w:jc w:val="center"/>
              <w:rPr>
                <w:rStyle w:val="IntenseReference"/>
                <w:rFonts w:eastAsiaTheme="minorHAnsi"/>
              </w:rPr>
            </w:pPr>
          </w:p>
        </w:tc>
        <w:tc>
          <w:tcPr>
            <w:tcW w:w="1556" w:type="dxa"/>
            <w:vMerge/>
            <w:vAlign w:val="center"/>
          </w:tcPr>
          <w:p w14:paraId="04FB4BC8" w14:textId="77777777" w:rsidR="00502A11" w:rsidRPr="00AB59C5" w:rsidRDefault="00502A11" w:rsidP="00817833">
            <w:pPr>
              <w:jc w:val="center"/>
              <w:rPr>
                <w:rStyle w:val="IntenseReference"/>
                <w:rFonts w:eastAsiaTheme="minorHAnsi"/>
              </w:rPr>
            </w:pPr>
          </w:p>
        </w:tc>
        <w:tc>
          <w:tcPr>
            <w:tcW w:w="2260" w:type="dxa"/>
            <w:vMerge/>
            <w:vAlign w:val="center"/>
          </w:tcPr>
          <w:p w14:paraId="3796F480" w14:textId="77777777" w:rsidR="00502A11" w:rsidRPr="00AB59C5" w:rsidRDefault="00502A11" w:rsidP="00817833">
            <w:pPr>
              <w:jc w:val="center"/>
              <w:rPr>
                <w:rStyle w:val="IntenseReference"/>
                <w:rFonts w:eastAsiaTheme="minorHAnsi"/>
              </w:rPr>
            </w:pPr>
          </w:p>
        </w:tc>
        <w:tc>
          <w:tcPr>
            <w:tcW w:w="991" w:type="dxa"/>
          </w:tcPr>
          <w:p w14:paraId="352E98D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57AAF8E7"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tc>
        <w:tc>
          <w:tcPr>
            <w:tcW w:w="1617" w:type="dxa"/>
            <w:shd w:val="clear" w:color="auto" w:fill="auto"/>
            <w:vAlign w:val="bottom"/>
          </w:tcPr>
          <w:p w14:paraId="551B8C9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1.9</w:t>
            </w:r>
          </w:p>
        </w:tc>
      </w:tr>
      <w:tr w:rsidR="00502A11" w:rsidRPr="00A2572F" w14:paraId="3C24B888" w14:textId="77777777" w:rsidTr="00817833">
        <w:tc>
          <w:tcPr>
            <w:tcW w:w="1560" w:type="dxa"/>
            <w:vMerge/>
          </w:tcPr>
          <w:p w14:paraId="75CB46C9" w14:textId="77777777" w:rsidR="00502A11" w:rsidRPr="00AB59C5" w:rsidRDefault="00502A11" w:rsidP="00817833">
            <w:pPr>
              <w:jc w:val="left"/>
              <w:rPr>
                <w:rStyle w:val="IntenseReference"/>
                <w:rFonts w:eastAsiaTheme="minorHAnsi"/>
              </w:rPr>
            </w:pPr>
          </w:p>
        </w:tc>
        <w:tc>
          <w:tcPr>
            <w:tcW w:w="1556" w:type="dxa"/>
            <w:vMerge/>
          </w:tcPr>
          <w:p w14:paraId="126771E0" w14:textId="77777777" w:rsidR="00502A11" w:rsidRPr="00AB59C5" w:rsidRDefault="00502A11" w:rsidP="00817833">
            <w:pPr>
              <w:jc w:val="left"/>
              <w:rPr>
                <w:rStyle w:val="IntenseReference"/>
                <w:rFonts w:eastAsiaTheme="minorHAnsi"/>
              </w:rPr>
            </w:pPr>
          </w:p>
        </w:tc>
        <w:tc>
          <w:tcPr>
            <w:tcW w:w="2260" w:type="dxa"/>
            <w:vMerge w:val="restart"/>
            <w:vAlign w:val="center"/>
          </w:tcPr>
          <w:p w14:paraId="258864B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Keppels South</w:t>
            </w:r>
          </w:p>
        </w:tc>
        <w:tc>
          <w:tcPr>
            <w:tcW w:w="991" w:type="dxa"/>
          </w:tcPr>
          <w:p w14:paraId="7C8D4946"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5340FF7C"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0.05</w:t>
            </w:r>
          </w:p>
        </w:tc>
        <w:tc>
          <w:tcPr>
            <w:tcW w:w="1617" w:type="dxa"/>
            <w:shd w:val="clear" w:color="auto" w:fill="auto"/>
            <w:vAlign w:val="bottom"/>
          </w:tcPr>
          <w:p w14:paraId="7F961807" w14:textId="77777777" w:rsidR="00502A11" w:rsidRPr="00AB59C5" w:rsidRDefault="00502A11" w:rsidP="00817833">
            <w:pPr>
              <w:jc w:val="center"/>
              <w:rPr>
                <w:rStyle w:val="IntenseReference"/>
                <w:rFonts w:eastAsiaTheme="minorHAnsi"/>
              </w:rPr>
            </w:pPr>
            <w:r w:rsidRPr="00AB59C5">
              <w:rPr>
                <w:rStyle w:val="IntenseReference"/>
                <w:rFonts w:eastAsiaTheme="minorHAnsi"/>
              </w:rPr>
              <w:t>4.43</w:t>
            </w:r>
          </w:p>
        </w:tc>
      </w:tr>
      <w:tr w:rsidR="00502A11" w:rsidRPr="00A2572F" w14:paraId="0BA1240C" w14:textId="77777777" w:rsidTr="00817833">
        <w:tc>
          <w:tcPr>
            <w:tcW w:w="1560" w:type="dxa"/>
            <w:vMerge/>
          </w:tcPr>
          <w:p w14:paraId="67C81A23" w14:textId="77777777" w:rsidR="00502A11" w:rsidRPr="00AB59C5" w:rsidRDefault="00502A11" w:rsidP="00817833">
            <w:pPr>
              <w:jc w:val="left"/>
              <w:rPr>
                <w:rStyle w:val="IntenseReference"/>
                <w:rFonts w:eastAsiaTheme="minorHAnsi"/>
              </w:rPr>
            </w:pPr>
          </w:p>
        </w:tc>
        <w:tc>
          <w:tcPr>
            <w:tcW w:w="1556" w:type="dxa"/>
            <w:vMerge/>
          </w:tcPr>
          <w:p w14:paraId="029F9DAA" w14:textId="77777777" w:rsidR="00502A11" w:rsidRPr="00AB59C5" w:rsidRDefault="00502A11" w:rsidP="00817833">
            <w:pPr>
              <w:jc w:val="left"/>
              <w:rPr>
                <w:rStyle w:val="IntenseReference"/>
                <w:rFonts w:eastAsiaTheme="minorHAnsi"/>
              </w:rPr>
            </w:pPr>
          </w:p>
        </w:tc>
        <w:tc>
          <w:tcPr>
            <w:tcW w:w="2260" w:type="dxa"/>
            <w:vMerge/>
            <w:vAlign w:val="center"/>
          </w:tcPr>
          <w:p w14:paraId="40703A48" w14:textId="77777777" w:rsidR="00502A11" w:rsidRPr="00AB59C5" w:rsidRDefault="00502A11" w:rsidP="00817833">
            <w:pPr>
              <w:jc w:val="center"/>
              <w:rPr>
                <w:rStyle w:val="IntenseReference"/>
                <w:rFonts w:eastAsiaTheme="minorHAnsi"/>
              </w:rPr>
            </w:pPr>
          </w:p>
        </w:tc>
        <w:tc>
          <w:tcPr>
            <w:tcW w:w="991" w:type="dxa"/>
          </w:tcPr>
          <w:p w14:paraId="2C78A67D"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2B97DB15"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0.15</w:t>
            </w:r>
          </w:p>
        </w:tc>
        <w:tc>
          <w:tcPr>
            <w:tcW w:w="1617" w:type="dxa"/>
            <w:shd w:val="clear" w:color="auto" w:fill="auto"/>
            <w:vAlign w:val="bottom"/>
          </w:tcPr>
          <w:p w14:paraId="7BBC8E04" w14:textId="77777777" w:rsidR="00502A11" w:rsidRPr="00AB59C5" w:rsidRDefault="00502A11" w:rsidP="00817833">
            <w:pPr>
              <w:jc w:val="center"/>
              <w:rPr>
                <w:rStyle w:val="IntenseReference"/>
                <w:rFonts w:eastAsiaTheme="minorHAnsi"/>
              </w:rPr>
            </w:pPr>
            <w:r w:rsidRPr="00AB59C5">
              <w:rPr>
                <w:rStyle w:val="IntenseReference"/>
                <w:rFonts w:eastAsiaTheme="minorHAnsi"/>
              </w:rPr>
              <w:t>4.94</w:t>
            </w:r>
          </w:p>
        </w:tc>
      </w:tr>
      <w:tr w:rsidR="00502A11" w:rsidRPr="00A2572F" w14:paraId="55631AFA" w14:textId="77777777" w:rsidTr="00817833">
        <w:tc>
          <w:tcPr>
            <w:tcW w:w="1560" w:type="dxa"/>
            <w:vMerge/>
          </w:tcPr>
          <w:p w14:paraId="3FF085C0" w14:textId="77777777" w:rsidR="00502A11" w:rsidRPr="00AB59C5" w:rsidRDefault="00502A11" w:rsidP="00817833">
            <w:pPr>
              <w:jc w:val="left"/>
              <w:rPr>
                <w:rStyle w:val="IntenseReference"/>
                <w:rFonts w:eastAsiaTheme="minorHAnsi"/>
              </w:rPr>
            </w:pPr>
          </w:p>
        </w:tc>
        <w:tc>
          <w:tcPr>
            <w:tcW w:w="1556" w:type="dxa"/>
            <w:vMerge/>
          </w:tcPr>
          <w:p w14:paraId="0947E2BB" w14:textId="77777777" w:rsidR="00502A11" w:rsidRPr="00AB59C5" w:rsidRDefault="00502A11" w:rsidP="00817833">
            <w:pPr>
              <w:jc w:val="left"/>
              <w:rPr>
                <w:rStyle w:val="IntenseReference"/>
                <w:rFonts w:eastAsiaTheme="minorHAnsi"/>
              </w:rPr>
            </w:pPr>
          </w:p>
        </w:tc>
        <w:tc>
          <w:tcPr>
            <w:tcW w:w="2260" w:type="dxa"/>
            <w:vMerge w:val="restart"/>
            <w:vAlign w:val="center"/>
          </w:tcPr>
          <w:p w14:paraId="25D1DA74" w14:textId="77777777" w:rsidR="00502A11" w:rsidRPr="00AB59C5" w:rsidRDefault="00502A11" w:rsidP="00817833">
            <w:pPr>
              <w:jc w:val="center"/>
              <w:rPr>
                <w:rStyle w:val="IntenseReference"/>
                <w:rFonts w:eastAsiaTheme="minorHAnsi"/>
              </w:rPr>
            </w:pPr>
            <w:r w:rsidRPr="00AB59C5">
              <w:rPr>
                <w:rStyle w:val="IntenseReference"/>
                <w:rFonts w:eastAsiaTheme="minorHAnsi"/>
              </w:rPr>
              <w:t>Pelican</w:t>
            </w:r>
          </w:p>
        </w:tc>
        <w:tc>
          <w:tcPr>
            <w:tcW w:w="991" w:type="dxa"/>
          </w:tcPr>
          <w:p w14:paraId="7EB668A8"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w:t>
            </w:r>
          </w:p>
        </w:tc>
        <w:tc>
          <w:tcPr>
            <w:tcW w:w="1150" w:type="dxa"/>
            <w:vAlign w:val="center"/>
          </w:tcPr>
          <w:p w14:paraId="36D9F10A"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w:t>
            </w:r>
          </w:p>
        </w:tc>
        <w:tc>
          <w:tcPr>
            <w:tcW w:w="1617" w:type="dxa"/>
            <w:shd w:val="clear" w:color="auto" w:fill="auto"/>
            <w:vAlign w:val="bottom"/>
          </w:tcPr>
          <w:p w14:paraId="6200D7C9"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0.81</w:t>
            </w:r>
          </w:p>
        </w:tc>
      </w:tr>
      <w:tr w:rsidR="00502A11" w:rsidRPr="00A2572F" w14:paraId="7302DE25" w14:textId="77777777" w:rsidTr="00817833">
        <w:tc>
          <w:tcPr>
            <w:tcW w:w="1560" w:type="dxa"/>
            <w:vMerge/>
          </w:tcPr>
          <w:p w14:paraId="560EC44F" w14:textId="77777777" w:rsidR="00502A11" w:rsidRPr="00AB59C5" w:rsidRDefault="00502A11" w:rsidP="00817833">
            <w:pPr>
              <w:jc w:val="left"/>
              <w:rPr>
                <w:rStyle w:val="IntenseReference"/>
                <w:rFonts w:eastAsiaTheme="minorHAnsi"/>
              </w:rPr>
            </w:pPr>
          </w:p>
        </w:tc>
        <w:tc>
          <w:tcPr>
            <w:tcW w:w="1556" w:type="dxa"/>
            <w:vMerge/>
          </w:tcPr>
          <w:p w14:paraId="0F8DDC39" w14:textId="77777777" w:rsidR="00502A11" w:rsidRPr="00AB59C5" w:rsidRDefault="00502A11" w:rsidP="00817833">
            <w:pPr>
              <w:jc w:val="left"/>
              <w:rPr>
                <w:rStyle w:val="IntenseReference"/>
                <w:rFonts w:eastAsiaTheme="minorHAnsi"/>
              </w:rPr>
            </w:pPr>
          </w:p>
        </w:tc>
        <w:tc>
          <w:tcPr>
            <w:tcW w:w="2260" w:type="dxa"/>
            <w:vMerge/>
            <w:vAlign w:val="center"/>
          </w:tcPr>
          <w:p w14:paraId="50464229" w14:textId="77777777" w:rsidR="00502A11" w:rsidRPr="00AB59C5" w:rsidRDefault="00502A11" w:rsidP="00817833">
            <w:pPr>
              <w:jc w:val="center"/>
              <w:rPr>
                <w:rStyle w:val="IntenseReference"/>
                <w:rFonts w:eastAsiaTheme="minorHAnsi"/>
              </w:rPr>
            </w:pPr>
          </w:p>
        </w:tc>
        <w:tc>
          <w:tcPr>
            <w:tcW w:w="991" w:type="dxa"/>
          </w:tcPr>
          <w:p w14:paraId="3264F55D" w14:textId="77777777" w:rsidR="00502A11" w:rsidRPr="00AB59C5" w:rsidRDefault="00502A11" w:rsidP="00817833">
            <w:pPr>
              <w:jc w:val="center"/>
              <w:rPr>
                <w:rStyle w:val="IntenseReference"/>
                <w:rFonts w:eastAsiaTheme="minorHAnsi"/>
              </w:rPr>
            </w:pPr>
            <w:r w:rsidRPr="00AB59C5">
              <w:rPr>
                <w:rStyle w:val="IntenseReference"/>
                <w:rFonts w:eastAsiaTheme="minorHAnsi"/>
              </w:rPr>
              <w:t>5</w:t>
            </w:r>
          </w:p>
        </w:tc>
        <w:tc>
          <w:tcPr>
            <w:tcW w:w="1150" w:type="dxa"/>
            <w:vAlign w:val="center"/>
          </w:tcPr>
          <w:p w14:paraId="6625BBC9" w14:textId="77777777" w:rsidR="00502A11" w:rsidRPr="00AB59C5" w:rsidRDefault="00502A11" w:rsidP="00817833">
            <w:pPr>
              <w:jc w:val="center"/>
              <w:rPr>
                <w:rStyle w:val="IntenseReference"/>
                <w:rFonts w:eastAsiaTheme="minorHAnsi"/>
              </w:rPr>
            </w:pPr>
            <w:r w:rsidRPr="00AB59C5">
              <w:rPr>
                <w:rStyle w:val="IntenseReference"/>
                <w:rFonts w:eastAsiaTheme="minorHAnsi"/>
              </w:rPr>
              <w:t>0.1</w:t>
            </w:r>
          </w:p>
        </w:tc>
        <w:tc>
          <w:tcPr>
            <w:tcW w:w="1617" w:type="dxa"/>
            <w:shd w:val="clear" w:color="auto" w:fill="auto"/>
            <w:vAlign w:val="bottom"/>
          </w:tcPr>
          <w:p w14:paraId="50A20767" w14:textId="77777777" w:rsidR="00502A11" w:rsidRPr="00AB59C5" w:rsidRDefault="00502A11" w:rsidP="00817833">
            <w:pPr>
              <w:jc w:val="center"/>
              <w:rPr>
                <w:rStyle w:val="IntenseReference"/>
                <w:rFonts w:eastAsiaTheme="minorHAnsi"/>
              </w:rPr>
            </w:pPr>
            <w:r w:rsidRPr="00AB59C5">
              <w:rPr>
                <w:rStyle w:val="IntenseReference"/>
                <w:rFonts w:eastAsiaTheme="minorHAnsi"/>
              </w:rPr>
              <w:t>2.88</w:t>
            </w:r>
          </w:p>
        </w:tc>
      </w:tr>
    </w:tbl>
    <w:p w14:paraId="50112894" w14:textId="77777777" w:rsidR="00502A11" w:rsidRDefault="00502A11" w:rsidP="00502A11">
      <w:r>
        <w:rPr>
          <w:rFonts w:ascii="Arial Narrow" w:eastAsia="SimSun" w:hAnsi="Arial Narrow"/>
          <w:color w:val="4F81BD" w:themeColor="accent1"/>
          <w:sz w:val="20"/>
          <w:szCs w:val="24"/>
        </w:rPr>
        <w:br w:type="page"/>
      </w:r>
    </w:p>
    <w:p w14:paraId="3D4E8869" w14:textId="77777777" w:rsidR="00502A11" w:rsidRPr="00671ECD" w:rsidRDefault="00502A11" w:rsidP="00502A11">
      <w:pPr>
        <w:spacing w:after="0" w:line="276" w:lineRule="auto"/>
        <w:jc w:val="center"/>
        <w:rPr>
          <w:rFonts w:eastAsiaTheme="minorHAnsi" w:cs="Arial"/>
          <w:szCs w:val="22"/>
          <w:lang w:val="en-AU"/>
        </w:rPr>
      </w:pPr>
      <w:r w:rsidRPr="00671ECD">
        <w:rPr>
          <w:rFonts w:eastAsiaTheme="minorHAnsi" w:cs="Arial"/>
          <w:noProof/>
          <w:szCs w:val="22"/>
          <w:lang w:val="en-AU" w:eastAsia="en-AU"/>
        </w:rPr>
        <w:drawing>
          <wp:inline distT="0" distB="0" distL="0" distR="0" wp14:anchorId="74EBEF8D" wp14:editId="3FD1E02F">
            <wp:extent cx="5099538" cy="7845356"/>
            <wp:effectExtent l="0" t="0" r="6350" b="3810"/>
            <wp:docPr id="13" name="Picture 13" descr="Panel of plots showing daily deviations from seasonal temperature profiles for each region or sub-region. Also plotted are annual end of summer degree heating day estimates." title="Figure 25 Regional temperature profi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mperature_all plots for bleaching document.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098582" cy="7843885"/>
                    </a:xfrm>
                    <a:prstGeom prst="rect">
                      <a:avLst/>
                    </a:prstGeom>
                  </pic:spPr>
                </pic:pic>
              </a:graphicData>
            </a:graphic>
          </wp:inline>
        </w:drawing>
      </w:r>
    </w:p>
    <w:p w14:paraId="08D40B66" w14:textId="77777777" w:rsidR="00502A11" w:rsidRPr="00671ECD" w:rsidRDefault="00502A11" w:rsidP="00502A11">
      <w:pPr>
        <w:spacing w:after="0" w:line="276" w:lineRule="auto"/>
        <w:jc w:val="left"/>
        <w:rPr>
          <w:rFonts w:eastAsiaTheme="minorHAnsi" w:cs="Arial"/>
          <w:szCs w:val="22"/>
          <w:lang w:val="en-AU"/>
        </w:rPr>
      </w:pPr>
    </w:p>
    <w:p w14:paraId="49C60712" w14:textId="2920AC4E" w:rsidR="00502A11" w:rsidRPr="007668BC" w:rsidRDefault="00080723" w:rsidP="00080723">
      <w:pPr>
        <w:pStyle w:val="Caption"/>
        <w:rPr>
          <w:rStyle w:val="IntenseReference"/>
          <w:rFonts w:eastAsia="SimSun"/>
        </w:rPr>
      </w:pPr>
      <w:bookmarkStart w:id="314" w:name="_Ref491174268"/>
      <w:bookmarkStart w:id="315" w:name="_Ref469988810"/>
      <w:bookmarkStart w:id="316" w:name="_Toc491846851"/>
      <w:r>
        <w:t xml:space="preserve">Figure </w:t>
      </w:r>
      <w:r>
        <w:fldChar w:fldCharType="begin"/>
      </w:r>
      <w:r>
        <w:instrText xml:space="preserve"> SEQ Figure \* ARABIC </w:instrText>
      </w:r>
      <w:r>
        <w:fldChar w:fldCharType="separate"/>
      </w:r>
      <w:r w:rsidR="00D806F2">
        <w:rPr>
          <w:noProof/>
        </w:rPr>
        <w:t>25</w:t>
      </w:r>
      <w:r>
        <w:fldChar w:fldCharType="end"/>
      </w:r>
      <w:bookmarkEnd w:id="314"/>
      <w:r>
        <w:t xml:space="preserve"> </w:t>
      </w:r>
      <w:r w:rsidRPr="007730AE">
        <w:t>Seasonally adjusted temperature anomalies for (sub)-regions</w:t>
      </w:r>
      <w:r>
        <w:t>.</w:t>
      </w:r>
      <w:bookmarkEnd w:id="315"/>
      <w:r w:rsidR="00502A11">
        <w:t xml:space="preserve"> </w:t>
      </w:r>
      <w:r w:rsidR="00502A11" w:rsidRPr="007668BC">
        <w:rPr>
          <w:rStyle w:val="IntenseReference"/>
          <w:rFonts w:eastAsia="SimSun"/>
        </w:rPr>
        <w:t>Diff represents deviation in degrees Celsius (red = warmer, blue = cooler) from location specific climatology. Black symbols plot accumulated degree heating days between 1st of December - 31st March calculated as per Section 4.</w:t>
      </w:r>
      <w:r>
        <w:rPr>
          <w:rStyle w:val="IntenseReference"/>
          <w:rFonts w:eastAsia="SimSun"/>
        </w:rPr>
        <w:t>3.2</w:t>
      </w:r>
      <w:r w:rsidR="00502A11" w:rsidRPr="007668BC">
        <w:rPr>
          <w:rStyle w:val="IntenseReference"/>
          <w:rFonts w:eastAsia="SimSun"/>
        </w:rPr>
        <w:t>. The timing of cyclones and storms are indicated by black arrows.</w:t>
      </w:r>
      <w:bookmarkEnd w:id="316"/>
    </w:p>
    <w:p w14:paraId="32646813" w14:textId="72C4EBB1" w:rsidR="0048320A" w:rsidRPr="00A803D4" w:rsidRDefault="00502A11" w:rsidP="00B05739">
      <w:pPr>
        <w:pStyle w:val="Heading1"/>
        <w:numPr>
          <w:ilvl w:val="0"/>
          <w:numId w:val="42"/>
        </w:numPr>
        <w:rPr>
          <w:rStyle w:val="Heading2Char1"/>
          <w:rFonts w:eastAsia="SimSun" w:cs="Times New Roman"/>
          <w:b/>
          <w:bCs w:val="0"/>
          <w:color w:val="auto"/>
          <w:sz w:val="32"/>
          <w:szCs w:val="28"/>
        </w:rPr>
      </w:pPr>
      <w:r>
        <w:rPr>
          <w:rFonts w:ascii="Arial Narrow" w:hAnsi="Arial Narrow"/>
          <w:color w:val="4F81BD" w:themeColor="accent1"/>
          <w:sz w:val="20"/>
          <w:szCs w:val="24"/>
        </w:rPr>
        <w:br w:type="page"/>
      </w:r>
      <w:bookmarkStart w:id="317" w:name="_Toc493153354"/>
      <w:r w:rsidR="0048320A">
        <w:t>Case Study – Water quality constraints on the abundance of brown macroalgae</w:t>
      </w:r>
      <w:bookmarkEnd w:id="317"/>
    </w:p>
    <w:p w14:paraId="2E32EF76" w14:textId="1EEBBA0A" w:rsidR="00502A11" w:rsidRDefault="00502A11" w:rsidP="00502A11">
      <w:r>
        <w:t>As naturally dynamic systems, coral reefs are continually changing through cycles of disturbance and recovery. It is assumed that throughout this process</w:t>
      </w:r>
      <w:r w:rsidR="0048320A">
        <w:t>,</w:t>
      </w:r>
      <w:r>
        <w:t xml:space="preserve"> reduced water quality has the potential to reduce the res</w:t>
      </w:r>
      <w:r w:rsidR="0048320A">
        <w:t>ilience of coral communities by</w:t>
      </w:r>
      <w:r>
        <w:t xml:space="preserve"> increasing their susceptibility to disturbance events or suppressing their ensuing recovery. </w:t>
      </w:r>
    </w:p>
    <w:p w14:paraId="731947C6" w14:textId="48C38C95" w:rsidR="00502A11" w:rsidRDefault="00502A11" w:rsidP="00502A11">
      <w:pPr>
        <w:rPr>
          <w:rFonts w:cs="Arial"/>
        </w:rPr>
      </w:pPr>
      <w:r>
        <w:rPr>
          <w:rFonts w:cs="Arial"/>
        </w:rPr>
        <w:t xml:space="preserve">Resilience can be described as the capacity of an ecosystem to absorb chronic and acute disturbances through recovery and adaptation whilst maintaining the same ecological structure and function (Holling 1973, </w:t>
      </w:r>
      <w:r w:rsidRPr="00C446A5">
        <w:rPr>
          <w:rFonts w:cs="Arial"/>
          <w:iCs/>
          <w:lang w:val="en-AU"/>
        </w:rPr>
        <w:t>Angeler &amp; Allen</w:t>
      </w:r>
      <w:r w:rsidRPr="00C446A5">
        <w:rPr>
          <w:rFonts w:cs="Arial"/>
          <w:i/>
          <w:iCs/>
          <w:lang w:val="en-AU"/>
        </w:rPr>
        <w:t xml:space="preserve"> </w:t>
      </w:r>
      <w:r w:rsidRPr="00C446A5">
        <w:rPr>
          <w:rFonts w:cs="Arial"/>
          <w:iCs/>
          <w:lang w:val="en-AU"/>
        </w:rPr>
        <w:t>2016</w:t>
      </w:r>
      <w:r>
        <w:rPr>
          <w:rFonts w:cs="Arial"/>
        </w:rPr>
        <w:t xml:space="preserve">). Alongside the </w:t>
      </w:r>
      <w:r w:rsidRPr="00233B0B">
        <w:rPr>
          <w:rFonts w:cs="Arial"/>
        </w:rPr>
        <w:t>composition</w:t>
      </w:r>
      <w:r>
        <w:rPr>
          <w:rFonts w:cs="Arial"/>
        </w:rPr>
        <w:t xml:space="preserve"> and dynamics</w:t>
      </w:r>
      <w:r w:rsidRPr="00233B0B">
        <w:rPr>
          <w:rFonts w:cs="Arial"/>
        </w:rPr>
        <w:t xml:space="preserve"> of coral </w:t>
      </w:r>
      <w:r>
        <w:rPr>
          <w:rFonts w:cs="Arial"/>
        </w:rPr>
        <w:t xml:space="preserve">reef </w:t>
      </w:r>
      <w:r w:rsidRPr="00233B0B">
        <w:rPr>
          <w:rFonts w:cs="Arial"/>
        </w:rPr>
        <w:t>communities</w:t>
      </w:r>
      <w:r>
        <w:rPr>
          <w:rFonts w:cs="Arial"/>
        </w:rPr>
        <w:t>, resilience</w:t>
      </w:r>
      <w:r w:rsidRPr="00233B0B">
        <w:rPr>
          <w:rFonts w:cs="Arial"/>
        </w:rPr>
        <w:t xml:space="preserve"> is considered to reflect the interactions of multiple physical, che</w:t>
      </w:r>
      <w:r w:rsidR="0048320A">
        <w:rPr>
          <w:rFonts w:cs="Arial"/>
        </w:rPr>
        <w:t>mical and biological processes that</w:t>
      </w:r>
      <w:r>
        <w:rPr>
          <w:rFonts w:cs="Arial"/>
        </w:rPr>
        <w:t xml:space="preserve"> determine </w:t>
      </w:r>
      <w:r w:rsidR="0048320A">
        <w:rPr>
          <w:rFonts w:cs="Arial"/>
        </w:rPr>
        <w:t xml:space="preserve">cumulative pressures to which </w:t>
      </w:r>
      <w:r>
        <w:rPr>
          <w:rFonts w:cs="Arial"/>
        </w:rPr>
        <w:t xml:space="preserve">communities are exposed (Scheffer </w:t>
      </w:r>
      <w:r>
        <w:rPr>
          <w:rFonts w:cs="Arial"/>
          <w:i/>
        </w:rPr>
        <w:t xml:space="preserve">et al. </w:t>
      </w:r>
      <w:r>
        <w:rPr>
          <w:rFonts w:cs="Arial"/>
        </w:rPr>
        <w:t xml:space="preserve">2001). For coral reefs, reduced resilience is often thought to result in the occurrence of intermittent or permanent phase shifts, </w:t>
      </w:r>
      <w:r>
        <w:rPr>
          <w:rFonts w:cs="Arial"/>
          <w:i/>
        </w:rPr>
        <w:t>i.e.,</w:t>
      </w:r>
      <w:r>
        <w:rPr>
          <w:rFonts w:cs="Arial"/>
        </w:rPr>
        <w:t xml:space="preserve"> the</w:t>
      </w:r>
      <w:r>
        <w:t xml:space="preserve"> transition </w:t>
      </w:r>
      <w:r>
        <w:rPr>
          <w:rFonts w:cs="Arial"/>
        </w:rPr>
        <w:t xml:space="preserve">from a coral-dominated to a macroalgal-dominated state (Done 1992, </w:t>
      </w:r>
      <w:r w:rsidRPr="00C446A5">
        <w:rPr>
          <w:rFonts w:cs="Arial"/>
        </w:rPr>
        <w:t xml:space="preserve">McCook 1999, Nyström </w:t>
      </w:r>
      <w:r w:rsidRPr="00B2786D">
        <w:rPr>
          <w:rFonts w:cs="Arial"/>
          <w:i/>
        </w:rPr>
        <w:t>et al</w:t>
      </w:r>
      <w:r w:rsidRPr="00C446A5">
        <w:rPr>
          <w:rFonts w:cs="Arial"/>
        </w:rPr>
        <w:t>. 2000</w:t>
      </w:r>
      <w:r>
        <w:rPr>
          <w:rFonts w:cs="Arial"/>
        </w:rPr>
        <w:t xml:space="preserve">). </w:t>
      </w:r>
    </w:p>
    <w:p w14:paraId="2BE362D4" w14:textId="544CE600" w:rsidR="00502A11" w:rsidRPr="00662E46" w:rsidRDefault="00502A11" w:rsidP="00502A11">
      <w:r w:rsidRPr="00233B0B">
        <w:rPr>
          <w:rFonts w:cs="Arial"/>
        </w:rPr>
        <w:t xml:space="preserve">Teasing apart the relative contribution </w:t>
      </w:r>
      <w:r>
        <w:rPr>
          <w:rFonts w:cs="Arial"/>
        </w:rPr>
        <w:t xml:space="preserve">of </w:t>
      </w:r>
      <w:r w:rsidR="0048320A">
        <w:rPr>
          <w:rFonts w:cs="Arial"/>
        </w:rPr>
        <w:t xml:space="preserve">cumulative pressures influencing </w:t>
      </w:r>
      <w:r>
        <w:rPr>
          <w:rFonts w:cs="Arial"/>
        </w:rPr>
        <w:t xml:space="preserve">resilience </w:t>
      </w:r>
      <w:r w:rsidR="0048320A">
        <w:rPr>
          <w:rFonts w:cs="Arial"/>
        </w:rPr>
        <w:t xml:space="preserve">at any point in space or time </w:t>
      </w:r>
      <w:r>
        <w:rPr>
          <w:rFonts w:cs="Arial"/>
        </w:rPr>
        <w:t>has proven difficult</w:t>
      </w:r>
      <w:r w:rsidR="0048320A">
        <w:rPr>
          <w:rFonts w:cs="Arial"/>
        </w:rPr>
        <w:t xml:space="preserve">, </w:t>
      </w:r>
      <w:r>
        <w:rPr>
          <w:rFonts w:cs="Arial"/>
        </w:rPr>
        <w:t>limit</w:t>
      </w:r>
      <w:r w:rsidR="0048320A">
        <w:rPr>
          <w:rFonts w:cs="Arial"/>
        </w:rPr>
        <w:t>ing</w:t>
      </w:r>
      <w:r w:rsidRPr="00233B0B">
        <w:rPr>
          <w:rFonts w:cs="Arial"/>
        </w:rPr>
        <w:t xml:space="preserve"> </w:t>
      </w:r>
      <w:r w:rsidR="0048320A">
        <w:rPr>
          <w:rFonts w:cs="Arial"/>
        </w:rPr>
        <w:t xml:space="preserve">the </w:t>
      </w:r>
      <w:r w:rsidRPr="00233B0B">
        <w:rPr>
          <w:rFonts w:cs="Arial"/>
        </w:rPr>
        <w:t>ability to identify key drivers which</w:t>
      </w:r>
      <w:r>
        <w:rPr>
          <w:rFonts w:cs="Arial"/>
        </w:rPr>
        <w:t xml:space="preserve"> </w:t>
      </w:r>
      <w:r w:rsidRPr="00233B0B">
        <w:rPr>
          <w:rFonts w:cs="Arial"/>
        </w:rPr>
        <w:t xml:space="preserve">can </w:t>
      </w:r>
      <w:r w:rsidR="0066479F">
        <w:rPr>
          <w:rFonts w:cs="Arial"/>
        </w:rPr>
        <w:t xml:space="preserve">be </w:t>
      </w:r>
      <w:r w:rsidR="0048320A">
        <w:rPr>
          <w:rFonts w:cs="Arial"/>
        </w:rPr>
        <w:t xml:space="preserve">influenced </w:t>
      </w:r>
      <w:r w:rsidRPr="00233B0B">
        <w:rPr>
          <w:rFonts w:cs="Arial"/>
        </w:rPr>
        <w:t>through management actions.</w:t>
      </w:r>
      <w:r>
        <w:rPr>
          <w:rFonts w:cs="Arial"/>
        </w:rPr>
        <w:t xml:space="preserve"> While there is considerable evidence that i</w:t>
      </w:r>
      <w:r>
        <w:t>ncreased levels of</w:t>
      </w:r>
      <w:r w:rsidRPr="000E3E17">
        <w:t xml:space="preserve"> suspended sediments, nutrients and toxicants discharged into the marine par</w:t>
      </w:r>
      <w:r>
        <w:t>k strongly influence</w:t>
      </w:r>
      <w:r w:rsidRPr="000E3E17">
        <w:t xml:space="preserve"> </w:t>
      </w:r>
      <w:r>
        <w:t>the local environmental conditions of nearshore coral reefs (Fabricius 2005)</w:t>
      </w:r>
      <w:r w:rsidR="0066479F">
        <w:t>,</w:t>
      </w:r>
      <w:r>
        <w:t xml:space="preserve"> few studies have specifically demonstrated the impacts of water quality and terrestrial </w:t>
      </w:r>
      <w:r w:rsidR="0042623E">
        <w:t>run-off</w:t>
      </w:r>
      <w:r>
        <w:t xml:space="preserve"> on the resilience of coral reefs.</w:t>
      </w:r>
      <w:r w:rsidRPr="00591378">
        <w:t xml:space="preserve"> </w:t>
      </w:r>
    </w:p>
    <w:p w14:paraId="4D532812" w14:textId="62ED165A" w:rsidR="00502A11" w:rsidRDefault="00502A11" w:rsidP="00502A11">
      <w:r>
        <w:t xml:space="preserve">The occurrence of high abundances of fleshy </w:t>
      </w:r>
      <w:r w:rsidRPr="00CA320D">
        <w:t xml:space="preserve">macroalgae in the benthic communities associated with coral reefs is, in most cases, considered a consequence rather than a cause of coral mortality (McCook </w:t>
      </w:r>
      <w:r w:rsidRPr="00CA320D">
        <w:rPr>
          <w:i/>
        </w:rPr>
        <w:t>et al.</w:t>
      </w:r>
      <w:r w:rsidRPr="00CA320D">
        <w:t xml:space="preserve"> 2001, Szmant 2002).</w:t>
      </w:r>
      <w:r w:rsidR="00E75F5C">
        <w:t xml:space="preserve"> </w:t>
      </w:r>
      <w:r>
        <w:t>However, once established macroalgae</w:t>
      </w:r>
      <w:r w:rsidR="00E75F5C">
        <w:t xml:space="preserve"> </w:t>
      </w:r>
      <w:r>
        <w:t>have the potential to supresses</w:t>
      </w:r>
      <w:r w:rsidRPr="00CA320D">
        <w:t xml:space="preserve"> the resilience of coral communities </w:t>
      </w:r>
      <w:r>
        <w:t xml:space="preserve">through a combination of physical and chemical pathways that reduce coral fecundity (Foster et al. 2008), and the subsequent settlement, growth and </w:t>
      </w:r>
      <w:r w:rsidRPr="00CA320D">
        <w:t>survival of juvenile</w:t>
      </w:r>
      <w:r>
        <w:t xml:space="preserve">s </w:t>
      </w:r>
      <w:r w:rsidRPr="00CA320D">
        <w:t xml:space="preserve">(McCook </w:t>
      </w:r>
      <w:r w:rsidRPr="00CA320D">
        <w:rPr>
          <w:i/>
        </w:rPr>
        <w:t>et al.</w:t>
      </w:r>
      <w:r w:rsidRPr="00CA320D">
        <w:t xml:space="preserve"> 2001, Box &amp; Mumby 2007</w:t>
      </w:r>
      <w:r>
        <w:t xml:space="preserve">, </w:t>
      </w:r>
      <w:r w:rsidRPr="00CA320D">
        <w:t xml:space="preserve">Hauri </w:t>
      </w:r>
      <w:r w:rsidRPr="00CA320D">
        <w:rPr>
          <w:i/>
        </w:rPr>
        <w:t>et al.</w:t>
      </w:r>
      <w:r w:rsidRPr="00CA320D">
        <w:t xml:space="preserve"> 2010</w:t>
      </w:r>
      <w:r>
        <w:t>, Morrow et al. 2016)</w:t>
      </w:r>
      <w:r w:rsidRPr="00CA320D">
        <w:t>.</w:t>
      </w:r>
    </w:p>
    <w:p w14:paraId="0A351834" w14:textId="651B2D87" w:rsidR="00502A11" w:rsidRPr="00C446A5" w:rsidRDefault="00502A11" w:rsidP="00502A11">
      <w:r>
        <w:t>In a</w:t>
      </w:r>
      <w:r w:rsidRPr="00CA320D">
        <w:t xml:space="preserve">ddition to </w:t>
      </w:r>
      <w:r>
        <w:t xml:space="preserve">the </w:t>
      </w:r>
      <w:r w:rsidRPr="00CA320D">
        <w:t>availab</w:t>
      </w:r>
      <w:r>
        <w:t>i</w:t>
      </w:r>
      <w:r w:rsidRPr="00CA320D">
        <w:t>l</w:t>
      </w:r>
      <w:r>
        <w:t xml:space="preserve">ity of space, </w:t>
      </w:r>
      <w:r w:rsidRPr="00CA320D">
        <w:t>a number of environmental factors control the recruitment, growth and density of macroalgae on coral reefs</w:t>
      </w:r>
      <w:r>
        <w:t>. These include both bott</w:t>
      </w:r>
      <w:r w:rsidRPr="00CA320D">
        <w:t>om-up processes such as the availability of sufficient nutrients and light</w:t>
      </w:r>
      <w:r>
        <w:t xml:space="preserve"> </w:t>
      </w:r>
      <w:r w:rsidRPr="00CA320D">
        <w:t xml:space="preserve">(Schaffelke </w:t>
      </w:r>
      <w:r w:rsidRPr="00CA320D">
        <w:rPr>
          <w:i/>
        </w:rPr>
        <w:t>et al.</w:t>
      </w:r>
      <w:r w:rsidRPr="00CA320D">
        <w:t xml:space="preserve"> 2005), and the top-down process associated with herbivory</w:t>
      </w:r>
      <w:r>
        <w:t xml:space="preserve"> (</w:t>
      </w:r>
      <w:r w:rsidRPr="00FC7F8C">
        <w:rPr>
          <w:rFonts w:cs="Arial"/>
          <w:szCs w:val="22"/>
          <w:lang w:val="en-AU"/>
        </w:rPr>
        <w:t>Ceccarelli</w:t>
      </w:r>
      <w:r>
        <w:t xml:space="preserve"> </w:t>
      </w:r>
      <w:r w:rsidRPr="00FC7F8C">
        <w:rPr>
          <w:i/>
        </w:rPr>
        <w:t>et al</w:t>
      </w:r>
      <w:r>
        <w:rPr>
          <w:i/>
        </w:rPr>
        <w:t>.</w:t>
      </w:r>
      <w:r>
        <w:t xml:space="preserve"> 2011, </w:t>
      </w:r>
      <w:r w:rsidRPr="00FC7F8C">
        <w:rPr>
          <w:rFonts w:cs="Arial"/>
        </w:rPr>
        <w:t xml:space="preserve">Hughes </w:t>
      </w:r>
      <w:r w:rsidRPr="00FC7F8C">
        <w:rPr>
          <w:rFonts w:cs="Arial"/>
          <w:i/>
        </w:rPr>
        <w:t>et al.</w:t>
      </w:r>
      <w:r w:rsidRPr="00FC7F8C">
        <w:rPr>
          <w:rFonts w:cs="Arial"/>
        </w:rPr>
        <w:t xml:space="preserve"> 2007</w:t>
      </w:r>
      <w:r>
        <w:t xml:space="preserve">). </w:t>
      </w:r>
      <w:r w:rsidRPr="00586812">
        <w:rPr>
          <w:rFonts w:cs="Arial"/>
        </w:rPr>
        <w:t>Evidently, both top-down and bottom-up processes are occurring simultaneously</w:t>
      </w:r>
      <w:r w:rsidR="00C01FC5">
        <w:rPr>
          <w:rFonts w:cs="Arial"/>
        </w:rPr>
        <w:t xml:space="preserve"> and</w:t>
      </w:r>
      <w:r w:rsidRPr="00586812">
        <w:rPr>
          <w:rFonts w:cs="Arial"/>
        </w:rPr>
        <w:t xml:space="preserve"> the</w:t>
      </w:r>
      <w:r>
        <w:rPr>
          <w:rFonts w:cs="Arial"/>
        </w:rPr>
        <w:t>ir</w:t>
      </w:r>
      <w:r w:rsidRPr="00586812">
        <w:rPr>
          <w:rFonts w:cs="Arial"/>
        </w:rPr>
        <w:t xml:space="preserve"> interactions are complex (Diaz-Pulido &amp; McCook 2003, Smith </w:t>
      </w:r>
      <w:r w:rsidRPr="00FC7F8C">
        <w:rPr>
          <w:rFonts w:cs="Arial"/>
          <w:i/>
        </w:rPr>
        <w:t>et al</w:t>
      </w:r>
      <w:r>
        <w:rPr>
          <w:rFonts w:cs="Arial"/>
          <w:i/>
        </w:rPr>
        <w:t>.</w:t>
      </w:r>
      <w:r w:rsidRPr="00586812">
        <w:rPr>
          <w:rFonts w:cs="Arial"/>
        </w:rPr>
        <w:t xml:space="preserve"> 2009)</w:t>
      </w:r>
      <w:r>
        <w:rPr>
          <w:rFonts w:cs="Arial"/>
        </w:rPr>
        <w:t>. However, irrespective of the final processes that facilitate a change in benthic communities to a macroalgae-dominated state,</w:t>
      </w:r>
      <w:r w:rsidRPr="00586812">
        <w:rPr>
          <w:rFonts w:cs="Arial"/>
        </w:rPr>
        <w:t xml:space="preserve"> </w:t>
      </w:r>
      <w:r>
        <w:rPr>
          <w:rFonts w:cs="Arial"/>
        </w:rPr>
        <w:t xml:space="preserve">the potential for this to occur is ultimately limited by the environmental conditions which support such a shift. </w:t>
      </w:r>
      <w:r>
        <w:t>The purpose of this case study was to investigate the relationship between long-term water quality and the distribution and abundance of brown macroalgae (class Phaeophyceae) on the Reef and the implications this has on the resilience of coral reef communities and the potential for phase shifts to occur.</w:t>
      </w:r>
    </w:p>
    <w:p w14:paraId="31EE3851" w14:textId="77777777" w:rsidR="00502A11" w:rsidRDefault="00502A11" w:rsidP="00502A11">
      <w:pPr>
        <w:pStyle w:val="Heading2"/>
      </w:pPr>
      <w:bookmarkStart w:id="318" w:name="_Toc493153355"/>
      <w:r>
        <w:t>8.1 Methods</w:t>
      </w:r>
      <w:bookmarkEnd w:id="318"/>
    </w:p>
    <w:p w14:paraId="1AF34276" w14:textId="77777777" w:rsidR="00502A11" w:rsidRPr="007E294F" w:rsidRDefault="00502A11" w:rsidP="00502A11">
      <w:r>
        <w:t>The data used in this analysis were derived from the point intercept transects from both the LTMP and MMP, as detailed in section 4 of this report</w:t>
      </w:r>
      <w:r w:rsidRPr="00F43653">
        <w:t>.</w:t>
      </w:r>
      <w:r>
        <w:t xml:space="preserve"> The response variable, cover of brown macroalgae, was assessed as the proportion of all cover of all benthic algae.</w:t>
      </w:r>
      <w:r w:rsidRPr="007E294F">
        <w:rPr>
          <w:color w:val="4F81BD" w:themeColor="accent1"/>
        </w:rPr>
        <w:t xml:space="preserve"> </w:t>
      </w:r>
      <w:r w:rsidRPr="007E294F">
        <w:t>Explicitly</w:t>
      </w:r>
      <w:r>
        <w:t>,</w:t>
      </w:r>
      <w:r w:rsidRPr="007E294F">
        <w:t xml:space="preserve"> if we allow </w:t>
      </w:r>
      <m:oMath>
        <m:sSub>
          <m:sSubPr>
            <m:ctrlPr>
              <w:rPr>
                <w:rFonts w:ascii="Cambria Math" w:hAnsi="Cambria Math"/>
                <w:i/>
                <w:szCs w:val="22"/>
              </w:rPr>
            </m:ctrlPr>
          </m:sSubPr>
          <m:e>
            <m:r>
              <w:rPr>
                <w:rFonts w:ascii="Cambria Math" w:hAnsi="Cambria Math"/>
              </w:rPr>
              <m:t>A</m:t>
            </m:r>
          </m:e>
          <m:sub>
            <m:r>
              <w:rPr>
                <w:rFonts w:ascii="Cambria Math" w:hAnsi="Cambria Math"/>
              </w:rPr>
              <m:t>ij</m:t>
            </m:r>
          </m:sub>
        </m:sSub>
      </m:oMath>
      <w:r w:rsidRPr="007E294F">
        <w:t xml:space="preserve"> to represent the percent cover of all algae (</w:t>
      </w:r>
      <m:oMath>
        <m:r>
          <w:rPr>
            <w:rFonts w:ascii="Cambria Math" w:hAnsi="Cambria Math"/>
          </w:rPr>
          <m:t>A</m:t>
        </m:r>
      </m:oMath>
      <w:r w:rsidRPr="007E294F">
        <w:t>) at a reef (</w:t>
      </w:r>
      <m:oMath>
        <m:r>
          <w:rPr>
            <w:rFonts w:ascii="Cambria Math" w:hAnsi="Cambria Math"/>
          </w:rPr>
          <m:t>i</m:t>
        </m:r>
      </m:oMath>
      <w:r w:rsidRPr="007E294F">
        <w:t>) at time (</w:t>
      </w:r>
      <m:oMath>
        <m:r>
          <w:rPr>
            <w:rFonts w:ascii="Cambria Math" w:hAnsi="Cambria Math"/>
          </w:rPr>
          <m:t>j</m:t>
        </m:r>
      </m:oMath>
      <w:r w:rsidRPr="007E294F">
        <w:t>)</w:t>
      </w:r>
      <w:r>
        <w:t>,</w:t>
      </w:r>
      <w:r w:rsidRPr="007E294F">
        <w:t xml:space="preserve"> and </w:t>
      </w:r>
      <m:oMath>
        <m:sSub>
          <m:sSubPr>
            <m:ctrlPr>
              <w:rPr>
                <w:rFonts w:ascii="Cambria Math" w:hAnsi="Cambria Math"/>
                <w:i/>
                <w:szCs w:val="22"/>
              </w:rPr>
            </m:ctrlPr>
          </m:sSubPr>
          <m:e>
            <m:r>
              <w:rPr>
                <w:rFonts w:ascii="Cambria Math" w:hAnsi="Cambria Math"/>
              </w:rPr>
              <m:t>BA</m:t>
            </m:r>
          </m:e>
          <m:sub>
            <m:r>
              <w:rPr>
                <w:rFonts w:ascii="Cambria Math" w:hAnsi="Cambria Math"/>
              </w:rPr>
              <m:t>ij</m:t>
            </m:r>
          </m:sub>
        </m:sSub>
      </m:oMath>
      <w:r w:rsidRPr="007E294F">
        <w:t xml:space="preserve"> to be the percent cover of </w:t>
      </w:r>
      <w:r>
        <w:t xml:space="preserve">brown </w:t>
      </w:r>
      <w:r w:rsidRPr="007E294F">
        <w:t xml:space="preserve">macroalgae </w:t>
      </w:r>
      <m:oMath>
        <m:r>
          <w:rPr>
            <w:rFonts w:ascii="Cambria Math" w:hAnsi="Cambria Math"/>
          </w:rPr>
          <m:t>BA</m:t>
        </m:r>
      </m:oMath>
      <w:r w:rsidRPr="007E294F">
        <w:t xml:space="preserve"> at a reef (</w:t>
      </w:r>
      <m:oMath>
        <m:r>
          <w:rPr>
            <w:rFonts w:ascii="Cambria Math" w:hAnsi="Cambria Math"/>
          </w:rPr>
          <m:t>i</m:t>
        </m:r>
      </m:oMath>
      <w:r w:rsidRPr="007E294F">
        <w:t>) at time (</w:t>
      </w:r>
      <m:oMath>
        <m:r>
          <w:rPr>
            <w:rFonts w:ascii="Cambria Math" w:hAnsi="Cambria Math"/>
          </w:rPr>
          <m:t>j</m:t>
        </m:r>
      </m:oMath>
      <w:r>
        <w:t>), then the</w:t>
      </w:r>
      <w:r w:rsidRPr="007E294F">
        <w:t xml:space="preserve"> response variable </w:t>
      </w:r>
      <m:oMath>
        <m:r>
          <w:rPr>
            <w:rFonts w:ascii="Cambria Math" w:hAnsi="Cambria Math"/>
          </w:rPr>
          <m:t>BAproportion</m:t>
        </m:r>
      </m:oMath>
      <w:r w:rsidRPr="007E294F">
        <w:t xml:space="preserve"> is:</w:t>
      </w:r>
    </w:p>
    <w:p w14:paraId="014963D7" w14:textId="77777777" w:rsidR="00502A11" w:rsidRPr="007E294F" w:rsidRDefault="00EF4C08" w:rsidP="00502A11">
      <w:pPr>
        <w:ind w:left="1440" w:firstLine="720"/>
      </w:pPr>
      <m:oMath>
        <m:sSub>
          <m:sSubPr>
            <m:ctrlPr>
              <w:rPr>
                <w:rFonts w:ascii="Cambria Math" w:eastAsiaTheme="minorEastAsia" w:hAnsi="Cambria Math"/>
                <w:i/>
                <w:szCs w:val="22"/>
              </w:rPr>
            </m:ctrlPr>
          </m:sSubPr>
          <m:e>
            <m:r>
              <w:rPr>
                <w:rFonts w:ascii="Cambria Math" w:eastAsiaTheme="minorEastAsia" w:hAnsi="Cambria Math"/>
              </w:rPr>
              <m:t>BAproportion</m:t>
            </m:r>
          </m:e>
          <m:sub>
            <m:r>
              <w:rPr>
                <w:rFonts w:ascii="Cambria Math" w:eastAsiaTheme="minorEastAsia" w:hAnsi="Cambria Math"/>
              </w:rPr>
              <m:t>ij</m:t>
            </m:r>
          </m:sub>
        </m:sSub>
      </m:oMath>
      <w:r w:rsidR="00502A11" w:rsidRPr="007E294F">
        <w:rPr>
          <w:rFonts w:eastAsiaTheme="minorEastAsia"/>
        </w:rPr>
        <w:t xml:space="preserve"> = </w:t>
      </w:r>
      <m:oMath>
        <m:sSub>
          <m:sSubPr>
            <m:ctrlPr>
              <w:rPr>
                <w:rFonts w:ascii="Cambria Math" w:hAnsi="Cambria Math"/>
                <w:i/>
                <w:szCs w:val="22"/>
              </w:rPr>
            </m:ctrlPr>
          </m:sSubPr>
          <m:e>
            <m:r>
              <w:rPr>
                <w:rFonts w:ascii="Cambria Math" w:hAnsi="Cambria Math"/>
              </w:rPr>
              <m:t>BA</m:t>
            </m:r>
          </m:e>
          <m:sub>
            <m:r>
              <w:rPr>
                <w:rFonts w:ascii="Cambria Math" w:hAnsi="Cambria Math"/>
              </w:rPr>
              <m:t>ij</m:t>
            </m:r>
          </m:sub>
        </m:sSub>
      </m:oMath>
      <w:r w:rsidR="00502A11" w:rsidRPr="007E294F">
        <w:rPr>
          <w:rFonts w:eastAsiaTheme="minorEastAsia"/>
        </w:rPr>
        <w:t xml:space="preserve"> / </w:t>
      </w:r>
      <m:oMath>
        <m:sSub>
          <m:sSubPr>
            <m:ctrlPr>
              <w:rPr>
                <w:rFonts w:ascii="Cambria Math" w:hAnsi="Cambria Math"/>
                <w:i/>
                <w:szCs w:val="22"/>
              </w:rPr>
            </m:ctrlPr>
          </m:sSubPr>
          <m:e>
            <m:r>
              <w:rPr>
                <w:rFonts w:ascii="Cambria Math" w:hAnsi="Cambria Math"/>
              </w:rPr>
              <m:t>A</m:t>
            </m:r>
          </m:e>
          <m:sub>
            <m:r>
              <w:rPr>
                <w:rFonts w:ascii="Cambria Math" w:hAnsi="Cambria Math"/>
              </w:rPr>
              <m:t>ij</m:t>
            </m:r>
          </m:sub>
        </m:sSub>
      </m:oMath>
    </w:p>
    <w:p w14:paraId="7787E0B4" w14:textId="7E0B6438" w:rsidR="00502A11" w:rsidRDefault="00502A11" w:rsidP="00502A11">
      <w:pPr>
        <w:autoSpaceDE w:val="0"/>
        <w:autoSpaceDN w:val="0"/>
        <w:adjustRightInd w:val="0"/>
        <w:spacing w:after="0"/>
      </w:pPr>
      <w:r w:rsidRPr="00D74D59">
        <w:t>For the analyses presented here</w:t>
      </w:r>
      <w:r>
        <w:t>,</w:t>
      </w:r>
      <w:r w:rsidRPr="00D74D59">
        <w:t xml:space="preserve"> estimates of the concentration of chlorophyll </w:t>
      </w:r>
      <w:r w:rsidRPr="00C37B7C">
        <w:rPr>
          <w:i/>
        </w:rPr>
        <w:t>a</w:t>
      </w:r>
      <w:r w:rsidRPr="00D74D59">
        <w:t xml:space="preserve"> (Chl </w:t>
      </w:r>
      <w:r w:rsidRPr="00C37B7C">
        <w:rPr>
          <w:i/>
        </w:rPr>
        <w:t>a</w:t>
      </w:r>
      <w:r w:rsidRPr="00D74D59">
        <w:t>) and non-algal particulates (</w:t>
      </w:r>
      <w:r>
        <w:t>hereafter TSS</w:t>
      </w:r>
      <w:r w:rsidRPr="00D74D59">
        <w:t>) were sourced from the Bureau of Meteorology</w:t>
      </w:r>
      <w:r w:rsidRPr="00D74D59">
        <w:rPr>
          <w:rStyle w:val="FootnoteReference"/>
        </w:rPr>
        <w:footnoteReference w:id="9"/>
      </w:r>
      <w:r>
        <w:t xml:space="preserve">. Chl </w:t>
      </w:r>
      <w:r w:rsidRPr="00C37B7C">
        <w:rPr>
          <w:i/>
        </w:rPr>
        <w:t>a</w:t>
      </w:r>
      <w:r>
        <w:t xml:space="preserve"> and TSS estimates were extracted from daily MODIS Aqua satellite observations from a square of nine, 1-km</w:t>
      </w:r>
      <w:r>
        <w:rPr>
          <w:vertAlign w:val="superscript"/>
        </w:rPr>
        <w:t>2</w:t>
      </w:r>
      <w:r>
        <w:t xml:space="preserve"> pixels located in optically deep waters as close as possible to sampling locations. The</w:t>
      </w:r>
      <w:r w:rsidR="00E75F5C">
        <w:t xml:space="preserve"> </w:t>
      </w:r>
      <w:r w:rsidRPr="00BA63BC">
        <w:t>mean values</w:t>
      </w:r>
      <w:r>
        <w:t xml:space="preserve"> of Chl </w:t>
      </w:r>
      <w:r w:rsidRPr="00C37B7C">
        <w:rPr>
          <w:i/>
        </w:rPr>
        <w:t>a</w:t>
      </w:r>
      <w:r>
        <w:t xml:space="preserve"> and TSS </w:t>
      </w:r>
      <w:r w:rsidRPr="00BA63BC">
        <w:t>estimated from daily medians</w:t>
      </w:r>
      <w:r>
        <w:t xml:space="preserve"> of these nine pixels constituted monthly estimates over the period 2002–2016 for each reef. Monthly estimates were then averaged over the entire period</w:t>
      </w:r>
      <w:r w:rsidRPr="00D74D59">
        <w:t xml:space="preserve"> to </w:t>
      </w:r>
      <w:r>
        <w:t xml:space="preserve">provide an </w:t>
      </w:r>
      <w:r w:rsidRPr="00D74D59">
        <w:t xml:space="preserve">estimate </w:t>
      </w:r>
      <w:r>
        <w:t xml:space="preserve">of </w:t>
      </w:r>
      <w:r w:rsidRPr="00D74D59">
        <w:t>the long-term</w:t>
      </w:r>
      <w:r>
        <w:t xml:space="preserve"> water quality</w:t>
      </w:r>
      <w:r w:rsidRPr="00D74D59">
        <w:t xml:space="preserve"> condition for each reef. </w:t>
      </w:r>
      <w:r>
        <w:t>In addition, the same process was conducted to obtain long-term conditions for each 9 pixel block for the entire Reef to allow for spatial analysis and predictions of brown macroalgae distributions.</w:t>
      </w:r>
    </w:p>
    <w:p w14:paraId="32C46309" w14:textId="77777777" w:rsidR="00502A11" w:rsidRPr="00B2786D" w:rsidRDefault="00502A11" w:rsidP="00502A11">
      <w:pPr>
        <w:autoSpaceDE w:val="0"/>
        <w:autoSpaceDN w:val="0"/>
        <w:adjustRightInd w:val="0"/>
        <w:spacing w:after="0"/>
      </w:pPr>
    </w:p>
    <w:p w14:paraId="33182936" w14:textId="77777777" w:rsidR="00502A11" w:rsidRPr="00D74D59" w:rsidRDefault="00502A11" w:rsidP="00502A11">
      <w:r w:rsidRPr="00D74D59">
        <w:t>The relative hydrodynamic forcing of each site was estimated as the proportion of clay and silt</w:t>
      </w:r>
      <w:r>
        <w:t>-</w:t>
      </w:r>
      <w:r w:rsidRPr="00D74D59">
        <w:t>sized particles in sediments collected from 5 m depth at MMP sites</w:t>
      </w:r>
      <w:r>
        <w:t>. Data for each reef were averaged over</w:t>
      </w:r>
      <w:r w:rsidRPr="00D74D59">
        <w:t xml:space="preserve"> samples collected during annual or biennial sampling of the coral communities between 2007 and 2014. Reefs with a high proportion of fine grained particles are assumed to represent locations at which turbulence is low and so the accumulation of fine sediments </w:t>
      </w:r>
      <w:r>
        <w:t xml:space="preserve">is </w:t>
      </w:r>
      <w:r w:rsidRPr="00D74D59">
        <w:t xml:space="preserve">promoted. In contrast, a low proportion of fine grained particles are assumed to reflect higher levels of turbulence that precludes the accumulation of fine-grained sediments. For LTMP reefs no sediment data exist and estimates of the proportion of clay and silt in the sediments was interpolated by placing the LTMP sites within the gradient of MMP sites by considering their comparable exposure to waves from the SE as the predominant direction of waves in the inner </w:t>
      </w:r>
      <w:r>
        <w:t>Reef</w:t>
      </w:r>
      <w:r w:rsidRPr="00D74D59">
        <w:t>. Images from LTMP photo-transects that included sand or silt observations were visually compared to images from MMP reefs with similar exposure to visually verify the validity of interpolated estimates.</w:t>
      </w:r>
    </w:p>
    <w:p w14:paraId="40F1C765" w14:textId="77777777" w:rsidR="00502A11" w:rsidRDefault="00502A11" w:rsidP="00502A11">
      <w:pPr>
        <w:pStyle w:val="Heading4"/>
      </w:pPr>
      <w:r>
        <w:t>Analysis</w:t>
      </w:r>
    </w:p>
    <w:p w14:paraId="167B522C" w14:textId="77777777" w:rsidR="00502A11" w:rsidRPr="00D74D59" w:rsidRDefault="00502A11" w:rsidP="00502A11">
      <w:r w:rsidRPr="00D74D59">
        <w:t xml:space="preserve">Generalised Boosted Models (GBM, Ridgeway 2007) were applied to the data according to the methods outlined for the GBM step function described by Elith </w:t>
      </w:r>
      <w:r w:rsidRPr="00D74D59">
        <w:rPr>
          <w:i/>
        </w:rPr>
        <w:t>et al</w:t>
      </w:r>
      <w:r>
        <w:rPr>
          <w:i/>
        </w:rPr>
        <w:t>.</w:t>
      </w:r>
      <w:r w:rsidRPr="00D74D59">
        <w:t xml:space="preserve"> 2008 </w:t>
      </w:r>
      <w:r w:rsidRPr="00D74D59">
        <w:rPr>
          <w:rFonts w:eastAsia="MS Mincho"/>
        </w:rPr>
        <w:t>using the R statistical package (R_Development_Core_Team 2011)</w:t>
      </w:r>
      <w:r w:rsidRPr="00D74D59">
        <w:t xml:space="preserve">. Output from the models was then used to determine threshold values affecting </w:t>
      </w:r>
      <w:r w:rsidRPr="005A792E">
        <w:rPr>
          <w:i/>
        </w:rPr>
        <w:t>BAproportion</w:t>
      </w:r>
      <w:r w:rsidRPr="00D74D59">
        <w:t xml:space="preserve">. For each covariate the threshold was deemed to be the value at which the predicted </w:t>
      </w:r>
      <w:r w:rsidRPr="005A792E">
        <w:rPr>
          <w:i/>
        </w:rPr>
        <w:t>BAproportion</w:t>
      </w:r>
      <w:r w:rsidRPr="00D74D59">
        <w:t xml:space="preserve"> changed most significantly either positively or negatively.</w:t>
      </w:r>
    </w:p>
    <w:p w14:paraId="140C2BB8" w14:textId="77777777" w:rsidR="00502A11" w:rsidRDefault="00502A11" w:rsidP="00502A11">
      <w:pPr>
        <w:pStyle w:val="Heading2"/>
      </w:pPr>
      <w:bookmarkStart w:id="319" w:name="_Toc493153356"/>
      <w:r>
        <w:t>8.2 Results</w:t>
      </w:r>
      <w:bookmarkEnd w:id="319"/>
    </w:p>
    <w:p w14:paraId="31F5DB21" w14:textId="1AC101D1" w:rsidR="00502A11" w:rsidRDefault="00502A11" w:rsidP="00502A11">
      <w:r>
        <w:t>C</w:t>
      </w:r>
      <w:r w:rsidRPr="00343A96">
        <w:t xml:space="preserve">oncentration of </w:t>
      </w:r>
      <w:r>
        <w:t>C</w:t>
      </w:r>
      <w:r w:rsidRPr="00343A96">
        <w:t>hl</w:t>
      </w:r>
      <w:r>
        <w:t xml:space="preserve"> </w:t>
      </w:r>
      <w:r w:rsidRPr="00A777DA">
        <w:rPr>
          <w:i/>
        </w:rPr>
        <w:t xml:space="preserve">a </w:t>
      </w:r>
      <w:r w:rsidRPr="00343A96">
        <w:t xml:space="preserve">was the most important of the environmental variables assessed in predicting </w:t>
      </w:r>
      <w:r w:rsidRPr="00343A96">
        <w:rPr>
          <w:i/>
        </w:rPr>
        <w:t>BAproportion,</w:t>
      </w:r>
      <w:r w:rsidRPr="00343A96">
        <w:t xml:space="preserve"> which increased</w:t>
      </w:r>
      <w:r>
        <w:t xml:space="preserve"> sharply</w:t>
      </w:r>
      <w:r w:rsidRPr="00343A96">
        <w:t xml:space="preserve"> </w:t>
      </w:r>
      <w:r>
        <w:t>at</w:t>
      </w:r>
      <w:r w:rsidRPr="00343A96">
        <w:t xml:space="preserve"> reefs experiencing mean </w:t>
      </w:r>
      <w:r>
        <w:t xml:space="preserve">Chl </w:t>
      </w:r>
      <w:r w:rsidRPr="00F76D49">
        <w:rPr>
          <w:i/>
        </w:rPr>
        <w:t>a</w:t>
      </w:r>
      <w:r w:rsidRPr="00343A96">
        <w:t xml:space="preserve"> concentrations in excess of 0.5</w:t>
      </w:r>
      <w:r w:rsidR="00A777DA">
        <w:t xml:space="preserve"> </w:t>
      </w:r>
      <w:r w:rsidRPr="00343A96">
        <w:rPr>
          <w:rFonts w:cs="Arial"/>
        </w:rPr>
        <w:t>µ</w:t>
      </w:r>
      <w:r>
        <w:t>gL</w:t>
      </w:r>
      <w:r>
        <w:rPr>
          <w:vertAlign w:val="superscript"/>
        </w:rPr>
        <w:t>-1</w:t>
      </w:r>
      <w:r>
        <w:rPr>
          <w:rFonts w:cs="Arial"/>
        </w:rPr>
        <w:t xml:space="preserve"> </w:t>
      </w:r>
      <w:r w:rsidRPr="00343A96">
        <w:t>and 0.4</w:t>
      </w:r>
      <w:r>
        <w:t>5</w:t>
      </w:r>
      <w:r w:rsidRPr="00343A96">
        <w:rPr>
          <w:rFonts w:cs="Arial"/>
        </w:rPr>
        <w:t xml:space="preserve"> µ</w:t>
      </w:r>
      <w:r w:rsidRPr="00343A96">
        <w:t>gL</w:t>
      </w:r>
      <w:r w:rsidRPr="00343A96">
        <w:rPr>
          <w:vertAlign w:val="superscript"/>
        </w:rPr>
        <w:t>-1</w:t>
      </w:r>
      <w:r w:rsidRPr="00343A96">
        <w:t xml:space="preserve"> </w:t>
      </w:r>
      <w:r>
        <w:t xml:space="preserve">at </w:t>
      </w:r>
      <w:r>
        <w:rPr>
          <w:rFonts w:cs="Arial"/>
        </w:rPr>
        <w:t>2</w:t>
      </w:r>
      <w:r w:rsidR="00A777DA">
        <w:rPr>
          <w:rFonts w:cs="Arial"/>
        </w:rPr>
        <w:t xml:space="preserve"> </w:t>
      </w:r>
      <w:r>
        <w:rPr>
          <w:rFonts w:cs="Arial"/>
        </w:rPr>
        <w:t xml:space="preserve">m and </w:t>
      </w:r>
      <w:r>
        <w:t>5</w:t>
      </w:r>
      <w:r w:rsidR="00A777DA">
        <w:t xml:space="preserve"> </w:t>
      </w:r>
      <w:r>
        <w:t>m depths respectively</w:t>
      </w:r>
      <w:r w:rsidRPr="00343A96">
        <w:t xml:space="preserve"> (</w:t>
      </w:r>
      <w:r w:rsidR="00A777DA">
        <w:fldChar w:fldCharType="begin"/>
      </w:r>
      <w:r w:rsidR="00A777DA">
        <w:instrText xml:space="preserve"> REF _Ref491176536 \h </w:instrText>
      </w:r>
      <w:r w:rsidR="00A777DA">
        <w:fldChar w:fldCharType="separate"/>
      </w:r>
      <w:r w:rsidR="00D806F2">
        <w:t xml:space="preserve">Figure </w:t>
      </w:r>
      <w:r w:rsidR="00D806F2">
        <w:rPr>
          <w:noProof/>
        </w:rPr>
        <w:t>26</w:t>
      </w:r>
      <w:r w:rsidR="00A777DA">
        <w:fldChar w:fldCharType="end"/>
      </w:r>
      <w:r>
        <w:t>b, e)</w:t>
      </w:r>
      <w:r w:rsidRPr="00343A96">
        <w:t xml:space="preserve">. </w:t>
      </w:r>
      <w:r>
        <w:t xml:space="preserve">The relative importance of the remaining two co-variates differed in relation to depth. </w:t>
      </w:r>
      <w:r w:rsidRPr="00343A96">
        <w:t>At 5</w:t>
      </w:r>
      <w:r w:rsidR="00A777DA">
        <w:t xml:space="preserve"> </w:t>
      </w:r>
      <w:r w:rsidRPr="00343A96">
        <w:t xml:space="preserve">m depths, </w:t>
      </w:r>
      <w:r>
        <w:t>t</w:t>
      </w:r>
      <w:r w:rsidRPr="00343A96">
        <w:t xml:space="preserve">he influence of </w:t>
      </w:r>
      <w:r>
        <w:t>TSS</w:t>
      </w:r>
      <w:r w:rsidRPr="00343A96">
        <w:t xml:space="preserve"> </w:t>
      </w:r>
      <w:r>
        <w:t xml:space="preserve">on </w:t>
      </w:r>
      <w:r>
        <w:rPr>
          <w:i/>
        </w:rPr>
        <w:t>BA</w:t>
      </w:r>
      <w:r w:rsidRPr="00343A96">
        <w:rPr>
          <w:i/>
        </w:rPr>
        <w:t>proportion</w:t>
      </w:r>
      <w:r w:rsidRPr="00343A96">
        <w:t xml:space="preserve"> was more pronounced</w:t>
      </w:r>
      <w:r>
        <w:t>,</w:t>
      </w:r>
      <w:r w:rsidRPr="00343A96">
        <w:t xml:space="preserve"> </w:t>
      </w:r>
      <w:r>
        <w:t xml:space="preserve">with </w:t>
      </w:r>
      <w:r w:rsidRPr="00641750">
        <w:rPr>
          <w:i/>
        </w:rPr>
        <w:t>BAproportion</w:t>
      </w:r>
      <w:r>
        <w:t xml:space="preserve"> decreasing at sites where TSS exceeded 1.07</w:t>
      </w:r>
      <w:r w:rsidR="00A777DA">
        <w:t xml:space="preserve"> </w:t>
      </w:r>
      <w:r>
        <w:t>mgL</w:t>
      </w:r>
      <w:r>
        <w:rPr>
          <w:vertAlign w:val="superscript"/>
        </w:rPr>
        <w:t>-1</w:t>
      </w:r>
      <w:r>
        <w:t xml:space="preserve">, whilst TSS contributed very little to </w:t>
      </w:r>
      <w:r w:rsidRPr="00641750">
        <w:rPr>
          <w:i/>
        </w:rPr>
        <w:t>BAproportion</w:t>
      </w:r>
      <w:r>
        <w:t xml:space="preserve"> </w:t>
      </w:r>
      <w:r w:rsidRPr="00343A96">
        <w:t>at 2</w:t>
      </w:r>
      <w:r w:rsidR="00A777DA">
        <w:t xml:space="preserve"> </w:t>
      </w:r>
      <w:r w:rsidRPr="00343A96">
        <w:t>m</w:t>
      </w:r>
      <w:r>
        <w:t xml:space="preserve"> depths </w:t>
      </w:r>
      <w:r w:rsidRPr="00343A96">
        <w:t>(</w:t>
      </w:r>
      <w:r w:rsidR="00A777DA">
        <w:fldChar w:fldCharType="begin"/>
      </w:r>
      <w:r w:rsidR="00A777DA">
        <w:instrText xml:space="preserve"> REF _Ref491176536 \h </w:instrText>
      </w:r>
      <w:r w:rsidR="00A777DA">
        <w:fldChar w:fldCharType="separate"/>
      </w:r>
      <w:r w:rsidR="00D806F2">
        <w:t xml:space="preserve">Figure </w:t>
      </w:r>
      <w:r w:rsidR="00D806F2">
        <w:rPr>
          <w:noProof/>
        </w:rPr>
        <w:t>26</w:t>
      </w:r>
      <w:r w:rsidR="00A777DA">
        <w:fldChar w:fldCharType="end"/>
      </w:r>
      <w:r>
        <w:t>a,</w:t>
      </w:r>
      <w:r w:rsidR="00A777DA">
        <w:t xml:space="preserve"> </w:t>
      </w:r>
      <w:r>
        <w:t>d</w:t>
      </w:r>
      <w:r w:rsidRPr="00343A96">
        <w:t xml:space="preserve">). </w:t>
      </w:r>
      <w:r>
        <w:t>P</w:t>
      </w:r>
      <w:r w:rsidRPr="00343A96">
        <w:t>r</w:t>
      </w:r>
      <w:r w:rsidR="00A777DA">
        <w:t xml:space="preserve">oportion of clay and silt size </w:t>
      </w:r>
      <w:r w:rsidRPr="00343A96">
        <w:t xml:space="preserve">particles in sediments was </w:t>
      </w:r>
      <w:r>
        <w:t>the second most important co-variate at 2</w:t>
      </w:r>
      <w:r w:rsidR="00A777DA">
        <w:t xml:space="preserve"> </w:t>
      </w:r>
      <w:r>
        <w:t xml:space="preserve">m depths with </w:t>
      </w:r>
      <w:r w:rsidRPr="00641750">
        <w:rPr>
          <w:i/>
        </w:rPr>
        <w:t>BAproportion</w:t>
      </w:r>
      <w:r>
        <w:t xml:space="preserve"> </w:t>
      </w:r>
      <w:r w:rsidR="00E94A89">
        <w:t xml:space="preserve">with </w:t>
      </w:r>
      <w:r>
        <w:t xml:space="preserve">reduced once the fine fraction exceeded 12% </w:t>
      </w:r>
      <w:r w:rsidRPr="00343A96">
        <w:t>(</w:t>
      </w:r>
      <w:r w:rsidR="00A777DA">
        <w:fldChar w:fldCharType="begin"/>
      </w:r>
      <w:r w:rsidR="00A777DA">
        <w:instrText xml:space="preserve"> REF _Ref491176536 \h </w:instrText>
      </w:r>
      <w:r w:rsidR="00A777DA">
        <w:fldChar w:fldCharType="separate"/>
      </w:r>
      <w:r w:rsidR="00D806F2">
        <w:t xml:space="preserve">Figure </w:t>
      </w:r>
      <w:r w:rsidR="00D806F2">
        <w:rPr>
          <w:noProof/>
        </w:rPr>
        <w:t>26</w:t>
      </w:r>
      <w:r w:rsidR="00A777DA">
        <w:fldChar w:fldCharType="end"/>
      </w:r>
      <w:r w:rsidRPr="00343A96">
        <w:t xml:space="preserve">c). </w:t>
      </w:r>
      <w:r>
        <w:t>At 5</w:t>
      </w:r>
      <w:r w:rsidR="00A777DA">
        <w:t xml:space="preserve"> </w:t>
      </w:r>
      <w:r>
        <w:t>m, high leve</w:t>
      </w:r>
      <w:r w:rsidR="00A777DA">
        <w:t>ls of fine,</w:t>
      </w:r>
      <w:r w:rsidR="00E75F5C">
        <w:t xml:space="preserve"> </w:t>
      </w:r>
      <w:r w:rsidR="00A777DA">
        <w:t>clay and silt size,</w:t>
      </w:r>
      <w:r>
        <w:t xml:space="preserve"> particles in the sediment again suppressed </w:t>
      </w:r>
      <w:r w:rsidRPr="00641750">
        <w:rPr>
          <w:i/>
        </w:rPr>
        <w:t>BAproportion</w:t>
      </w:r>
      <w:r>
        <w:t xml:space="preserve"> though the effect size was </w:t>
      </w:r>
      <w:r w:rsidR="00A777DA">
        <w:t>small</w:t>
      </w:r>
      <w:r>
        <w:t xml:space="preserve"> </w:t>
      </w:r>
      <w:r w:rsidRPr="00343A96">
        <w:t>(</w:t>
      </w:r>
      <w:r w:rsidR="00A777DA">
        <w:fldChar w:fldCharType="begin"/>
      </w:r>
      <w:r w:rsidR="00A777DA">
        <w:instrText xml:space="preserve"> REF _Ref491176536 \h </w:instrText>
      </w:r>
      <w:r w:rsidR="00A777DA">
        <w:fldChar w:fldCharType="separate"/>
      </w:r>
      <w:r w:rsidR="00D806F2">
        <w:t xml:space="preserve">Figure </w:t>
      </w:r>
      <w:r w:rsidR="00D806F2">
        <w:rPr>
          <w:noProof/>
        </w:rPr>
        <w:t>26</w:t>
      </w:r>
      <w:r w:rsidR="00A777DA">
        <w:fldChar w:fldCharType="end"/>
      </w:r>
      <w:r w:rsidR="00A777DA">
        <w:t>f</w:t>
      </w:r>
      <w:r>
        <w:t>).</w:t>
      </w:r>
    </w:p>
    <w:p w14:paraId="3FE45E0D" w14:textId="603195F1" w:rsidR="00502A11" w:rsidRDefault="00E94A89" w:rsidP="00502A11">
      <w:pPr>
        <w:pStyle w:val="Heading4"/>
      </w:pPr>
      <w:r>
        <w:rPr>
          <w:noProof/>
          <w:lang w:val="en-AU" w:eastAsia="en-AU"/>
        </w:rPr>
        <w:drawing>
          <wp:inline distT="0" distB="0" distL="0" distR="0" wp14:anchorId="69522892" wp14:editId="5A602C0A">
            <wp:extent cx="6120765" cy="4590415"/>
            <wp:effectExtent l="0" t="0" r="0" b="63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brownMA report.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6120765" cy="4590415"/>
                    </a:xfrm>
                    <a:prstGeom prst="rect">
                      <a:avLst/>
                    </a:prstGeom>
                  </pic:spPr>
                </pic:pic>
              </a:graphicData>
            </a:graphic>
          </wp:inline>
        </w:drawing>
      </w:r>
    </w:p>
    <w:p w14:paraId="36F8E321" w14:textId="406B611C" w:rsidR="00502A11" w:rsidRPr="00F439FB" w:rsidRDefault="00A777DA" w:rsidP="00A777DA">
      <w:pPr>
        <w:pStyle w:val="Caption"/>
        <w:rPr>
          <w:vanish/>
        </w:rPr>
      </w:pPr>
      <w:bookmarkStart w:id="320" w:name="_Ref491176536"/>
      <w:bookmarkStart w:id="321" w:name="_Ref470009500"/>
      <w:bookmarkStart w:id="322" w:name="_Toc491846852"/>
      <w:r>
        <w:t xml:space="preserve">Figure </w:t>
      </w:r>
      <w:r>
        <w:fldChar w:fldCharType="begin"/>
      </w:r>
      <w:r>
        <w:instrText xml:space="preserve"> SEQ Figure \* ARABIC </w:instrText>
      </w:r>
      <w:r>
        <w:fldChar w:fldCharType="separate"/>
      </w:r>
      <w:r w:rsidR="00D806F2">
        <w:rPr>
          <w:noProof/>
        </w:rPr>
        <w:t>26</w:t>
      </w:r>
      <w:r>
        <w:fldChar w:fldCharType="end"/>
      </w:r>
      <w:bookmarkEnd w:id="320"/>
      <w:r>
        <w:t xml:space="preserve"> </w:t>
      </w:r>
      <w:r w:rsidRPr="00592CB8">
        <w:t>Brown macroalgae proportion relationships to environmental conditions</w:t>
      </w:r>
      <w:bookmarkEnd w:id="321"/>
      <w:bookmarkEnd w:id="322"/>
    </w:p>
    <w:p w14:paraId="052E2AA1" w14:textId="4A77F707" w:rsidR="00502A11" w:rsidRPr="00641750" w:rsidRDefault="00502A11" w:rsidP="00502A11">
      <w:pPr>
        <w:pStyle w:val="Caption"/>
        <w:rPr>
          <w:rStyle w:val="IntenseReference"/>
          <w:rFonts w:eastAsia="SimSun"/>
          <w:color w:val="auto"/>
        </w:rPr>
      </w:pPr>
      <w:bookmarkStart w:id="323" w:name="_Toc437597648"/>
      <w:r w:rsidRPr="00F439FB">
        <w:t xml:space="preserve">. </w:t>
      </w:r>
      <w:r w:rsidRPr="00641750">
        <w:rPr>
          <w:rStyle w:val="IntenseReference"/>
          <w:rFonts w:eastAsia="SimSun"/>
          <w:color w:val="auto"/>
        </w:rPr>
        <w:t xml:space="preserve">Generalised boosted model partial plots demonstrating the relationship between </w:t>
      </w:r>
      <w:r w:rsidRPr="005A792E">
        <w:rPr>
          <w:rStyle w:val="IntenseReference"/>
          <w:rFonts w:eastAsia="SimSun"/>
          <w:i/>
          <w:color w:val="auto"/>
        </w:rPr>
        <w:t xml:space="preserve">BAproportion </w:t>
      </w:r>
      <w:r w:rsidRPr="00641750">
        <w:rPr>
          <w:rStyle w:val="IntenseReference"/>
          <w:rFonts w:eastAsia="SimSun"/>
          <w:color w:val="auto"/>
        </w:rPr>
        <w:t>and environmental conditions</w:t>
      </w:r>
      <w:bookmarkEnd w:id="323"/>
      <w:r w:rsidRPr="00641750">
        <w:rPr>
          <w:rStyle w:val="IntenseReference"/>
          <w:rFonts w:eastAsia="SimSun"/>
          <w:color w:val="auto"/>
        </w:rPr>
        <w:t>.</w:t>
      </w:r>
      <w:r w:rsidR="00E94A89" w:rsidRPr="00E94A89">
        <w:t xml:space="preserve"> </w:t>
      </w:r>
      <w:r w:rsidR="00E94A89">
        <w:t>Dashed lines are 95% confidence intervals of the predictions.</w:t>
      </w:r>
    </w:p>
    <w:p w14:paraId="57261A75" w14:textId="77777777" w:rsidR="00502A11" w:rsidRDefault="00502A11" w:rsidP="00502A11">
      <w:pPr>
        <w:pStyle w:val="Heading2"/>
      </w:pPr>
      <w:bookmarkStart w:id="324" w:name="_Toc493153357"/>
      <w:r>
        <w:t>8.3 Discussion</w:t>
      </w:r>
      <w:bookmarkEnd w:id="324"/>
    </w:p>
    <w:p w14:paraId="6BD1EEA4" w14:textId="479DB999" w:rsidR="00502A11" w:rsidRDefault="00502A11" w:rsidP="00502A11">
      <w:r>
        <w:t xml:space="preserve">For the purpose of this analysis we focused specifically on brown macroalgae as these are identified as being the most abundant and diverse group of macroalgae in inshore areas of the Reef (McCook &amp; Price 1997, Schaffelke &amp; Klumpp 1997). Further, data collected under the MMP indicates that where macroalgal cover has increased and persisted genera of </w:t>
      </w:r>
      <w:r w:rsidR="00A777DA">
        <w:t xml:space="preserve">Phaeophyceae dominate over </w:t>
      </w:r>
      <w:r>
        <w:t xml:space="preserve">other </w:t>
      </w:r>
      <w:r w:rsidR="00A777DA">
        <w:t>major divisions (</w:t>
      </w:r>
      <w:r>
        <w:t>Rhodophyta and Chlorophyta).</w:t>
      </w:r>
    </w:p>
    <w:p w14:paraId="6FBCF83F" w14:textId="28375C65" w:rsidR="00502A11" w:rsidRDefault="00502A11" w:rsidP="00502A11">
      <w:r>
        <w:t>Our</w:t>
      </w:r>
      <w:r w:rsidRPr="00591E92">
        <w:t xml:space="preserve"> results, </w:t>
      </w:r>
      <w:r>
        <w:t>demonstrate</w:t>
      </w:r>
      <w:r w:rsidRPr="00591E92">
        <w:t xml:space="preserve"> that the combination of water quality and hydrodynamic setting </w:t>
      </w:r>
      <w:r>
        <w:t xml:space="preserve">define the niche within which </w:t>
      </w:r>
      <w:r w:rsidRPr="00591E92">
        <w:t xml:space="preserve">brown macroalgae </w:t>
      </w:r>
      <w:r>
        <w:t xml:space="preserve">constitute a substantial component </w:t>
      </w:r>
      <w:r w:rsidRPr="00591E92">
        <w:t xml:space="preserve">within algal communities. </w:t>
      </w:r>
      <w:r>
        <w:rPr>
          <w:rFonts w:cs="Arial"/>
        </w:rPr>
        <w:t>Chl</w:t>
      </w:r>
      <w:r w:rsidRPr="00E57B3A">
        <w:rPr>
          <w:rFonts w:cs="Arial"/>
        </w:rPr>
        <w:t xml:space="preserve"> </w:t>
      </w:r>
      <w:r w:rsidRPr="00F76D49">
        <w:rPr>
          <w:rFonts w:cs="Arial"/>
          <w:i/>
        </w:rPr>
        <w:t>a</w:t>
      </w:r>
      <w:r>
        <w:rPr>
          <w:rFonts w:cs="Arial"/>
        </w:rPr>
        <w:t xml:space="preserve"> concentration, </w:t>
      </w:r>
      <w:r w:rsidR="00A777DA">
        <w:rPr>
          <w:rFonts w:cs="Arial"/>
        </w:rPr>
        <w:t xml:space="preserve">presumed to be </w:t>
      </w:r>
      <w:r w:rsidRPr="00E57B3A">
        <w:rPr>
          <w:rFonts w:cs="Arial"/>
        </w:rPr>
        <w:t>a proxy for nutrient availability</w:t>
      </w:r>
      <w:r>
        <w:rPr>
          <w:rFonts w:cs="Arial"/>
        </w:rPr>
        <w:t>,</w:t>
      </w:r>
      <w:r w:rsidRPr="00E57B3A">
        <w:rPr>
          <w:rFonts w:cs="Arial"/>
        </w:rPr>
        <w:t xml:space="preserve"> </w:t>
      </w:r>
      <w:r>
        <w:rPr>
          <w:rFonts w:cs="Arial"/>
        </w:rPr>
        <w:t>was identified as the most important factor contributing to high proportions of brown macroalgae</w:t>
      </w:r>
      <w:r w:rsidRPr="00E57B3A">
        <w:rPr>
          <w:rFonts w:cs="Arial"/>
        </w:rPr>
        <w:t xml:space="preserve">. </w:t>
      </w:r>
      <w:r>
        <w:rPr>
          <w:rFonts w:cs="Arial"/>
        </w:rPr>
        <w:t>The proportion of brown macroalgae increased significantly on reefs with Chl</w:t>
      </w:r>
      <w:r w:rsidRPr="00E57B3A">
        <w:rPr>
          <w:rFonts w:cs="Arial"/>
        </w:rPr>
        <w:t xml:space="preserve"> </w:t>
      </w:r>
      <w:r w:rsidRPr="00F76D49">
        <w:rPr>
          <w:rFonts w:cs="Arial"/>
          <w:i/>
        </w:rPr>
        <w:t>a</w:t>
      </w:r>
      <w:r w:rsidRPr="00E57B3A">
        <w:rPr>
          <w:rFonts w:cs="Arial"/>
        </w:rPr>
        <w:t xml:space="preserve"> concentrations &gt; 0.43 µgL</w:t>
      </w:r>
      <w:r w:rsidRPr="00E57B3A">
        <w:rPr>
          <w:rFonts w:cs="Arial"/>
          <w:vertAlign w:val="superscript"/>
        </w:rPr>
        <w:t>-1</w:t>
      </w:r>
      <w:r>
        <w:rPr>
          <w:rFonts w:cs="Arial"/>
        </w:rPr>
        <w:t xml:space="preserve"> (</w:t>
      </w:r>
      <w:r w:rsidR="00AA72A3">
        <w:rPr>
          <w:rFonts w:cs="Arial"/>
        </w:rPr>
        <w:t>5 m</w:t>
      </w:r>
      <w:r>
        <w:rPr>
          <w:rFonts w:cs="Arial"/>
        </w:rPr>
        <w:t>), and 0.5</w:t>
      </w:r>
      <w:r w:rsidRPr="00E57B3A">
        <w:rPr>
          <w:rFonts w:cs="Arial"/>
        </w:rPr>
        <w:t xml:space="preserve"> µgL</w:t>
      </w:r>
      <w:r w:rsidRPr="00E57B3A">
        <w:rPr>
          <w:rFonts w:cs="Arial"/>
          <w:vertAlign w:val="superscript"/>
        </w:rPr>
        <w:t>-1</w:t>
      </w:r>
      <w:r>
        <w:rPr>
          <w:rFonts w:cs="Arial"/>
        </w:rPr>
        <w:t xml:space="preserve"> (</w:t>
      </w:r>
      <w:r w:rsidR="00AA72A3">
        <w:rPr>
          <w:rFonts w:cs="Arial"/>
        </w:rPr>
        <w:t>2 m</w:t>
      </w:r>
      <w:r>
        <w:rPr>
          <w:rFonts w:cs="Arial"/>
        </w:rPr>
        <w:t>)</w:t>
      </w:r>
      <w:r w:rsidRPr="00E57B3A">
        <w:rPr>
          <w:rFonts w:cs="Arial"/>
        </w:rPr>
        <w:t xml:space="preserve"> which is in close agreement to the analysis of De’ath &amp; Fabricius (2008</w:t>
      </w:r>
      <w:r>
        <w:rPr>
          <w:rFonts w:cs="Arial"/>
        </w:rPr>
        <w:t>, 2010</w:t>
      </w:r>
      <w:r w:rsidRPr="00E57B3A">
        <w:rPr>
          <w:rFonts w:cs="Arial"/>
        </w:rPr>
        <w:t>) and the resulting guideline of 0.45 µgL</w:t>
      </w:r>
      <w:r w:rsidRPr="00E57B3A">
        <w:rPr>
          <w:rFonts w:cs="Arial"/>
          <w:vertAlign w:val="superscript"/>
        </w:rPr>
        <w:t>-1</w:t>
      </w:r>
      <w:r w:rsidRPr="00E57B3A">
        <w:rPr>
          <w:rFonts w:cs="Arial"/>
        </w:rPr>
        <w:t xml:space="preserve"> (GBRMPA 2010). </w:t>
      </w:r>
      <w:r>
        <w:rPr>
          <w:rFonts w:cs="Arial"/>
        </w:rPr>
        <w:t>At 5</w:t>
      </w:r>
      <w:r w:rsidR="00C239CA">
        <w:rPr>
          <w:rFonts w:cs="Arial"/>
        </w:rPr>
        <w:t xml:space="preserve"> </w:t>
      </w:r>
      <w:r>
        <w:rPr>
          <w:rFonts w:cs="Arial"/>
        </w:rPr>
        <w:t>m depths TSS concentrations above approximately 1</w:t>
      </w:r>
      <w:r w:rsidR="00C239CA">
        <w:rPr>
          <w:rFonts w:cs="Arial"/>
        </w:rPr>
        <w:t xml:space="preserve"> </w:t>
      </w:r>
      <w:r>
        <w:rPr>
          <w:rFonts w:cs="Arial"/>
        </w:rPr>
        <w:t>mgL</w:t>
      </w:r>
      <w:r w:rsidRPr="00142208">
        <w:rPr>
          <w:rFonts w:cs="Arial"/>
          <w:vertAlign w:val="superscript"/>
        </w:rPr>
        <w:t>-1</w:t>
      </w:r>
      <w:r>
        <w:rPr>
          <w:rFonts w:cs="Arial"/>
          <w:i/>
        </w:rPr>
        <w:t xml:space="preserve"> </w:t>
      </w:r>
      <w:r>
        <w:rPr>
          <w:rFonts w:cs="Arial"/>
        </w:rPr>
        <w:t>imposed an additional limitation to the proportion of brown macroalgae. That the effects of TSS were not evident at 2</w:t>
      </w:r>
      <w:r w:rsidR="00C239CA">
        <w:rPr>
          <w:rFonts w:cs="Arial"/>
        </w:rPr>
        <w:t xml:space="preserve"> </w:t>
      </w:r>
      <w:r>
        <w:rPr>
          <w:rFonts w:cs="Arial"/>
        </w:rPr>
        <w:t xml:space="preserve">m at the same reefs suggest the attenuation of light with increasing depth was sufficient to suppress macroalgal growth in this situation. We note that sampling did not extend into the most turbid areas of the Reef where examples of high coral cover and low brown macroalgae cover (Brown </w:t>
      </w:r>
      <w:r w:rsidRPr="001821BD">
        <w:rPr>
          <w:rFonts w:cs="Arial"/>
          <w:i/>
        </w:rPr>
        <w:t>et al.</w:t>
      </w:r>
      <w:r>
        <w:rPr>
          <w:rFonts w:cs="Arial"/>
        </w:rPr>
        <w:t xml:space="preserve"> (2010, 2012), Morgan </w:t>
      </w:r>
      <w:r w:rsidRPr="001821BD">
        <w:rPr>
          <w:rFonts w:cs="Arial"/>
          <w:i/>
        </w:rPr>
        <w:t>et al.</w:t>
      </w:r>
      <w:r>
        <w:rPr>
          <w:rFonts w:cs="Arial"/>
        </w:rPr>
        <w:t xml:space="preserve"> 2016) suggest turbidity may become a limiting factor at shallower depths.</w:t>
      </w:r>
      <w:r>
        <w:t xml:space="preserve"> </w:t>
      </w:r>
    </w:p>
    <w:p w14:paraId="3F8C6DAA" w14:textId="7DEBFB84" w:rsidR="00502A11" w:rsidRPr="007E6194" w:rsidRDefault="00502A11" w:rsidP="00502A11">
      <w:r>
        <w:t>At both depths, brown macroalgae were also limited when the proportion of clay and silts sized particles in the sediment was greater than ~12%. The composition of reefal sediments, is considered here as a proxy for the turbulence of a site</w:t>
      </w:r>
      <w:r w:rsidR="00C239CA">
        <w:t>,</w:t>
      </w:r>
      <w:r>
        <w:t xml:space="preserve"> representing the balance between the processes of resuspension leading to sediment removal and sedimentation leading to sediment accumulation.</w:t>
      </w:r>
      <w:r w:rsidR="00E75F5C">
        <w:t xml:space="preserve"> </w:t>
      </w:r>
      <w:r>
        <w:t xml:space="preserve">Previous studies have shown the abundance of macroalgae to be limited in areas of low turbulence where the availability of suitable substrate reduces recruitment and the smothering of thalli, limits growth and regeneration </w:t>
      </w:r>
      <w:r w:rsidRPr="00C60104">
        <w:t>(</w:t>
      </w:r>
      <w:r>
        <w:t xml:space="preserve">Umar </w:t>
      </w:r>
      <w:r w:rsidRPr="00A64D98">
        <w:rPr>
          <w:i/>
        </w:rPr>
        <w:t>et al</w:t>
      </w:r>
      <w:r>
        <w:t xml:space="preserve">. 1998, </w:t>
      </w:r>
      <w:r w:rsidRPr="00C60104">
        <w:t xml:space="preserve">Schaffelke </w:t>
      </w:r>
      <w:r w:rsidRPr="00C60104">
        <w:rPr>
          <w:i/>
        </w:rPr>
        <w:t>et al.</w:t>
      </w:r>
      <w:r w:rsidRPr="00C60104">
        <w:t xml:space="preserve"> 2005</w:t>
      </w:r>
      <w:r>
        <w:t xml:space="preserve">, Irving </w:t>
      </w:r>
      <w:r w:rsidRPr="00A64D98">
        <w:rPr>
          <w:i/>
        </w:rPr>
        <w:t>et al</w:t>
      </w:r>
      <w:r>
        <w:rPr>
          <w:i/>
        </w:rPr>
        <w:t>.</w:t>
      </w:r>
      <w:r>
        <w:t xml:space="preserve"> 2009</w:t>
      </w:r>
      <w:r w:rsidRPr="00C60104">
        <w:t>)</w:t>
      </w:r>
      <w:r>
        <w:t xml:space="preserve">. In general </w:t>
      </w:r>
      <w:r w:rsidR="00C239CA">
        <w:t>o</w:t>
      </w:r>
      <w:r>
        <w:t xml:space="preserve">ur results support a previous study by Hurrey </w:t>
      </w:r>
      <w:r>
        <w:rPr>
          <w:i/>
        </w:rPr>
        <w:t>et al.</w:t>
      </w:r>
      <w:r>
        <w:t xml:space="preserve"> (2013) who identified sediment grainsize and light availability as the two most important variables influencing species richness and assemblage composition of macroalgae communities of the inter-reefal seabed areas on the Reef. For coral reef habitats, however, our analysis indicates that the primary limitation is nutrient availability, with turbidity and </w:t>
      </w:r>
      <w:r w:rsidR="00C239CA">
        <w:t xml:space="preserve">hydrodynamic setting </w:t>
      </w:r>
      <w:r>
        <w:t>imposing finer-scale restrictions on where, within the general confines of adequate nutrients, brown macroalgae flourish.</w:t>
      </w:r>
      <w:r w:rsidR="00E75F5C">
        <w:t xml:space="preserve"> </w:t>
      </w:r>
    </w:p>
    <w:p w14:paraId="0957F870" w14:textId="7CDB0A2D" w:rsidR="00502A11" w:rsidRPr="00D63CE6" w:rsidRDefault="00502A11" w:rsidP="00502A11">
      <w:r>
        <w:rPr>
          <w:noProof/>
          <w:lang w:val="en-AU" w:eastAsia="en-AU"/>
        </w:rPr>
        <w:drawing>
          <wp:inline distT="0" distB="0" distL="0" distR="0" wp14:anchorId="5D2DF05D" wp14:editId="162359C1">
            <wp:extent cx="6120765" cy="5497195"/>
            <wp:effectExtent l="0" t="0" r="0" b="8255"/>
            <wp:docPr id="9" name="Picture 9" descr="Panel of two maps displaying the area of the Reef in which Chlorophyll a and total suspended solids concentrations are suitable for high cover of brown macroalgae at 2 metre and 5 metre depths." title="Figure 27 Distribution of conditions suitable to high cover of brown macroalg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port_panel_V2.pn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6120765" cy="5497195"/>
                    </a:xfrm>
                    <a:prstGeom prst="rect">
                      <a:avLst/>
                    </a:prstGeom>
                  </pic:spPr>
                </pic:pic>
              </a:graphicData>
            </a:graphic>
          </wp:inline>
        </w:drawing>
      </w:r>
      <w:r w:rsidR="00E75F5C">
        <w:t xml:space="preserve">                 </w:t>
      </w:r>
      <w:r>
        <w:t xml:space="preserve"> </w:t>
      </w:r>
    </w:p>
    <w:p w14:paraId="0EE2A6D3" w14:textId="2F8A7870" w:rsidR="00502A11" w:rsidRPr="007668BC" w:rsidRDefault="00A777DA" w:rsidP="00A777DA">
      <w:pPr>
        <w:pStyle w:val="Caption"/>
        <w:rPr>
          <w:rStyle w:val="IntenseReference"/>
          <w:rFonts w:eastAsia="SimSun"/>
        </w:rPr>
      </w:pPr>
      <w:bookmarkStart w:id="325" w:name="_Ref491177267"/>
      <w:bookmarkStart w:id="326" w:name="_Ref470009636"/>
      <w:bookmarkStart w:id="327" w:name="_Toc491846853"/>
      <w:r>
        <w:t xml:space="preserve">Figure </w:t>
      </w:r>
      <w:r>
        <w:fldChar w:fldCharType="begin"/>
      </w:r>
      <w:r>
        <w:instrText xml:space="preserve"> SEQ Figure \* ARABIC </w:instrText>
      </w:r>
      <w:r>
        <w:fldChar w:fldCharType="separate"/>
      </w:r>
      <w:r w:rsidR="00D806F2">
        <w:rPr>
          <w:noProof/>
        </w:rPr>
        <w:t>27</w:t>
      </w:r>
      <w:r>
        <w:fldChar w:fldCharType="end"/>
      </w:r>
      <w:bookmarkEnd w:id="325"/>
      <w:r>
        <w:t xml:space="preserve"> </w:t>
      </w:r>
      <w:r w:rsidRPr="00727E33">
        <w:t>Distribution of condition</w:t>
      </w:r>
      <w:r w:rsidR="00E22E14">
        <w:t>s</w:t>
      </w:r>
      <w:r w:rsidRPr="00727E33">
        <w:t xml:space="preserve"> support</w:t>
      </w:r>
      <w:r w:rsidR="00E22E14">
        <w:t xml:space="preserve">ing high abundance of </w:t>
      </w:r>
      <w:r w:rsidRPr="00727E33">
        <w:t>brown macroalgae</w:t>
      </w:r>
      <w:bookmarkEnd w:id="326"/>
      <w:r w:rsidR="00502A11" w:rsidRPr="007668BC">
        <w:t>.</w:t>
      </w:r>
      <w:r w:rsidR="00502A11">
        <w:t xml:space="preserve"> a) at </w:t>
      </w:r>
      <w:r w:rsidR="00AA72A3">
        <w:t>5 m</w:t>
      </w:r>
      <w:r w:rsidR="00502A11">
        <w:t xml:space="preserve"> depth, and b) at </w:t>
      </w:r>
      <w:r w:rsidR="00AA72A3">
        <w:t>2 m</w:t>
      </w:r>
      <w:r w:rsidR="00502A11">
        <w:t xml:space="preserve"> depth. </w:t>
      </w:r>
      <w:r w:rsidR="00502A11" w:rsidRPr="007668BC">
        <w:rPr>
          <w:rStyle w:val="IntenseReference"/>
          <w:rFonts w:eastAsia="SimSun"/>
        </w:rPr>
        <w:t xml:space="preserve">‘Nutrient Limited’ indicates where chlorophyll a levels are too low, ‘TSS Limited’ where turbidity is too high, and ‘Phase shift potential’ where conditions are </w:t>
      </w:r>
      <w:r w:rsidR="00502A11">
        <w:rPr>
          <w:rStyle w:val="IntenseReference"/>
          <w:rFonts w:eastAsia="SimSun"/>
        </w:rPr>
        <w:t xml:space="preserve">currently </w:t>
      </w:r>
      <w:r w:rsidR="00502A11" w:rsidRPr="007668BC">
        <w:rPr>
          <w:rStyle w:val="IntenseReference"/>
          <w:rFonts w:eastAsia="SimSun"/>
        </w:rPr>
        <w:t>optimum for a high proportional abundance of brown macroalgae to be supported</w:t>
      </w:r>
      <w:bookmarkEnd w:id="327"/>
    </w:p>
    <w:p w14:paraId="2826A0BB" w14:textId="77777777" w:rsidR="00502A11" w:rsidRPr="00B53ED2" w:rsidRDefault="00502A11" w:rsidP="00502A11"/>
    <w:p w14:paraId="6CF0E2A0" w14:textId="37A41A02" w:rsidR="00502A11" w:rsidRDefault="00502A11" w:rsidP="00502A11">
      <w:r>
        <w:t xml:space="preserve">Using the threshold values determined from the models for the two most influential variables, Chl </w:t>
      </w:r>
      <w:r w:rsidRPr="00F76D49">
        <w:rPr>
          <w:i/>
        </w:rPr>
        <w:t>a</w:t>
      </w:r>
      <w:r>
        <w:t xml:space="preserve"> and TSS, combined with long-term estimates based on satellite data available for the entire Reef, we were able to categorise the Reef into areas either, conducive to supporting high proportional abundance of brown macroalgae, or not. The resulting maps highlight the overlap between Chl </w:t>
      </w:r>
      <w:r w:rsidRPr="00F76D49">
        <w:rPr>
          <w:i/>
        </w:rPr>
        <w:t>a</w:t>
      </w:r>
      <w:r>
        <w:t xml:space="preserve"> and TSS thresholds and the effect this has on the area with the potential to support high proportions of brown macroalgae (</w:t>
      </w:r>
      <w:r w:rsidR="00C239CA">
        <w:fldChar w:fldCharType="begin"/>
      </w:r>
      <w:r w:rsidR="00C239CA">
        <w:instrText xml:space="preserve"> REF _Ref491177267 \h </w:instrText>
      </w:r>
      <w:r w:rsidR="00C239CA">
        <w:fldChar w:fldCharType="separate"/>
      </w:r>
      <w:r w:rsidR="00D806F2">
        <w:t xml:space="preserve">Figure </w:t>
      </w:r>
      <w:r w:rsidR="00D806F2">
        <w:rPr>
          <w:noProof/>
        </w:rPr>
        <w:t>27</w:t>
      </w:r>
      <w:r w:rsidR="00C239CA">
        <w:fldChar w:fldCharType="end"/>
      </w:r>
      <w:r>
        <w:t>). At 2</w:t>
      </w:r>
      <w:r w:rsidR="00C239CA">
        <w:t xml:space="preserve"> </w:t>
      </w:r>
      <w:r>
        <w:t>m depths, the area which supports high abundance of brown macroalgae is primarily driven by sufficient levels of nutrients. At 5</w:t>
      </w:r>
      <w:r w:rsidR="00C239CA">
        <w:t xml:space="preserve"> </w:t>
      </w:r>
      <w:r>
        <w:t>m depths the effects of high turbidity, in areas where nutrient levels are sufficient, lead to a reduction in the total area where high proportions of brown macroalgae are supported compared to that estimated for 2</w:t>
      </w:r>
      <w:r w:rsidR="00C239CA">
        <w:t xml:space="preserve"> </w:t>
      </w:r>
      <w:r>
        <w:t>m depths (</w:t>
      </w:r>
      <w:r w:rsidR="00C239CA">
        <w:fldChar w:fldCharType="begin"/>
      </w:r>
      <w:r w:rsidR="00C239CA">
        <w:instrText xml:space="preserve"> REF _Ref491177267 \h </w:instrText>
      </w:r>
      <w:r w:rsidR="00C239CA">
        <w:fldChar w:fldCharType="separate"/>
      </w:r>
      <w:r w:rsidR="00D806F2">
        <w:t xml:space="preserve">Figure </w:t>
      </w:r>
      <w:r w:rsidR="00D806F2">
        <w:rPr>
          <w:noProof/>
        </w:rPr>
        <w:t>27</w:t>
      </w:r>
      <w:r w:rsidR="00C239CA">
        <w:fldChar w:fldCharType="end"/>
      </w:r>
      <w:r>
        <w:t>,</w:t>
      </w:r>
      <w:r w:rsidR="00C239CA">
        <w:t xml:space="preserve"> </w:t>
      </w:r>
      <w:r w:rsidR="00C239CA">
        <w:fldChar w:fldCharType="begin"/>
      </w:r>
      <w:r w:rsidR="00C239CA">
        <w:instrText xml:space="preserve"> REF _Ref491177347 \h </w:instrText>
      </w:r>
      <w:r w:rsidR="00C239CA">
        <w:fldChar w:fldCharType="separate"/>
      </w:r>
      <w:r w:rsidR="00D806F2">
        <w:t xml:space="preserve">Table </w:t>
      </w:r>
      <w:r w:rsidR="00D806F2">
        <w:rPr>
          <w:noProof/>
        </w:rPr>
        <w:t>20</w:t>
      </w:r>
      <w:r w:rsidR="00C239CA">
        <w:fldChar w:fldCharType="end"/>
      </w:r>
      <w:r>
        <w:t xml:space="preserve">). Importantly, within these areas a high proportion of brown macroalgae can only be expected where adequate substrate exists. </w:t>
      </w:r>
    </w:p>
    <w:p w14:paraId="7032F2E8" w14:textId="125DA44D" w:rsidR="00502A11" w:rsidRDefault="00502A11" w:rsidP="00502A11">
      <w:r>
        <w:t>There are two important considerations for management that stem from these results. Firstly, at many reefs although there is a high proportion of brown macroalgae within the algal community the absolute cover remains low due to the presence of high coral cover. The worry is, that in the event of a severe reduction in coral cover</w:t>
      </w:r>
      <w:r w:rsidR="00C239CA">
        <w:t>,</w:t>
      </w:r>
      <w:r>
        <w:t xml:space="preserve"> as a result of an acute disturbance</w:t>
      </w:r>
      <w:r w:rsidR="00C239CA">
        <w:t>, for example,</w:t>
      </w:r>
      <w:r>
        <w:t xml:space="preserve"> the underlying environmental conditions appear suitable for a rapid increase in cover of brown macroalgae; in short, a latent phase shift may have already occurred. Secondly, the primary factor appearing to support brown macroalgae is nutrient availability, suggesting the reduction in nutrient loads in inshore waters as a safe-guard against potential phase shifts. Conversely, turbidity appears to limit the prevalence of brown macroalgae, especially at 5</w:t>
      </w:r>
      <w:r w:rsidR="00C239CA">
        <w:t xml:space="preserve"> </w:t>
      </w:r>
      <w:r>
        <w:t>m depths, raising the prospect that a reduction in fine sediment loads may extend the depth penetration of potential phase shifts in some areas</w:t>
      </w:r>
      <w:r w:rsidR="00C239CA">
        <w:t xml:space="preserve"> if nutrient levels remain the same</w:t>
      </w:r>
      <w:r>
        <w:t>. It is well beyond the scope of this study to more fully explore the interplay between effects of reduced turbidity on the completive interactions between corals and brown macroalgae and suggest this is be a priority for further research.</w:t>
      </w:r>
      <w:r w:rsidR="00E75F5C">
        <w:t xml:space="preserve"> </w:t>
      </w:r>
    </w:p>
    <w:p w14:paraId="183B03D8" w14:textId="62A16758" w:rsidR="00C239CA" w:rsidRDefault="00C239CA" w:rsidP="00C239CA">
      <w:pPr>
        <w:pStyle w:val="Caption"/>
      </w:pPr>
      <w:bookmarkStart w:id="328" w:name="_Ref491177347"/>
      <w:bookmarkStart w:id="329" w:name="_Toc491847039"/>
      <w:bookmarkStart w:id="330" w:name="_Ref470009692"/>
      <w:r>
        <w:t xml:space="preserve">Table </w:t>
      </w:r>
      <w:r>
        <w:fldChar w:fldCharType="begin"/>
      </w:r>
      <w:r>
        <w:instrText xml:space="preserve"> SEQ Table \* ARABIC </w:instrText>
      </w:r>
      <w:r>
        <w:fldChar w:fldCharType="separate"/>
      </w:r>
      <w:r w:rsidR="00D806F2">
        <w:rPr>
          <w:noProof/>
        </w:rPr>
        <w:t>20</w:t>
      </w:r>
      <w:r>
        <w:fldChar w:fldCharType="end"/>
      </w:r>
      <w:bookmarkEnd w:id="328"/>
      <w:r>
        <w:t xml:space="preserve"> </w:t>
      </w:r>
      <w:r w:rsidRPr="000E03C4">
        <w:t>Area of the Reef classified based on conditions supporting high abundance of brown macroalgae.</w:t>
      </w:r>
      <w:bookmarkEnd w:id="329"/>
    </w:p>
    <w:tbl>
      <w:tblPr>
        <w:tblW w:w="7386" w:type="dxa"/>
        <w:tblInd w:w="93" w:type="dxa"/>
        <w:tblLook w:val="04A0" w:firstRow="1" w:lastRow="0" w:firstColumn="1" w:lastColumn="0" w:noHBand="0" w:noVBand="1"/>
      </w:tblPr>
      <w:tblGrid>
        <w:gridCol w:w="2709"/>
        <w:gridCol w:w="2693"/>
        <w:gridCol w:w="1984"/>
      </w:tblGrid>
      <w:tr w:rsidR="00502A11" w:rsidRPr="00B53ED2" w14:paraId="3AB677F6" w14:textId="77777777" w:rsidTr="00817833">
        <w:trPr>
          <w:trHeight w:val="288"/>
        </w:trPr>
        <w:tc>
          <w:tcPr>
            <w:tcW w:w="2709"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bookmarkEnd w:id="330"/>
          <w:p w14:paraId="53F3EB89" w14:textId="77777777" w:rsidR="00502A11" w:rsidRPr="00B53ED2" w:rsidRDefault="00502A11" w:rsidP="00817833">
            <w:pPr>
              <w:spacing w:after="0"/>
              <w:jc w:val="left"/>
              <w:rPr>
                <w:rFonts w:ascii="Calibri" w:hAnsi="Calibri"/>
                <w:color w:val="000000"/>
                <w:szCs w:val="22"/>
                <w:lang w:val="en-AU" w:eastAsia="en-AU"/>
              </w:rPr>
            </w:pPr>
            <w:r w:rsidRPr="00B53ED2">
              <w:rPr>
                <w:rFonts w:ascii="Calibri" w:hAnsi="Calibri"/>
                <w:color w:val="000000"/>
                <w:szCs w:val="22"/>
                <w:lang w:val="en-AU" w:eastAsia="en-AU"/>
              </w:rPr>
              <w:t>Zone</w:t>
            </w:r>
          </w:p>
        </w:tc>
        <w:tc>
          <w:tcPr>
            <w:tcW w:w="2693" w:type="dxa"/>
            <w:tcBorders>
              <w:top w:val="single" w:sz="4" w:space="0" w:color="auto"/>
              <w:left w:val="nil"/>
              <w:bottom w:val="single" w:sz="4" w:space="0" w:color="auto"/>
              <w:right w:val="single" w:sz="4" w:space="0" w:color="auto"/>
            </w:tcBorders>
            <w:shd w:val="clear" w:color="000000" w:fill="BFBFBF"/>
            <w:noWrap/>
            <w:vAlign w:val="bottom"/>
            <w:hideMark/>
          </w:tcPr>
          <w:p w14:paraId="4F9FD0A5" w14:textId="6DA94819" w:rsidR="00502A11" w:rsidRPr="00B53ED2" w:rsidRDefault="00AA72A3" w:rsidP="00817833">
            <w:pPr>
              <w:spacing w:after="0"/>
              <w:jc w:val="center"/>
              <w:rPr>
                <w:rFonts w:ascii="Calibri" w:hAnsi="Calibri"/>
                <w:color w:val="000000"/>
                <w:szCs w:val="22"/>
                <w:lang w:val="en-AU" w:eastAsia="en-AU"/>
              </w:rPr>
            </w:pPr>
            <w:r>
              <w:rPr>
                <w:rFonts w:ascii="Calibri" w:hAnsi="Calibri"/>
                <w:color w:val="000000"/>
                <w:szCs w:val="22"/>
                <w:lang w:val="en-AU" w:eastAsia="en-AU"/>
              </w:rPr>
              <w:t>5 m</w:t>
            </w:r>
          </w:p>
        </w:tc>
        <w:tc>
          <w:tcPr>
            <w:tcW w:w="1984" w:type="dxa"/>
            <w:tcBorders>
              <w:top w:val="single" w:sz="4" w:space="0" w:color="auto"/>
              <w:left w:val="nil"/>
              <w:bottom w:val="single" w:sz="4" w:space="0" w:color="auto"/>
              <w:right w:val="single" w:sz="4" w:space="0" w:color="auto"/>
            </w:tcBorders>
            <w:shd w:val="clear" w:color="000000" w:fill="BFBFBF"/>
            <w:noWrap/>
            <w:vAlign w:val="bottom"/>
            <w:hideMark/>
          </w:tcPr>
          <w:p w14:paraId="411416AB" w14:textId="5D250032" w:rsidR="00502A11" w:rsidRPr="00B53ED2" w:rsidRDefault="00AA72A3" w:rsidP="00817833">
            <w:pPr>
              <w:spacing w:after="0"/>
              <w:jc w:val="center"/>
              <w:rPr>
                <w:rFonts w:ascii="Calibri" w:hAnsi="Calibri"/>
                <w:color w:val="000000"/>
                <w:szCs w:val="22"/>
                <w:lang w:val="en-AU" w:eastAsia="en-AU"/>
              </w:rPr>
            </w:pPr>
            <w:r>
              <w:rPr>
                <w:rFonts w:ascii="Calibri" w:hAnsi="Calibri"/>
                <w:color w:val="000000"/>
                <w:szCs w:val="22"/>
                <w:lang w:val="en-AU" w:eastAsia="en-AU"/>
              </w:rPr>
              <w:t>2 m</w:t>
            </w:r>
          </w:p>
        </w:tc>
      </w:tr>
      <w:tr w:rsidR="00502A11" w:rsidRPr="00B53ED2" w14:paraId="0350388A" w14:textId="77777777" w:rsidTr="00817833">
        <w:trPr>
          <w:trHeight w:val="288"/>
        </w:trPr>
        <w:tc>
          <w:tcPr>
            <w:tcW w:w="2709" w:type="dxa"/>
            <w:tcBorders>
              <w:top w:val="nil"/>
              <w:left w:val="single" w:sz="4" w:space="0" w:color="auto"/>
              <w:bottom w:val="single" w:sz="4" w:space="0" w:color="auto"/>
              <w:right w:val="single" w:sz="4" w:space="0" w:color="auto"/>
            </w:tcBorders>
            <w:shd w:val="clear" w:color="auto" w:fill="auto"/>
            <w:noWrap/>
            <w:vAlign w:val="bottom"/>
            <w:hideMark/>
          </w:tcPr>
          <w:p w14:paraId="0524EA0B" w14:textId="77777777" w:rsidR="00502A11" w:rsidRPr="007C7CCD" w:rsidRDefault="00502A11" w:rsidP="00817833">
            <w:pPr>
              <w:spacing w:after="0"/>
              <w:jc w:val="left"/>
              <w:rPr>
                <w:rStyle w:val="IntenseReference"/>
              </w:rPr>
            </w:pPr>
            <w:r w:rsidRPr="007C7CCD">
              <w:rPr>
                <w:rStyle w:val="IntenseReference"/>
              </w:rPr>
              <w:t>T</w:t>
            </w:r>
            <w:r>
              <w:rPr>
                <w:rStyle w:val="IntenseReference"/>
              </w:rPr>
              <w:t>S</w:t>
            </w:r>
            <w:r w:rsidRPr="007C7CCD">
              <w:rPr>
                <w:rStyle w:val="IntenseReference"/>
              </w:rPr>
              <w:t>S Limited</w:t>
            </w:r>
          </w:p>
        </w:tc>
        <w:tc>
          <w:tcPr>
            <w:tcW w:w="2693" w:type="dxa"/>
            <w:tcBorders>
              <w:top w:val="nil"/>
              <w:left w:val="nil"/>
              <w:bottom w:val="single" w:sz="4" w:space="0" w:color="auto"/>
              <w:right w:val="single" w:sz="4" w:space="0" w:color="auto"/>
            </w:tcBorders>
            <w:shd w:val="clear" w:color="auto" w:fill="auto"/>
            <w:noWrap/>
            <w:vAlign w:val="bottom"/>
            <w:hideMark/>
          </w:tcPr>
          <w:p w14:paraId="74335B05" w14:textId="77777777" w:rsidR="00502A11" w:rsidRPr="007C7CCD" w:rsidRDefault="00502A11" w:rsidP="00817833">
            <w:pPr>
              <w:spacing w:after="0"/>
              <w:jc w:val="center"/>
              <w:rPr>
                <w:rStyle w:val="IntenseReference"/>
              </w:rPr>
            </w:pPr>
            <w:r w:rsidRPr="007C7CCD">
              <w:rPr>
                <w:rStyle w:val="IntenseReference"/>
              </w:rPr>
              <w:t>28750km2</w:t>
            </w:r>
          </w:p>
        </w:tc>
        <w:tc>
          <w:tcPr>
            <w:tcW w:w="1984" w:type="dxa"/>
            <w:tcBorders>
              <w:top w:val="nil"/>
              <w:left w:val="nil"/>
              <w:bottom w:val="single" w:sz="4" w:space="0" w:color="auto"/>
              <w:right w:val="single" w:sz="4" w:space="0" w:color="auto"/>
            </w:tcBorders>
            <w:shd w:val="clear" w:color="auto" w:fill="auto"/>
            <w:noWrap/>
            <w:vAlign w:val="bottom"/>
            <w:hideMark/>
          </w:tcPr>
          <w:p w14:paraId="7137C367" w14:textId="77777777" w:rsidR="00502A11" w:rsidRPr="007C7CCD" w:rsidRDefault="00502A11" w:rsidP="00817833">
            <w:pPr>
              <w:spacing w:after="0"/>
              <w:jc w:val="center"/>
              <w:rPr>
                <w:rStyle w:val="IntenseReference"/>
              </w:rPr>
            </w:pPr>
            <w:r w:rsidRPr="007C7CCD">
              <w:rPr>
                <w:rStyle w:val="IntenseReference"/>
              </w:rPr>
              <w:t>NA</w:t>
            </w:r>
          </w:p>
        </w:tc>
      </w:tr>
      <w:tr w:rsidR="00502A11" w:rsidRPr="00B53ED2" w14:paraId="55488EA2" w14:textId="77777777" w:rsidTr="00817833">
        <w:trPr>
          <w:trHeight w:val="288"/>
        </w:trPr>
        <w:tc>
          <w:tcPr>
            <w:tcW w:w="2709" w:type="dxa"/>
            <w:tcBorders>
              <w:top w:val="nil"/>
              <w:left w:val="single" w:sz="4" w:space="0" w:color="auto"/>
              <w:bottom w:val="single" w:sz="4" w:space="0" w:color="auto"/>
              <w:right w:val="single" w:sz="4" w:space="0" w:color="auto"/>
            </w:tcBorders>
            <w:shd w:val="clear" w:color="auto" w:fill="auto"/>
            <w:noWrap/>
            <w:vAlign w:val="bottom"/>
            <w:hideMark/>
          </w:tcPr>
          <w:p w14:paraId="3795ABD3" w14:textId="77777777" w:rsidR="00502A11" w:rsidRPr="007C7CCD" w:rsidRDefault="00502A11" w:rsidP="00817833">
            <w:pPr>
              <w:spacing w:after="0"/>
              <w:jc w:val="left"/>
              <w:rPr>
                <w:rStyle w:val="IntenseReference"/>
              </w:rPr>
            </w:pPr>
            <w:r w:rsidRPr="007C7CCD">
              <w:rPr>
                <w:rStyle w:val="IntenseReference"/>
              </w:rPr>
              <w:t>Nutrient Limited</w:t>
            </w:r>
          </w:p>
        </w:tc>
        <w:tc>
          <w:tcPr>
            <w:tcW w:w="2693" w:type="dxa"/>
            <w:tcBorders>
              <w:top w:val="nil"/>
              <w:left w:val="nil"/>
              <w:bottom w:val="single" w:sz="4" w:space="0" w:color="auto"/>
              <w:right w:val="single" w:sz="4" w:space="0" w:color="auto"/>
            </w:tcBorders>
            <w:shd w:val="clear" w:color="auto" w:fill="auto"/>
            <w:noWrap/>
            <w:vAlign w:val="bottom"/>
            <w:hideMark/>
          </w:tcPr>
          <w:p w14:paraId="03ED7F25" w14:textId="77777777" w:rsidR="00502A11" w:rsidRPr="007C7CCD" w:rsidRDefault="00502A11" w:rsidP="00817833">
            <w:pPr>
              <w:spacing w:after="0"/>
              <w:jc w:val="center"/>
              <w:rPr>
                <w:rStyle w:val="IntenseReference"/>
              </w:rPr>
            </w:pPr>
            <w:r w:rsidRPr="007C7CCD">
              <w:rPr>
                <w:rStyle w:val="IntenseReference"/>
              </w:rPr>
              <w:t>275661km2</w:t>
            </w:r>
          </w:p>
        </w:tc>
        <w:tc>
          <w:tcPr>
            <w:tcW w:w="1984" w:type="dxa"/>
            <w:tcBorders>
              <w:top w:val="nil"/>
              <w:left w:val="nil"/>
              <w:bottom w:val="single" w:sz="4" w:space="0" w:color="auto"/>
              <w:right w:val="single" w:sz="4" w:space="0" w:color="auto"/>
            </w:tcBorders>
            <w:shd w:val="clear" w:color="auto" w:fill="auto"/>
            <w:noWrap/>
            <w:vAlign w:val="bottom"/>
            <w:hideMark/>
          </w:tcPr>
          <w:p w14:paraId="49336F7B" w14:textId="77777777" w:rsidR="00502A11" w:rsidRPr="007C7CCD" w:rsidRDefault="00502A11" w:rsidP="00817833">
            <w:pPr>
              <w:spacing w:after="0"/>
              <w:jc w:val="center"/>
              <w:rPr>
                <w:rStyle w:val="IntenseReference"/>
              </w:rPr>
            </w:pPr>
            <w:r w:rsidRPr="007C7CCD">
              <w:rPr>
                <w:rStyle w:val="IntenseReference"/>
              </w:rPr>
              <w:t>292575km2</w:t>
            </w:r>
          </w:p>
        </w:tc>
      </w:tr>
      <w:tr w:rsidR="00502A11" w:rsidRPr="00B53ED2" w14:paraId="46DD7DA1" w14:textId="77777777" w:rsidTr="00817833">
        <w:trPr>
          <w:trHeight w:val="288"/>
        </w:trPr>
        <w:tc>
          <w:tcPr>
            <w:tcW w:w="2709" w:type="dxa"/>
            <w:tcBorders>
              <w:top w:val="nil"/>
              <w:left w:val="single" w:sz="4" w:space="0" w:color="auto"/>
              <w:bottom w:val="single" w:sz="4" w:space="0" w:color="auto"/>
              <w:right w:val="single" w:sz="4" w:space="0" w:color="auto"/>
            </w:tcBorders>
            <w:shd w:val="clear" w:color="auto" w:fill="auto"/>
            <w:noWrap/>
            <w:vAlign w:val="bottom"/>
            <w:hideMark/>
          </w:tcPr>
          <w:p w14:paraId="5B94CB98" w14:textId="77777777" w:rsidR="00502A11" w:rsidRPr="007C7CCD" w:rsidRDefault="00502A11" w:rsidP="00817833">
            <w:pPr>
              <w:spacing w:after="0"/>
              <w:jc w:val="left"/>
              <w:rPr>
                <w:rStyle w:val="IntenseReference"/>
              </w:rPr>
            </w:pPr>
            <w:r w:rsidRPr="007C7CCD">
              <w:rPr>
                <w:rStyle w:val="IntenseReference"/>
              </w:rPr>
              <w:t>Phase shift potential</w:t>
            </w:r>
          </w:p>
        </w:tc>
        <w:tc>
          <w:tcPr>
            <w:tcW w:w="2693" w:type="dxa"/>
            <w:tcBorders>
              <w:top w:val="nil"/>
              <w:left w:val="nil"/>
              <w:bottom w:val="single" w:sz="4" w:space="0" w:color="auto"/>
              <w:right w:val="single" w:sz="4" w:space="0" w:color="auto"/>
            </w:tcBorders>
            <w:shd w:val="clear" w:color="auto" w:fill="auto"/>
            <w:noWrap/>
            <w:vAlign w:val="bottom"/>
            <w:hideMark/>
          </w:tcPr>
          <w:p w14:paraId="765371E3" w14:textId="77777777" w:rsidR="00502A11" w:rsidRPr="007C7CCD" w:rsidRDefault="00502A11" w:rsidP="00817833">
            <w:pPr>
              <w:spacing w:after="0"/>
              <w:jc w:val="center"/>
              <w:rPr>
                <w:rStyle w:val="IntenseReference"/>
              </w:rPr>
            </w:pPr>
            <w:r w:rsidRPr="007C7CCD">
              <w:rPr>
                <w:rStyle w:val="IntenseReference"/>
              </w:rPr>
              <w:t>29911km2</w:t>
            </w:r>
          </w:p>
        </w:tc>
        <w:tc>
          <w:tcPr>
            <w:tcW w:w="1984" w:type="dxa"/>
            <w:tcBorders>
              <w:top w:val="nil"/>
              <w:left w:val="nil"/>
              <w:bottom w:val="single" w:sz="4" w:space="0" w:color="auto"/>
              <w:right w:val="single" w:sz="4" w:space="0" w:color="auto"/>
            </w:tcBorders>
            <w:shd w:val="clear" w:color="auto" w:fill="auto"/>
            <w:noWrap/>
            <w:vAlign w:val="bottom"/>
            <w:hideMark/>
          </w:tcPr>
          <w:p w14:paraId="7A451257" w14:textId="77777777" w:rsidR="00502A11" w:rsidRPr="007C7CCD" w:rsidRDefault="00502A11" w:rsidP="00817833">
            <w:pPr>
              <w:spacing w:after="0"/>
              <w:jc w:val="center"/>
              <w:rPr>
                <w:rStyle w:val="IntenseReference"/>
              </w:rPr>
            </w:pPr>
            <w:r w:rsidRPr="007C7CCD">
              <w:rPr>
                <w:rStyle w:val="IntenseReference"/>
              </w:rPr>
              <w:t>37052km2</w:t>
            </w:r>
          </w:p>
        </w:tc>
      </w:tr>
    </w:tbl>
    <w:p w14:paraId="3A29643A" w14:textId="77777777" w:rsidR="00502A11" w:rsidRDefault="00502A11" w:rsidP="00502A11"/>
    <w:p w14:paraId="60F6DDA2" w14:textId="35C621FF" w:rsidR="00502A11" w:rsidRPr="001821BD" w:rsidRDefault="00502A11" w:rsidP="00502A11">
      <w:pPr>
        <w:rPr>
          <w:rFonts w:cs="Arial"/>
          <w:szCs w:val="22"/>
        </w:rPr>
      </w:pPr>
      <w:r>
        <w:t>There are relatively few cases of persistent phase shifts documented for the Reef (Cheal et</w:t>
      </w:r>
      <w:r w:rsidRPr="00B2786D">
        <w:rPr>
          <w:i/>
        </w:rPr>
        <w:t xml:space="preserve"> al</w:t>
      </w:r>
      <w:r>
        <w:rPr>
          <w:i/>
        </w:rPr>
        <w:t>.</w:t>
      </w:r>
      <w:r>
        <w:t xml:space="preserve"> 2010) and </w:t>
      </w:r>
      <w:r w:rsidR="009F510B">
        <w:t xml:space="preserve">Indo-Pacific </w:t>
      </w:r>
      <w:r>
        <w:t>reefs are regarded</w:t>
      </w:r>
      <w:r w:rsidR="00C239CA">
        <w:t>,</w:t>
      </w:r>
      <w:r>
        <w:t xml:space="preserve"> in general</w:t>
      </w:r>
      <w:r w:rsidR="00C239CA">
        <w:t>,</w:t>
      </w:r>
      <w:r>
        <w:t xml:space="preserve"> as being more resilient to phase shifts compared to reefs in the Caribbean where phase shifts are well documented (Roff </w:t>
      </w:r>
      <w:r w:rsidRPr="00B2786D">
        <w:rPr>
          <w:i/>
        </w:rPr>
        <w:t>et al</w:t>
      </w:r>
      <w:r>
        <w:rPr>
          <w:i/>
        </w:rPr>
        <w:t>.</w:t>
      </w:r>
      <w:r>
        <w:t xml:space="preserve"> 2012). Two of the most well documented cases on the Reef are based on shifts which followed a mass bleaching event and loss of coral cover due to storms. Cheal </w:t>
      </w:r>
      <w:r w:rsidRPr="00B2786D">
        <w:rPr>
          <w:i/>
        </w:rPr>
        <w:t>et al</w:t>
      </w:r>
      <w:r>
        <w:rPr>
          <w:i/>
        </w:rPr>
        <w:t>.</w:t>
      </w:r>
      <w:r>
        <w:t xml:space="preserve"> </w:t>
      </w:r>
      <w:r w:rsidR="00845B85">
        <w:t>(</w:t>
      </w:r>
      <w:r>
        <w:t>2010</w:t>
      </w:r>
      <w:r w:rsidR="00845B85">
        <w:t>)</w:t>
      </w:r>
      <w:r>
        <w:t xml:space="preserve"> investigated the drivers associated with phase shifts at Havannah North in the Burdekin region, concluding that herbivory and/or the diversity of herbivore communities, or rather lack thereof, were the most significant contributors to the observed phase-shift. </w:t>
      </w:r>
      <w:r w:rsidR="00845B85">
        <w:t xml:space="preserve">Further, Cheal </w:t>
      </w:r>
      <w:r w:rsidR="00845B85" w:rsidRPr="00845B85">
        <w:rPr>
          <w:i/>
        </w:rPr>
        <w:t>et al.</w:t>
      </w:r>
      <w:r w:rsidR="00845B85">
        <w:t xml:space="preserve"> (2010)</w:t>
      </w:r>
      <w:r>
        <w:t xml:space="preserve"> determined that water quality conditions at the time did not exhibit any significant variation between two sites:</w:t>
      </w:r>
      <w:r w:rsidR="00845B85">
        <w:t xml:space="preserve"> </w:t>
      </w:r>
      <w:r>
        <w:t>Fitzroy West and Low Islets, where recovery occurred, and Havannah North, where a phase-shift to a dominance of macroalgae occurred. Based on the results of our analysis</w:t>
      </w:r>
      <w:r w:rsidR="00845B85">
        <w:t xml:space="preserve">, however, it appears </w:t>
      </w:r>
      <w:r>
        <w:t xml:space="preserve">there are clear differences in the long-term ambient water quality conditions between the three reefs considered by Cheal </w:t>
      </w:r>
      <w:r w:rsidRPr="00B2786D">
        <w:rPr>
          <w:i/>
        </w:rPr>
        <w:t>et al</w:t>
      </w:r>
      <w:r>
        <w:t>. (2010), with only Havannah North having sufficient nutrient levels to support high abundances of brown macroalgae (</w:t>
      </w:r>
      <w:r w:rsidR="00845B85">
        <w:fldChar w:fldCharType="begin"/>
      </w:r>
      <w:r w:rsidR="00845B85">
        <w:instrText xml:space="preserve"> REF _Ref491177267 \h </w:instrText>
      </w:r>
      <w:r w:rsidR="00845B85">
        <w:fldChar w:fldCharType="separate"/>
      </w:r>
      <w:r w:rsidR="00D806F2">
        <w:t xml:space="preserve">Figure </w:t>
      </w:r>
      <w:r w:rsidR="00D806F2">
        <w:rPr>
          <w:noProof/>
        </w:rPr>
        <w:t>27</w:t>
      </w:r>
      <w:r w:rsidR="00845B85">
        <w:fldChar w:fldCharType="end"/>
      </w:r>
      <w:r>
        <w:t>,</w:t>
      </w:r>
      <w:r w:rsidR="00845B85">
        <w:t xml:space="preserve"> </w:t>
      </w:r>
      <w:r w:rsidR="00845B85">
        <w:fldChar w:fldCharType="begin"/>
      </w:r>
      <w:r w:rsidR="00845B85">
        <w:instrText xml:space="preserve"> REF _Ref491177799 \h </w:instrText>
      </w:r>
      <w:r w:rsidR="00845B85">
        <w:fldChar w:fldCharType="separate"/>
      </w:r>
      <w:r w:rsidR="00D806F2">
        <w:t xml:space="preserve">Table A1. </w:t>
      </w:r>
      <w:r w:rsidR="00D806F2">
        <w:rPr>
          <w:noProof/>
        </w:rPr>
        <w:t>6</w:t>
      </w:r>
      <w:r w:rsidR="00845B85">
        <w:fldChar w:fldCharType="end"/>
      </w:r>
      <w:r w:rsidRPr="001821BD">
        <w:rPr>
          <w:rFonts w:cs="Arial"/>
          <w:szCs w:val="22"/>
        </w:rPr>
        <w:t>).</w:t>
      </w:r>
    </w:p>
    <w:p w14:paraId="79A18483" w14:textId="31B7A2C8" w:rsidR="00502A11" w:rsidRDefault="00502A11" w:rsidP="00502A11">
      <w:r>
        <w:t>The second recent study documenting phase shifts on the Reef focused</w:t>
      </w:r>
      <w:r w:rsidRPr="00B36794">
        <w:t xml:space="preserve"> on inshore reefs in the </w:t>
      </w:r>
      <w:r>
        <w:t xml:space="preserve">Keppels region in the </w:t>
      </w:r>
      <w:r w:rsidRPr="00B36794">
        <w:t>south</w:t>
      </w:r>
      <w:r>
        <w:t xml:space="preserve"> of the</w:t>
      </w:r>
      <w:r w:rsidRPr="00B36794">
        <w:t xml:space="preserve"> </w:t>
      </w:r>
      <w:r>
        <w:t xml:space="preserve">Reef. As with the study mentioned above the shift to algal dominated state was primarily </w:t>
      </w:r>
      <w:r w:rsidRPr="00B36794">
        <w:t xml:space="preserve">driven by </w:t>
      </w:r>
      <w:r>
        <w:t xml:space="preserve">the brown algae </w:t>
      </w:r>
      <w:r w:rsidRPr="00B36794">
        <w:rPr>
          <w:i/>
        </w:rPr>
        <w:t>Lobophora variegata</w:t>
      </w:r>
      <w:r>
        <w:t>. In this case the authors indicated the shift to only last for about a year before being</w:t>
      </w:r>
      <w:r w:rsidRPr="00B36794">
        <w:t xml:space="preserve"> reversed by regeneration of remnant branching </w:t>
      </w:r>
      <w:r w:rsidRPr="00365457">
        <w:rPr>
          <w:i/>
        </w:rPr>
        <w:t>Acropora</w:t>
      </w:r>
      <w:r w:rsidRPr="00B36794">
        <w:t xml:space="preserve"> corals </w:t>
      </w:r>
      <w:r>
        <w:t xml:space="preserve">(Diaz-Pulido </w:t>
      </w:r>
      <w:r w:rsidRPr="00B2786D">
        <w:rPr>
          <w:i/>
        </w:rPr>
        <w:t>et al</w:t>
      </w:r>
      <w:r>
        <w:t xml:space="preserve">. 2009). The authors reported strong recovery at three of the four sites studied with weak recovery and continued persistence of macroalgae at the fourth. However, the authors did not take into account any water quality conditions in explaining the observed patterns, rather attributing differences to disturbance history and loss of structural complexity. Our results suggest nutrient levels as an additional or alternative explanation for the variability in recovery at these sites. Barren Island lies within the nutrient-limited zone and as such would not be expected to support persistent abundance of brown macroalgae. In contrast, conditions at North Keppel Island, where recovery was weakest, are optimal for supporting high abundances of macroalgae. Despite improvements in coral cover in the last three years, macroalgal cover continues to dominate the benthos at this reef a decade after the disturbance reported by Diaz-Pulido </w:t>
      </w:r>
      <w:r w:rsidRPr="00845B85">
        <w:rPr>
          <w:i/>
        </w:rPr>
        <w:t>et al.</w:t>
      </w:r>
      <w:r>
        <w:t xml:space="preserve"> (2009) (</w:t>
      </w:r>
      <w:r w:rsidR="00BE20D6">
        <w:fldChar w:fldCharType="begin"/>
      </w:r>
      <w:r w:rsidR="00BE20D6">
        <w:instrText xml:space="preserve"> REF _Ref492390386 \h </w:instrText>
      </w:r>
      <w:r w:rsidR="00BE20D6">
        <w:fldChar w:fldCharType="separate"/>
      </w:r>
      <w:r w:rsidR="00D806F2">
        <w:t xml:space="preserve">Figure A1. </w:t>
      </w:r>
      <w:r w:rsidR="00D806F2">
        <w:rPr>
          <w:noProof/>
        </w:rPr>
        <w:t>6</w:t>
      </w:r>
      <w:r w:rsidR="00BE20D6">
        <w:fldChar w:fldCharType="end"/>
      </w:r>
      <w:r w:rsidR="00845B85">
        <w:t>)</w:t>
      </w:r>
      <w:r>
        <w:t xml:space="preserve">. </w:t>
      </w:r>
    </w:p>
    <w:p w14:paraId="44658EAD" w14:textId="78D594F1" w:rsidR="00502A11" w:rsidRPr="00C60104" w:rsidRDefault="00502A11" w:rsidP="00502A11">
      <w:pPr>
        <w:rPr>
          <w:rFonts w:cs="Arial"/>
        </w:rPr>
      </w:pPr>
      <w:r w:rsidRPr="00C60104">
        <w:rPr>
          <w:rFonts w:cs="Arial"/>
        </w:rPr>
        <w:t>It is important to note that the relationship between water quality conditions and proportional cover of brown macroalgae is correlative only and does not pro</w:t>
      </w:r>
      <w:r>
        <w:rPr>
          <w:rFonts w:cs="Arial"/>
        </w:rPr>
        <w:t>ve</w:t>
      </w:r>
      <w:r w:rsidR="00845B85">
        <w:rPr>
          <w:rFonts w:cs="Arial"/>
        </w:rPr>
        <w:t xml:space="preserve"> </w:t>
      </w:r>
      <w:r>
        <w:rPr>
          <w:rFonts w:cs="Arial"/>
        </w:rPr>
        <w:t>a</w:t>
      </w:r>
      <w:r w:rsidRPr="00C60104">
        <w:rPr>
          <w:rFonts w:cs="Arial"/>
        </w:rPr>
        <w:t xml:space="preserve"> cause-effect relationship. Rather</w:t>
      </w:r>
      <w:r>
        <w:rPr>
          <w:rFonts w:cs="Arial"/>
        </w:rPr>
        <w:t>,</w:t>
      </w:r>
      <w:r w:rsidRPr="00C60104">
        <w:rPr>
          <w:rFonts w:cs="Arial"/>
        </w:rPr>
        <w:t xml:space="preserve"> the variables investigated here may in fact provide proxies for other environmental variables</w:t>
      </w:r>
      <w:r>
        <w:rPr>
          <w:rFonts w:cs="Arial"/>
        </w:rPr>
        <w:t>,</w:t>
      </w:r>
      <w:r w:rsidRPr="00C60104">
        <w:rPr>
          <w:rFonts w:cs="Arial"/>
        </w:rPr>
        <w:t xml:space="preserve"> or ecological </w:t>
      </w:r>
      <w:r w:rsidR="00845B85" w:rsidRPr="00C60104">
        <w:rPr>
          <w:rFonts w:cs="Arial"/>
        </w:rPr>
        <w:t>processes</w:t>
      </w:r>
      <w:r w:rsidR="00845B85">
        <w:rPr>
          <w:rFonts w:cs="Arial"/>
        </w:rPr>
        <w:t>,</w:t>
      </w:r>
      <w:r w:rsidR="00845B85" w:rsidRPr="00C60104">
        <w:rPr>
          <w:rFonts w:cs="Arial"/>
        </w:rPr>
        <w:t xml:space="preserve"> </w:t>
      </w:r>
      <w:r w:rsidR="00845B85">
        <w:rPr>
          <w:rFonts w:cs="Arial"/>
        </w:rPr>
        <w:t>which</w:t>
      </w:r>
      <w:r w:rsidRPr="00C60104">
        <w:rPr>
          <w:rFonts w:cs="Arial"/>
        </w:rPr>
        <w:t xml:space="preserve"> influence macroalgae on inshore reefs. Wismer </w:t>
      </w:r>
      <w:r w:rsidRPr="00C60104">
        <w:rPr>
          <w:rFonts w:cs="Arial"/>
          <w:i/>
        </w:rPr>
        <w:t>et al.</w:t>
      </w:r>
      <w:r w:rsidRPr="00C60104">
        <w:rPr>
          <w:rFonts w:cs="Arial"/>
        </w:rPr>
        <w:t xml:space="preserve"> (2009) and Cheal </w:t>
      </w:r>
      <w:r w:rsidRPr="00C60104">
        <w:rPr>
          <w:rFonts w:cs="Arial"/>
          <w:i/>
        </w:rPr>
        <w:t>et al.</w:t>
      </w:r>
      <w:r w:rsidRPr="00C60104">
        <w:rPr>
          <w:rFonts w:cs="Arial"/>
        </w:rPr>
        <w:t xml:space="preserve"> (2013), for example, demonstrate a decline in herbivorous fish populations </w:t>
      </w:r>
      <w:r>
        <w:rPr>
          <w:rFonts w:cs="Arial"/>
        </w:rPr>
        <w:t>at turbidity levels observed in the inshore Reef</w:t>
      </w:r>
      <w:r w:rsidRPr="00C60104">
        <w:rPr>
          <w:rFonts w:cs="Arial"/>
        </w:rPr>
        <w:t xml:space="preserve">. Grazing is a key process for the control of macroalgal blooms and there is a wealth of research demonstrating the importance of the maintenance of herbivore populations to avoid a phase shift to macroalgae (e.g. Hughes </w:t>
      </w:r>
      <w:r w:rsidRPr="00C60104">
        <w:rPr>
          <w:rFonts w:cs="Arial"/>
          <w:i/>
        </w:rPr>
        <w:t>et al.</w:t>
      </w:r>
      <w:r w:rsidRPr="00C60104">
        <w:rPr>
          <w:rFonts w:cs="Arial"/>
        </w:rPr>
        <w:t xml:space="preserve"> 2007). McCook </w:t>
      </w:r>
      <w:r>
        <w:rPr>
          <w:rFonts w:cs="Arial"/>
        </w:rPr>
        <w:t>(</w:t>
      </w:r>
      <w:r w:rsidRPr="00C60104">
        <w:rPr>
          <w:rFonts w:cs="Arial"/>
        </w:rPr>
        <w:t>1996</w:t>
      </w:r>
      <w:r>
        <w:rPr>
          <w:rFonts w:cs="Arial"/>
        </w:rPr>
        <w:t>)</w:t>
      </w:r>
      <w:r w:rsidRPr="00C60104">
        <w:rPr>
          <w:rFonts w:cs="Arial"/>
        </w:rPr>
        <w:t xml:space="preserve"> demonstrated using transplant</w:t>
      </w:r>
      <w:r>
        <w:rPr>
          <w:rFonts w:cs="Arial"/>
        </w:rPr>
        <w:t xml:space="preserve"> experiments</w:t>
      </w:r>
      <w:r w:rsidRPr="00C60104">
        <w:rPr>
          <w:rFonts w:cs="Arial"/>
        </w:rPr>
        <w:t xml:space="preserve"> that </w:t>
      </w:r>
      <w:r w:rsidRPr="00C60104">
        <w:rPr>
          <w:rFonts w:cs="Arial"/>
          <w:i/>
        </w:rPr>
        <w:t>Sargassum</w:t>
      </w:r>
      <w:r w:rsidRPr="00C60104">
        <w:rPr>
          <w:rFonts w:cs="Arial"/>
        </w:rPr>
        <w:t xml:space="preserve"> </w:t>
      </w:r>
      <w:r>
        <w:rPr>
          <w:rFonts w:cs="Arial"/>
        </w:rPr>
        <w:t xml:space="preserve">was able to </w:t>
      </w:r>
      <w:r w:rsidRPr="00C60104">
        <w:rPr>
          <w:rFonts w:cs="Arial"/>
        </w:rPr>
        <w:t>persist</w:t>
      </w:r>
      <w:r>
        <w:rPr>
          <w:rFonts w:cs="Arial"/>
        </w:rPr>
        <w:t xml:space="preserve"> on </w:t>
      </w:r>
      <w:r w:rsidRPr="00C60104">
        <w:rPr>
          <w:rFonts w:cs="Arial"/>
        </w:rPr>
        <w:t xml:space="preserve">mid-shelf where it was </w:t>
      </w:r>
      <w:r>
        <w:rPr>
          <w:rFonts w:cs="Arial"/>
        </w:rPr>
        <w:t>rarely recorded,</w:t>
      </w:r>
      <w:r w:rsidRPr="00C60104">
        <w:rPr>
          <w:rFonts w:cs="Arial"/>
        </w:rPr>
        <w:t xml:space="preserve"> but only when protected from herbivory. It is interesting to note here that our analysis indicates that </w:t>
      </w:r>
      <w:r>
        <w:rPr>
          <w:rFonts w:cs="Arial"/>
        </w:rPr>
        <w:t xml:space="preserve">areas of the mid-shelf appear to harbour </w:t>
      </w:r>
      <w:r w:rsidRPr="00C60104">
        <w:rPr>
          <w:rFonts w:cs="Arial"/>
        </w:rPr>
        <w:t xml:space="preserve">environmental conditions suitable </w:t>
      </w:r>
      <w:r>
        <w:rPr>
          <w:rFonts w:cs="Arial"/>
        </w:rPr>
        <w:t xml:space="preserve">for the </w:t>
      </w:r>
      <w:r w:rsidRPr="00C60104">
        <w:rPr>
          <w:rFonts w:cs="Arial"/>
        </w:rPr>
        <w:t xml:space="preserve">support </w:t>
      </w:r>
      <w:r>
        <w:rPr>
          <w:rFonts w:cs="Arial"/>
        </w:rPr>
        <w:t xml:space="preserve">of </w:t>
      </w:r>
      <w:r w:rsidRPr="00C60104">
        <w:rPr>
          <w:rFonts w:cs="Arial"/>
        </w:rPr>
        <w:t>high proportions of brown macroalgae</w:t>
      </w:r>
      <w:r>
        <w:rPr>
          <w:rFonts w:cs="Arial"/>
        </w:rPr>
        <w:t xml:space="preserve"> and these areas include the </w:t>
      </w:r>
      <w:r w:rsidRPr="00C60104">
        <w:rPr>
          <w:rFonts w:cs="Arial"/>
        </w:rPr>
        <w:t xml:space="preserve">reefs in </w:t>
      </w:r>
      <w:r>
        <w:rPr>
          <w:rFonts w:cs="Arial"/>
        </w:rPr>
        <w:t>McCook’s (1996)</w:t>
      </w:r>
      <w:r w:rsidRPr="00C60104">
        <w:rPr>
          <w:rFonts w:cs="Arial"/>
        </w:rPr>
        <w:t xml:space="preserve"> study (the Slashers group) (</w:t>
      </w:r>
      <w:r w:rsidR="00845B85">
        <w:rPr>
          <w:rFonts w:cs="Arial"/>
        </w:rPr>
        <w:fldChar w:fldCharType="begin"/>
      </w:r>
      <w:r w:rsidR="00845B85">
        <w:rPr>
          <w:rFonts w:cs="Arial"/>
        </w:rPr>
        <w:instrText xml:space="preserve"> REF _Ref491177267 \h </w:instrText>
      </w:r>
      <w:r w:rsidR="00845B85">
        <w:rPr>
          <w:rFonts w:cs="Arial"/>
        </w:rPr>
      </w:r>
      <w:r w:rsidR="00845B85">
        <w:rPr>
          <w:rFonts w:cs="Arial"/>
        </w:rPr>
        <w:fldChar w:fldCharType="separate"/>
      </w:r>
      <w:r w:rsidR="00D806F2">
        <w:t xml:space="preserve">Figure </w:t>
      </w:r>
      <w:r w:rsidR="00D806F2">
        <w:rPr>
          <w:noProof/>
        </w:rPr>
        <w:t>27</w:t>
      </w:r>
      <w:r w:rsidR="00845B85">
        <w:rPr>
          <w:rFonts w:cs="Arial"/>
        </w:rPr>
        <w:fldChar w:fldCharType="end"/>
      </w:r>
      <w:r w:rsidRPr="00C60104">
        <w:rPr>
          <w:rFonts w:cs="Arial"/>
        </w:rPr>
        <w:t>).</w:t>
      </w:r>
      <w:r w:rsidR="00E75F5C">
        <w:rPr>
          <w:rFonts w:cs="Arial"/>
        </w:rPr>
        <w:t xml:space="preserve"> </w:t>
      </w:r>
      <w:r>
        <w:rPr>
          <w:rFonts w:cs="Arial"/>
        </w:rPr>
        <w:t xml:space="preserve">We caution, however, that these small scale areas of high Chl </w:t>
      </w:r>
      <w:r w:rsidRPr="00F76D49">
        <w:rPr>
          <w:rFonts w:cs="Arial"/>
          <w:i/>
        </w:rPr>
        <w:t>a</w:t>
      </w:r>
      <w:r>
        <w:rPr>
          <w:rFonts w:cs="Arial"/>
        </w:rPr>
        <w:t xml:space="preserve"> may be an artefact of the remote-sensing derived Chl </w:t>
      </w:r>
      <w:r w:rsidRPr="00845B85">
        <w:rPr>
          <w:rFonts w:cs="Arial"/>
          <w:i/>
        </w:rPr>
        <w:t>a</w:t>
      </w:r>
      <w:r>
        <w:rPr>
          <w:rFonts w:cs="Arial"/>
        </w:rPr>
        <w:t xml:space="preserve"> data and the reef mask used.</w:t>
      </w:r>
    </w:p>
    <w:p w14:paraId="4A2EFD4D" w14:textId="28A9FE7D" w:rsidR="00502A11" w:rsidRDefault="00502A11" w:rsidP="00502A11">
      <w:pPr>
        <w:rPr>
          <w:rFonts w:cs="Arial"/>
        </w:rPr>
      </w:pPr>
      <w:r w:rsidRPr="0003141A">
        <w:rPr>
          <w:rFonts w:cs="Arial"/>
        </w:rPr>
        <w:t>The relative influences of herbivory and nutrients on coral reef macroalgae is undoubtedly complex and likely to “depend on the species, circumstances and life-history processes under consideration” (Diaz-Pulido &amp; McCook 2003). Irrespective of the underlying mechanism limiting ma</w:t>
      </w:r>
      <w:r>
        <w:rPr>
          <w:rFonts w:cs="Arial"/>
        </w:rPr>
        <w:t>croalgae on reefs, our results</w:t>
      </w:r>
      <w:r w:rsidRPr="0003141A">
        <w:rPr>
          <w:rFonts w:cs="Arial"/>
        </w:rPr>
        <w:t xml:space="preserve"> demonstrate that water quality conditions </w:t>
      </w:r>
      <w:r>
        <w:rPr>
          <w:rFonts w:cs="Arial"/>
        </w:rPr>
        <w:t>combined with hydrodynamic setting allow the identification of areas where brown macroalgae may occur</w:t>
      </w:r>
      <w:r w:rsidRPr="0003141A">
        <w:rPr>
          <w:rFonts w:cs="Arial"/>
        </w:rPr>
        <w:t xml:space="preserve"> at levels detrimenta</w:t>
      </w:r>
      <w:r>
        <w:rPr>
          <w:rFonts w:cs="Arial"/>
        </w:rPr>
        <w:t>l to coral community resilience</w:t>
      </w:r>
      <w:r w:rsidR="00845B85">
        <w:rPr>
          <w:rFonts w:cs="Arial"/>
        </w:rPr>
        <w:t>,</w:t>
      </w:r>
      <w:r>
        <w:rPr>
          <w:rFonts w:cs="Arial"/>
        </w:rPr>
        <w:t xml:space="preserve"> and potentially vulnerable to phase shifts to macroalgal-dominated states following future disturbance events.</w:t>
      </w:r>
    </w:p>
    <w:p w14:paraId="4D0A0E29" w14:textId="07B85A61" w:rsidR="00502A11" w:rsidRDefault="00502A11" w:rsidP="00502A11">
      <w:pPr>
        <w:jc w:val="left"/>
        <w:rPr>
          <w:rFonts w:ascii="Arial Narrow" w:eastAsia="SimSun" w:hAnsi="Arial Narrow"/>
          <w:color w:val="4F81BD" w:themeColor="accent1"/>
          <w:sz w:val="20"/>
          <w:szCs w:val="24"/>
        </w:rPr>
      </w:pPr>
      <w:r>
        <w:rPr>
          <w:rFonts w:ascii="Arial Narrow" w:eastAsia="SimSun" w:hAnsi="Arial Narrow"/>
          <w:color w:val="4F81BD" w:themeColor="accent1"/>
          <w:sz w:val="20"/>
          <w:szCs w:val="24"/>
        </w:rPr>
        <w:br w:type="page"/>
      </w:r>
    </w:p>
    <w:p w14:paraId="63C35391" w14:textId="3D3E2DA2" w:rsidR="00B05739" w:rsidRPr="00376132" w:rsidRDefault="00B05739" w:rsidP="00B05739">
      <w:pPr>
        <w:pStyle w:val="Heading1"/>
      </w:pPr>
      <w:bookmarkStart w:id="331" w:name="_Toc493153358"/>
      <w:r>
        <w:t xml:space="preserve">9 </w:t>
      </w:r>
      <w:r w:rsidRPr="00376132">
        <w:t>Acknowledgments</w:t>
      </w:r>
      <w:bookmarkEnd w:id="331"/>
    </w:p>
    <w:p w14:paraId="5769C4A8" w14:textId="77777777" w:rsidR="00B05739" w:rsidRPr="00376132" w:rsidRDefault="00B05739" w:rsidP="00B05739">
      <w:pPr>
        <w:rPr>
          <w:color w:val="000000" w:themeColor="text1"/>
        </w:rPr>
      </w:pPr>
      <w:r>
        <w:rPr>
          <w:color w:val="000000" w:themeColor="text1"/>
        </w:rPr>
        <w:t>W</w:t>
      </w:r>
      <w:r w:rsidRPr="00376132">
        <w:rPr>
          <w:color w:val="000000" w:themeColor="text1"/>
        </w:rPr>
        <w:t>e acknowledge the valuable contributions to data collection, sampling integrity and reporting of John Carlton, Stephen Neale and Damian Thomson over the first few years of the monitoring program</w:t>
      </w:r>
      <w:r>
        <w:rPr>
          <w:color w:val="000000" w:themeColor="text1"/>
        </w:rPr>
        <w:t>.</w:t>
      </w:r>
      <w:r w:rsidRPr="00376132">
        <w:rPr>
          <w:color w:val="000000" w:themeColor="text1"/>
        </w:rPr>
        <w:t xml:space="preserve"> We thank Aaron Anderson, Joe Gioffre, Charlotte Johansson, Kate Osborne, Shawn Smith, Marcus Stowar and Irena Zagorskis for valuable field assistance over the years. We also thank Ed Butler, Terry Done, Johanna Johnson, Katherine Martin and a number of anonymous reviewers for their detailed reviews that improved the previous reports on which this cu</w:t>
      </w:r>
      <w:r>
        <w:rPr>
          <w:color w:val="000000" w:themeColor="text1"/>
        </w:rPr>
        <w:t>rrent instalment builds.</w:t>
      </w:r>
    </w:p>
    <w:p w14:paraId="11EA9320" w14:textId="15697A4B" w:rsidR="009E3F08" w:rsidRPr="00F439FB" w:rsidRDefault="00B05739" w:rsidP="00B05739">
      <w:pPr>
        <w:pStyle w:val="Heading1"/>
      </w:pPr>
      <w:bookmarkStart w:id="332" w:name="_Toc437424443"/>
      <w:bookmarkStart w:id="333" w:name="_Toc437424567"/>
      <w:bookmarkStart w:id="334" w:name="_Toc437432496"/>
      <w:bookmarkStart w:id="335" w:name="_Toc437432569"/>
      <w:bookmarkStart w:id="336" w:name="_Toc493153359"/>
      <w:bookmarkStart w:id="337" w:name="_Toc229069174"/>
      <w:bookmarkStart w:id="338" w:name="_Toc334990242"/>
      <w:r>
        <w:t>10</w:t>
      </w:r>
      <w:r w:rsidR="001D1541">
        <w:t xml:space="preserve"> </w:t>
      </w:r>
      <w:r w:rsidR="009E3F08" w:rsidRPr="00F439FB">
        <w:t>References</w:t>
      </w:r>
      <w:bookmarkEnd w:id="332"/>
      <w:bookmarkEnd w:id="333"/>
      <w:bookmarkEnd w:id="334"/>
      <w:bookmarkEnd w:id="335"/>
      <w:bookmarkEnd w:id="336"/>
    </w:p>
    <w:p w14:paraId="11EA9322" w14:textId="77777777" w:rsidR="009F400E" w:rsidRDefault="009F400E" w:rsidP="003708B0">
      <w:pPr>
        <w:ind w:hanging="284"/>
        <w:rPr>
          <w:rStyle w:val="apple-style-span"/>
          <w:rFonts w:eastAsia="SimSun" w:cs="Arial"/>
          <w:color w:val="000000" w:themeColor="text1"/>
          <w:szCs w:val="22"/>
        </w:rPr>
      </w:pPr>
      <w:r w:rsidRPr="00E53765">
        <w:rPr>
          <w:lang w:val="en-US"/>
        </w:rPr>
        <w:t xml:space="preserve">Anderson MJ, Willis TJ (2003) </w:t>
      </w:r>
      <w:r w:rsidRPr="00E53765">
        <w:rPr>
          <w:rStyle w:val="apple-style-span"/>
          <w:rFonts w:eastAsia="SimSun" w:cs="Arial"/>
          <w:color w:val="000000" w:themeColor="text1"/>
          <w:szCs w:val="22"/>
        </w:rPr>
        <w:t>Canonical analysis of principal coordinates: a useful method of constrained ordination for ecology.</w:t>
      </w:r>
      <w:r w:rsidRPr="00E53765">
        <w:rPr>
          <w:rStyle w:val="apple-converted-space"/>
          <w:rFonts w:cs="Arial"/>
          <w:color w:val="000000" w:themeColor="text1"/>
          <w:szCs w:val="22"/>
        </w:rPr>
        <w:t> </w:t>
      </w:r>
      <w:r w:rsidRPr="00E53765">
        <w:rPr>
          <w:rStyle w:val="Emphasis"/>
          <w:rFonts w:cs="Arial"/>
          <w:i w:val="0"/>
          <w:color w:val="000000" w:themeColor="text1"/>
          <w:szCs w:val="22"/>
        </w:rPr>
        <w:t>Ecology</w:t>
      </w:r>
      <w:r w:rsidRPr="00E53765">
        <w:rPr>
          <w:rStyle w:val="apple-converted-space"/>
          <w:rFonts w:cs="Arial"/>
          <w:i/>
          <w:color w:val="000000" w:themeColor="text1"/>
          <w:szCs w:val="22"/>
        </w:rPr>
        <w:t> </w:t>
      </w:r>
      <w:r w:rsidRPr="00E53765">
        <w:rPr>
          <w:rStyle w:val="apple-style-span"/>
          <w:rFonts w:eastAsia="SimSun" w:cs="Arial"/>
          <w:color w:val="000000" w:themeColor="text1"/>
          <w:szCs w:val="22"/>
        </w:rPr>
        <w:t>84</w:t>
      </w:r>
      <w:r w:rsidR="008D482D" w:rsidRPr="00E53765">
        <w:rPr>
          <w:rStyle w:val="apple-style-span"/>
          <w:rFonts w:eastAsia="SimSun" w:cs="Arial"/>
          <w:color w:val="000000" w:themeColor="text1"/>
          <w:szCs w:val="22"/>
        </w:rPr>
        <w:t>:</w:t>
      </w:r>
      <w:r w:rsidRPr="00E53765">
        <w:rPr>
          <w:rStyle w:val="apple-style-span"/>
          <w:rFonts w:eastAsia="SimSun" w:cs="Arial"/>
          <w:color w:val="000000" w:themeColor="text1"/>
          <w:szCs w:val="22"/>
        </w:rPr>
        <w:t>511–525</w:t>
      </w:r>
    </w:p>
    <w:p w14:paraId="11EA9323" w14:textId="77777777" w:rsidR="00731767" w:rsidRPr="00E53765" w:rsidRDefault="00731767" w:rsidP="003708B0">
      <w:pPr>
        <w:ind w:hanging="284"/>
        <w:rPr>
          <w:lang w:val="en-US"/>
        </w:rPr>
      </w:pPr>
      <w:r w:rsidRPr="00E720EF">
        <w:rPr>
          <w:rFonts w:eastAsiaTheme="minorHAnsi"/>
        </w:rPr>
        <w:t xml:space="preserve">Angeler DG, Allen CR (2016). Quantifying resilience. Journal of </w:t>
      </w:r>
      <w:r>
        <w:rPr>
          <w:rFonts w:eastAsiaTheme="minorHAnsi"/>
        </w:rPr>
        <w:t>Applied Ecology, 53(3), 617-624</w:t>
      </w:r>
    </w:p>
    <w:p w14:paraId="11EA9324" w14:textId="77777777" w:rsidR="009F400E" w:rsidRPr="00E53765" w:rsidRDefault="009F400E" w:rsidP="003708B0">
      <w:pPr>
        <w:ind w:hanging="284"/>
      </w:pPr>
      <w:r w:rsidRPr="00E53765">
        <w:t>Anon</w:t>
      </w:r>
      <w:r w:rsidR="002F0B79">
        <w:t>.</w:t>
      </w:r>
      <w:r w:rsidRPr="00E53765">
        <w:t xml:space="preserve"> (2003) Reef Water Quality Protection Plan for catchments adjacent to the Great Barrier Reef World Heritage Area. The State of Queensland and Commonwealth of Australia. Queensland Department of Premier and Cabinet, Brisbane. 43p </w:t>
      </w:r>
    </w:p>
    <w:p w14:paraId="11EA9325" w14:textId="77777777" w:rsidR="009F400E" w:rsidRPr="00E53765" w:rsidRDefault="009F400E" w:rsidP="003708B0">
      <w:pPr>
        <w:ind w:hanging="284"/>
        <w:rPr>
          <w:lang w:eastAsia="en-GB"/>
        </w:rPr>
      </w:pPr>
      <w:r w:rsidRPr="00E53765">
        <w:rPr>
          <w:lang w:eastAsia="en-GB"/>
        </w:rPr>
        <w:t xml:space="preserve">Anon. (2009) Reef Water Quality Protection Plan 2009. For the Great Barrier Reef World Heritage Area and adjacent catchments. The State of Queensland and Commonwealth of Australia. Queensland Department of the Premier and Cabinet, Brisbane. 30 pp. </w:t>
      </w:r>
    </w:p>
    <w:p w14:paraId="11EA9327" w14:textId="77777777" w:rsidR="009F400E" w:rsidRPr="00E53765" w:rsidRDefault="009F400E" w:rsidP="003708B0">
      <w:pPr>
        <w:ind w:hanging="284"/>
        <w:rPr>
          <w:lang w:val="en-US"/>
        </w:rPr>
      </w:pPr>
      <w:r w:rsidRPr="00E53765">
        <w:rPr>
          <w:lang w:val="en-US"/>
        </w:rPr>
        <w:t xml:space="preserve">Anon. (2011) </w:t>
      </w:r>
      <w:r w:rsidRPr="00E53765">
        <w:t xml:space="preserve">Reef Water Quality Protection Plan. First Report 2009 Baseline. </w:t>
      </w:r>
      <w:r w:rsidRPr="00E53765">
        <w:rPr>
          <w:lang w:val="en-US"/>
        </w:rPr>
        <w:t xml:space="preserve">The State of Queensland and Commonwealth of Australia. Queensland Department of Premier and Cabinet, Brisbane. 140 pp. Available at </w:t>
      </w:r>
      <w:hyperlink r:id="rId65" w:tooltip="Reef Water Quality Protection Plan. First Report 2009 Baseline. " w:history="1">
        <w:r w:rsidRPr="00E53765">
          <w:rPr>
            <w:rStyle w:val="Hyperlink"/>
            <w:rFonts w:cs="Arial"/>
            <w:bCs/>
            <w:color w:val="000000" w:themeColor="text1"/>
            <w:szCs w:val="22"/>
            <w:lang w:val="en-US"/>
          </w:rPr>
          <w:t>www.reefplan.qld.gov.au</w:t>
        </w:r>
      </w:hyperlink>
    </w:p>
    <w:p w14:paraId="11EA9328" w14:textId="77777777" w:rsidR="009F400E" w:rsidRPr="00E53765" w:rsidRDefault="009F400E" w:rsidP="003708B0">
      <w:pPr>
        <w:ind w:hanging="284"/>
        <w:rPr>
          <w:rStyle w:val="Hyperlink"/>
          <w:rFonts w:cs="Arial"/>
          <w:color w:val="000000" w:themeColor="text1"/>
          <w:szCs w:val="22"/>
          <w:lang w:eastAsia="en-GB"/>
        </w:rPr>
      </w:pPr>
      <w:r w:rsidRPr="00E53765">
        <w:rPr>
          <w:lang w:val="en-AU" w:eastAsia="en-AU"/>
        </w:rPr>
        <w:t xml:space="preserve">Anon. (2013) Reef Water Quality Protection Plan 2013.Securing the health and resilience of the Great Barrier Reef World Heritage Area and adjacent catchments. The State of Queensland. Reef Water Quality Protection Plan Secretariat, Brisbane. 34 p. </w:t>
      </w:r>
      <w:r w:rsidRPr="00E53765">
        <w:rPr>
          <w:lang w:eastAsia="en-GB"/>
        </w:rPr>
        <w:t xml:space="preserve">Available at </w:t>
      </w:r>
      <w:hyperlink r:id="rId66" w:tooltip="Reef Water Quality Protection Plan 2013.Securing the health and resilience of the Great Barrier Reef World Heritage Area and adjacent catchments." w:history="1">
        <w:r w:rsidRPr="00E53765">
          <w:rPr>
            <w:rStyle w:val="Hyperlink"/>
            <w:rFonts w:cs="Arial"/>
            <w:color w:val="000000" w:themeColor="text1"/>
            <w:szCs w:val="22"/>
            <w:lang w:eastAsia="en-GB"/>
          </w:rPr>
          <w:t>www.reefplan.qld.gov.au</w:t>
        </w:r>
      </w:hyperlink>
    </w:p>
    <w:p w14:paraId="11EA9329" w14:textId="77777777" w:rsidR="009F400E" w:rsidRPr="00E53765" w:rsidRDefault="009F400E" w:rsidP="003708B0">
      <w:pPr>
        <w:ind w:hanging="284"/>
      </w:pPr>
      <w:r w:rsidRPr="00E53765">
        <w:t>Anthony KRN (1999) Coral suspension feeding on fine particulate matter. Journal of Experimental Marine Biology and Ecology 232:85-106</w:t>
      </w:r>
    </w:p>
    <w:p w14:paraId="11EA932A" w14:textId="77777777" w:rsidR="009F400E" w:rsidRPr="00E53765" w:rsidRDefault="009F400E" w:rsidP="003708B0">
      <w:pPr>
        <w:ind w:hanging="284"/>
      </w:pPr>
      <w:r w:rsidRPr="00E53765">
        <w:t>Anthony KRN, Fabricius KE (2000) Shifting roles of heterotrophy and autotrophy in coral energetics under varying turbidity. Journal of Experimental Marine Biology and Ecology 252:221-253</w:t>
      </w:r>
    </w:p>
    <w:p w14:paraId="11EA932B" w14:textId="77777777" w:rsidR="009F400E" w:rsidRPr="00E53765" w:rsidRDefault="009F400E" w:rsidP="003708B0">
      <w:pPr>
        <w:ind w:hanging="284"/>
        <w:rPr>
          <w:lang w:eastAsia="en-AU"/>
        </w:rPr>
      </w:pPr>
      <w:r w:rsidRPr="00E53765">
        <w:rPr>
          <w:lang w:eastAsia="en-AU"/>
        </w:rPr>
        <w:t>Ayling AM, Ayling AL (2005) The dynamics of Cairns and Central section fringing reefs: 2005 Unpublished report submitted to the Great Barrier Reef Marine Park Authority, Townsville.</w:t>
      </w:r>
    </w:p>
    <w:p w14:paraId="11EA932C" w14:textId="77777777" w:rsidR="009D3707" w:rsidRPr="00E53765" w:rsidRDefault="009D3707" w:rsidP="003708B0">
      <w:pPr>
        <w:ind w:hanging="284"/>
      </w:pPr>
      <w:r w:rsidRPr="00E53765">
        <w:t>Ayling A (1997) The biological status of fringing reefs in the Great Barrier Reef world heritage area. Proceedings of the State of the Great Barrier Reef World Heritage Area Workshop pp. 109-113</w:t>
      </w:r>
    </w:p>
    <w:p w14:paraId="11EA932D" w14:textId="77777777" w:rsidR="009F400E" w:rsidRPr="00E53765" w:rsidRDefault="009F400E" w:rsidP="003708B0">
      <w:pPr>
        <w:ind w:hanging="284"/>
      </w:pPr>
      <w:r w:rsidRPr="00E53765">
        <w:t>Babcock RC, Smith L (2002) Effects of sedimentation on coral settlement and survivorship. In: Proceedings of the 9th International Coral Reef Symposium, Bali, Indonesia, 245–248</w:t>
      </w:r>
    </w:p>
    <w:p w14:paraId="11EA932E" w14:textId="77777777" w:rsidR="009F400E" w:rsidRPr="00E53765" w:rsidRDefault="009F400E" w:rsidP="003708B0">
      <w:pPr>
        <w:ind w:hanging="284"/>
        <w:rPr>
          <w:lang w:eastAsia="en-AU"/>
        </w:rPr>
      </w:pPr>
      <w:r w:rsidRPr="00E53765">
        <w:rPr>
          <w:lang w:eastAsia="en-AU"/>
        </w:rPr>
        <w:t>Baird AH, Babcock RC, Mundy CP (2003) Habitat selection by larvae influences the depth distribution of six common coral species. Marine Ecology Progress Series 252:289-293</w:t>
      </w:r>
    </w:p>
    <w:p w14:paraId="11EA932F" w14:textId="25207C12" w:rsidR="009F400E" w:rsidRPr="00E53765" w:rsidRDefault="009F400E" w:rsidP="003708B0">
      <w:pPr>
        <w:ind w:hanging="284"/>
        <w:rPr>
          <w:szCs w:val="24"/>
          <w:lang w:val="en-AU" w:eastAsia="en-AU"/>
        </w:rPr>
      </w:pPr>
      <w:r w:rsidRPr="00E53765">
        <w:rPr>
          <w:szCs w:val="24"/>
          <w:lang w:val="en-AU" w:eastAsia="en-AU"/>
        </w:rPr>
        <w:t>Bartley R, Corfield JP, Hawdon AA, Kinsey-Henderson AE, Abbott BN, Wilkinson SN, Keen RJ (2014</w:t>
      </w:r>
      <w:r w:rsidR="00DF305A">
        <w:rPr>
          <w:szCs w:val="24"/>
          <w:lang w:val="en-AU" w:eastAsia="en-AU"/>
        </w:rPr>
        <w:t>a</w:t>
      </w:r>
      <w:r w:rsidRPr="00E53765">
        <w:rPr>
          <w:szCs w:val="24"/>
          <w:lang w:val="en-AU" w:eastAsia="en-AU"/>
        </w:rPr>
        <w:t xml:space="preserve">) Can changes to pasture management reduce </w:t>
      </w:r>
      <w:r w:rsidR="0042623E">
        <w:rPr>
          <w:szCs w:val="24"/>
          <w:lang w:val="en-AU" w:eastAsia="en-AU"/>
        </w:rPr>
        <w:t>run-off</w:t>
      </w:r>
      <w:r w:rsidRPr="00E53765">
        <w:rPr>
          <w:szCs w:val="24"/>
          <w:lang w:val="en-AU" w:eastAsia="en-AU"/>
        </w:rPr>
        <w:t xml:space="preserve"> and sediment loss to the Great Barrier Reef? The results of a 10-year study in the Burdekin catchment, Australia. The Rangeland Journal 36:67-84</w:t>
      </w:r>
    </w:p>
    <w:p w14:paraId="11EA9330" w14:textId="7B789D99" w:rsidR="009F400E" w:rsidRDefault="009F400E" w:rsidP="003708B0">
      <w:pPr>
        <w:ind w:hanging="284"/>
        <w:rPr>
          <w:szCs w:val="24"/>
          <w:lang w:val="en-AU" w:eastAsia="en-AU"/>
        </w:rPr>
      </w:pPr>
      <w:r w:rsidRPr="00E53765">
        <w:rPr>
          <w:szCs w:val="24"/>
          <w:lang w:val="en-AU" w:eastAsia="en-AU"/>
        </w:rPr>
        <w:t>Bartley R, Bainbridge ZT, Lewis SE, Kroon FJ, Wilkinson SN, Brodie JE, Silburn DM (2014</w:t>
      </w:r>
      <w:r w:rsidR="00DF305A">
        <w:rPr>
          <w:szCs w:val="24"/>
          <w:lang w:val="en-AU" w:eastAsia="en-AU"/>
        </w:rPr>
        <w:t>b</w:t>
      </w:r>
      <w:r w:rsidRPr="00E53765">
        <w:rPr>
          <w:szCs w:val="24"/>
          <w:lang w:val="en-AU" w:eastAsia="en-AU"/>
        </w:rPr>
        <w:t>) Relating sediment impacts on coral reefs to watershed sources, processes and management: A review. Science of the Total Environment 468–469:1138-1153</w:t>
      </w:r>
    </w:p>
    <w:p w14:paraId="247150D0" w14:textId="2A35FC61" w:rsidR="00952494" w:rsidRPr="00E53765" w:rsidRDefault="00952494" w:rsidP="003708B0">
      <w:pPr>
        <w:ind w:hanging="284"/>
        <w:rPr>
          <w:szCs w:val="24"/>
          <w:lang w:val="en-AU" w:eastAsia="en-AU"/>
        </w:rPr>
      </w:pPr>
      <w:r>
        <w:rPr>
          <w:szCs w:val="22"/>
        </w:rPr>
        <w:t xml:space="preserve">Beeden, R.J., Turner, M.A., Dryden, J., Merida, F., Goudkamp, K., Malone, C., Marshall, P.A., Birtles, A. and Maynard, J.A. 2014, Rapid survey protocol that provides dynamic information on reef condition to managers of the Great Barrier Reef, </w:t>
      </w:r>
      <w:r>
        <w:rPr>
          <w:i/>
          <w:iCs/>
          <w:szCs w:val="22"/>
        </w:rPr>
        <w:t xml:space="preserve">Environmental Monitoring and Assessment </w:t>
      </w:r>
      <w:r>
        <w:rPr>
          <w:szCs w:val="22"/>
        </w:rPr>
        <w:t>186(12): 8527-8540.</w:t>
      </w:r>
    </w:p>
    <w:p w14:paraId="11EA9331" w14:textId="77777777" w:rsidR="009F400E" w:rsidRPr="00E53765" w:rsidRDefault="009F400E" w:rsidP="003708B0">
      <w:pPr>
        <w:ind w:hanging="284"/>
        <w:rPr>
          <w:lang w:val="en-US"/>
        </w:rPr>
      </w:pPr>
      <w:r w:rsidRPr="00E53765">
        <w:rPr>
          <w:lang w:val="en-AU" w:eastAsia="en-AU"/>
        </w:rPr>
        <w:t>Belperio AP, Searle DE (1988) Terrigenous and carbonate sedimentation in the Great Barrier Reef province. In: J, D.L., H, R.H. (Eds.), Carbonate to Clastic Facies Changes. Developments in Sedimentology. Elsevier Science Publishers, Amsterdam, pp. 143–174</w:t>
      </w:r>
    </w:p>
    <w:p w14:paraId="11EA9332" w14:textId="77777777" w:rsidR="009F400E" w:rsidRPr="00E53765" w:rsidRDefault="009F400E" w:rsidP="003708B0">
      <w:pPr>
        <w:ind w:hanging="284"/>
        <w:rPr>
          <w:lang w:val="en-US"/>
        </w:rPr>
      </w:pPr>
      <w:r w:rsidRPr="00E53765">
        <w:rPr>
          <w:lang w:val="en-US"/>
        </w:rPr>
        <w:t>Bellwood DR, Hughes TP, Folke C, Nyström</w:t>
      </w:r>
      <w:r w:rsidR="00575B10" w:rsidRPr="00E53765">
        <w:rPr>
          <w:lang w:val="en-US"/>
        </w:rPr>
        <w:t xml:space="preserve">m </w:t>
      </w:r>
      <w:r w:rsidRPr="00E53765">
        <w:rPr>
          <w:lang w:val="en-US"/>
        </w:rPr>
        <w:t xml:space="preserve">(2004) Confronting the coral reef crisis. Nature 429:827-833 </w:t>
      </w:r>
    </w:p>
    <w:p w14:paraId="11EA9333" w14:textId="77777777" w:rsidR="009F400E" w:rsidRPr="00E53765" w:rsidRDefault="009F400E" w:rsidP="003708B0">
      <w:pPr>
        <w:ind w:hanging="284"/>
        <w:rPr>
          <w:lang w:val="en-AU" w:eastAsia="en-AU"/>
        </w:rPr>
      </w:pPr>
      <w:r w:rsidRPr="00E53765">
        <w:rPr>
          <w:lang w:val="en-AU" w:eastAsia="en-AU"/>
        </w:rPr>
        <w:t xml:space="preserve">Berkelmans R, De’ath G, Kininmonth S, Skirving WJ (2004) A comparison of the 1998 and 2002 coral bleaching events on the Great Barrier Reef: spatial correlation, patterns, and predictions. </w:t>
      </w:r>
      <w:r w:rsidRPr="00E53765">
        <w:rPr>
          <w:iCs/>
          <w:lang w:val="en-AU" w:eastAsia="en-AU"/>
        </w:rPr>
        <w:t>Coral reefs</w:t>
      </w:r>
      <w:r w:rsidRPr="00E53765">
        <w:rPr>
          <w:lang w:val="en-AU" w:eastAsia="en-AU"/>
        </w:rPr>
        <w:t xml:space="preserve">, </w:t>
      </w:r>
      <w:r w:rsidRPr="00E53765">
        <w:rPr>
          <w:iCs/>
          <w:lang w:val="en-AU" w:eastAsia="en-AU"/>
        </w:rPr>
        <w:t>23</w:t>
      </w:r>
      <w:r w:rsidRPr="00E53765">
        <w:rPr>
          <w:lang w:val="en-AU" w:eastAsia="en-AU"/>
        </w:rPr>
        <w:t>(1)</w:t>
      </w:r>
      <w:r w:rsidR="008D482D" w:rsidRPr="00E53765">
        <w:rPr>
          <w:lang w:val="en-AU" w:eastAsia="en-AU"/>
        </w:rPr>
        <w:t>:</w:t>
      </w:r>
      <w:r w:rsidRPr="00E53765">
        <w:rPr>
          <w:lang w:val="en-AU" w:eastAsia="en-AU"/>
        </w:rPr>
        <w:t>74-83</w:t>
      </w:r>
    </w:p>
    <w:p w14:paraId="11EA9334" w14:textId="77777777" w:rsidR="009F400E" w:rsidRDefault="009F400E" w:rsidP="003708B0">
      <w:pPr>
        <w:ind w:hanging="284"/>
        <w:rPr>
          <w:lang w:eastAsia="en-AU"/>
        </w:rPr>
      </w:pPr>
      <w:r w:rsidRPr="00E53765">
        <w:rPr>
          <w:lang w:eastAsia="en-AU"/>
        </w:rPr>
        <w:t>Berkelmans R, Jones A, Schaffelke B (2012) Salinity thresholds of Acropora spp. On the Great Barrier Reef. Coral Reefs 31:1103-1110</w:t>
      </w:r>
    </w:p>
    <w:p w14:paraId="311430DB" w14:textId="77777777" w:rsidR="009765E9" w:rsidRPr="009765E9" w:rsidRDefault="009765E9" w:rsidP="009765E9">
      <w:pPr>
        <w:pStyle w:val="NormalWeb"/>
        <w:spacing w:before="0" w:beforeAutospacing="0" w:after="120" w:afterAutospacing="0"/>
        <w:ind w:hanging="284"/>
        <w:rPr>
          <w:rFonts w:ascii="Arial" w:hAnsi="Arial" w:cs="Arial"/>
          <w:color w:val="123950"/>
          <w:sz w:val="22"/>
          <w:szCs w:val="22"/>
        </w:rPr>
      </w:pPr>
      <w:r w:rsidRPr="009765E9">
        <w:rPr>
          <w:rFonts w:ascii="Arial" w:hAnsi="Arial" w:cs="Arial"/>
          <w:sz w:val="22"/>
          <w:szCs w:val="22"/>
        </w:rPr>
        <w:t xml:space="preserve">Bessell-Browne P, Negri A.P., Fisher R, Clode P.L., Jones R, (2017) </w:t>
      </w:r>
      <w:hyperlink r:id="rId67" w:tgtFrame="_blank" w:history="1">
        <w:r w:rsidRPr="009765E9">
          <w:rPr>
            <w:rStyle w:val="Emphasis"/>
            <w:rFonts w:ascii="Arial" w:eastAsia="SimSun" w:hAnsi="Arial" w:cs="Arial"/>
            <w:bCs/>
            <w:sz w:val="22"/>
            <w:szCs w:val="22"/>
          </w:rPr>
          <w:t>Cumulative impacts: thermally bleached corals have reduced capacity to clear deposited sediment</w:t>
        </w:r>
      </w:hyperlink>
      <w:r>
        <w:rPr>
          <w:rFonts w:ascii="Tahoma" w:hAnsi="Tahoma" w:cs="Tahoma"/>
          <w:color w:val="123950"/>
          <w:sz w:val="18"/>
          <w:szCs w:val="18"/>
        </w:rPr>
        <w:t xml:space="preserve"> </w:t>
      </w:r>
      <w:r w:rsidRPr="009765E9">
        <w:rPr>
          <w:rFonts w:ascii="Arial" w:hAnsi="Arial" w:cs="Arial"/>
          <w:color w:val="123950"/>
          <w:sz w:val="22"/>
          <w:szCs w:val="22"/>
        </w:rPr>
        <w:t xml:space="preserve">Scientific Reports </w:t>
      </w:r>
      <w:hyperlink r:id="rId68" w:tgtFrame="_blank" w:history="1">
        <w:r w:rsidRPr="009765E9">
          <w:rPr>
            <w:rStyle w:val="Hyperlink"/>
            <w:rFonts w:ascii="Arial" w:eastAsia="SimSun" w:hAnsi="Arial" w:cs="Arial"/>
            <w:sz w:val="22"/>
            <w:szCs w:val="22"/>
          </w:rPr>
          <w:t>doi:10.1038/s41598-017-02810-0</w:t>
        </w:r>
      </w:hyperlink>
    </w:p>
    <w:p w14:paraId="11EA9335" w14:textId="77777777" w:rsidR="009F400E" w:rsidRPr="00E53765" w:rsidRDefault="009F400E" w:rsidP="003708B0">
      <w:pPr>
        <w:ind w:hanging="284"/>
      </w:pPr>
      <w:r w:rsidRPr="00E53765">
        <w:t>Birrell CL, McCook LJ, Willis BL (2005) Effects of algal turfs and sediment on coral settlement. Marine Pollution Bulletin 51:408-414</w:t>
      </w:r>
    </w:p>
    <w:p w14:paraId="11EA9336" w14:textId="77777777" w:rsidR="009F400E" w:rsidRPr="00E53765" w:rsidRDefault="009F400E" w:rsidP="003708B0">
      <w:pPr>
        <w:ind w:hanging="284"/>
        <w:rPr>
          <w:lang w:eastAsia="en-AU"/>
        </w:rPr>
      </w:pPr>
      <w:r w:rsidRPr="00E53765">
        <w:rPr>
          <w:lang w:eastAsia="en-AU"/>
        </w:rPr>
        <w:t>Birrell CL, McCook LJ, Willis BL, Diaz-Pulido GA (2008a) Effects of benthic algae on the replenishments of corals and the implications for the resilience of coral reefs. Oceanography and Marine Biology: An Annual Review 46:25-64</w:t>
      </w:r>
    </w:p>
    <w:p w14:paraId="11EA9337" w14:textId="77777777" w:rsidR="009F400E" w:rsidRDefault="009F400E" w:rsidP="003708B0">
      <w:pPr>
        <w:ind w:hanging="284"/>
        <w:rPr>
          <w:lang w:eastAsia="en-AU"/>
        </w:rPr>
      </w:pPr>
      <w:r w:rsidRPr="00E53765">
        <w:rPr>
          <w:lang w:eastAsia="en-AU"/>
        </w:rPr>
        <w:t xml:space="preserve">Birrell CL, McCook LJ, Willis BL, Harrington L (2008b) Chemical effects of macroalgae on larval settlement of the broadcast spawning coral </w:t>
      </w:r>
      <w:r w:rsidRPr="00E53765">
        <w:rPr>
          <w:i/>
          <w:lang w:eastAsia="en-AU"/>
        </w:rPr>
        <w:t>Acropora millepora</w:t>
      </w:r>
      <w:r w:rsidRPr="00E53765">
        <w:rPr>
          <w:lang w:eastAsia="en-AU"/>
        </w:rPr>
        <w:t>. Marine Ecology Progress Series 362:129-137</w:t>
      </w:r>
    </w:p>
    <w:p w14:paraId="11EA9338" w14:textId="77777777" w:rsidR="00731767" w:rsidRDefault="00731767" w:rsidP="003708B0">
      <w:pPr>
        <w:ind w:hanging="284"/>
        <w:rPr>
          <w:lang w:eastAsia="en-AU"/>
        </w:rPr>
      </w:pPr>
      <w:r w:rsidRPr="000E3552">
        <w:rPr>
          <w:lang w:eastAsia="en-AU"/>
        </w:rPr>
        <w:t>Box SJ, Mumby PJ (2007) Effect of macroalgal competition on growth and survival of juvenile Caribbean corals. Mar</w:t>
      </w:r>
      <w:r>
        <w:rPr>
          <w:lang w:eastAsia="en-AU"/>
        </w:rPr>
        <w:t>ine</w:t>
      </w:r>
      <w:r w:rsidRPr="000E3552">
        <w:rPr>
          <w:lang w:eastAsia="en-AU"/>
        </w:rPr>
        <w:t xml:space="preserve"> Ecol</w:t>
      </w:r>
      <w:r>
        <w:rPr>
          <w:lang w:eastAsia="en-AU"/>
        </w:rPr>
        <w:t>ogy</w:t>
      </w:r>
      <w:r w:rsidRPr="000E3552">
        <w:rPr>
          <w:lang w:eastAsia="en-AU"/>
        </w:rPr>
        <w:t xml:space="preserve"> Prog</w:t>
      </w:r>
      <w:r>
        <w:rPr>
          <w:lang w:eastAsia="en-AU"/>
        </w:rPr>
        <w:t>ress</w:t>
      </w:r>
      <w:r w:rsidRPr="000E3552">
        <w:rPr>
          <w:lang w:eastAsia="en-AU"/>
        </w:rPr>
        <w:t xml:space="preserve"> Ser</w:t>
      </w:r>
      <w:r>
        <w:rPr>
          <w:lang w:eastAsia="en-AU"/>
        </w:rPr>
        <w:t>ies</w:t>
      </w:r>
      <w:r w:rsidRPr="000E3552">
        <w:rPr>
          <w:lang w:eastAsia="en-AU"/>
        </w:rPr>
        <w:t xml:space="preserve"> 342:</w:t>
      </w:r>
      <w:r>
        <w:rPr>
          <w:lang w:eastAsia="en-AU"/>
        </w:rPr>
        <w:t>139–149</w:t>
      </w:r>
    </w:p>
    <w:p w14:paraId="11EA9339" w14:textId="77777777" w:rsidR="009F400E" w:rsidRPr="00E53765" w:rsidRDefault="009F400E" w:rsidP="003708B0">
      <w:pPr>
        <w:ind w:hanging="284"/>
        <w:rPr>
          <w:lang w:val="en-US"/>
        </w:rPr>
      </w:pPr>
      <w:r w:rsidRPr="00E53765">
        <w:rPr>
          <w:lang w:val="en-US"/>
        </w:rPr>
        <w:t>Brinkman R, Herzfeld M, Andrewartha J, Rizwi F, Steinberg C, Spagnol S (2011) Hydrodynamics at the whole of GBR scale. AIMS Final Project Report MTSRF Project 2.5i.1, June 2011. Report to Reef and Rainforest Research Centre. Australian Institute of Marine Science, Townsville. 42pp</w:t>
      </w:r>
    </w:p>
    <w:p w14:paraId="11EA933B" w14:textId="77777777" w:rsidR="009F400E" w:rsidRPr="00E53765" w:rsidRDefault="009F400E" w:rsidP="003708B0">
      <w:pPr>
        <w:ind w:hanging="284"/>
        <w:rPr>
          <w:lang w:val="en-AU" w:eastAsia="en-AU"/>
        </w:rPr>
      </w:pPr>
      <w:r w:rsidRPr="00E53765">
        <w:rPr>
          <w:lang w:val="en-AU" w:eastAsia="en-AU"/>
        </w:rPr>
        <w:t xml:space="preserve">Brodie J, Fabricius K, De’ath G, Okaji K (2005) Are increased nutrient inputs responsible for more outbreaks of crown-of-thorns starfish? An appraisal of the evidence. </w:t>
      </w:r>
      <w:r w:rsidRPr="00E53765">
        <w:rPr>
          <w:iCs/>
          <w:lang w:val="en-AU" w:eastAsia="en-AU"/>
        </w:rPr>
        <w:t>Marine Pollution Bulletin</w:t>
      </w:r>
      <w:r w:rsidRPr="00E53765">
        <w:rPr>
          <w:lang w:val="en-AU" w:eastAsia="en-AU"/>
        </w:rPr>
        <w:t xml:space="preserve">, </w:t>
      </w:r>
      <w:r w:rsidRPr="00E53765">
        <w:rPr>
          <w:iCs/>
          <w:lang w:val="en-AU" w:eastAsia="en-AU"/>
        </w:rPr>
        <w:t>51</w:t>
      </w:r>
      <w:r w:rsidRPr="00E53765">
        <w:rPr>
          <w:lang w:val="en-AU" w:eastAsia="en-AU"/>
        </w:rPr>
        <w:t>(1)</w:t>
      </w:r>
      <w:r w:rsidR="008D482D" w:rsidRPr="00E53765">
        <w:rPr>
          <w:lang w:val="en-AU" w:eastAsia="en-AU"/>
        </w:rPr>
        <w:t>:</w:t>
      </w:r>
      <w:r w:rsidRPr="00E53765">
        <w:rPr>
          <w:lang w:val="en-AU" w:eastAsia="en-AU"/>
        </w:rPr>
        <w:t>266-278</w:t>
      </w:r>
    </w:p>
    <w:p w14:paraId="11EA933C" w14:textId="6A4491DB" w:rsidR="009F400E" w:rsidRPr="00E53765" w:rsidRDefault="009F400E" w:rsidP="003708B0">
      <w:pPr>
        <w:ind w:hanging="284"/>
      </w:pPr>
      <w:r w:rsidRPr="00E53765">
        <w:t xml:space="preserve">Brodie JE, Kroon FJ, Schaffelke B, Wolanski EC, Lewis SE, Devlin MJ, Bohnet IC, Bainbridge ZT, Waterhouse J, Davis AM (2012b) Terrestrial pollutant </w:t>
      </w:r>
      <w:r w:rsidR="0042623E">
        <w:t>run-off</w:t>
      </w:r>
      <w:r w:rsidRPr="00E53765">
        <w:t xml:space="preserve"> to the Great Barrier Reef: An update of issues, priorities and management responses. Marine Pollution Bulletin 65:81-100</w:t>
      </w:r>
    </w:p>
    <w:p w14:paraId="11EA933D" w14:textId="77777777" w:rsidR="009F400E" w:rsidRPr="00E53765" w:rsidRDefault="009F400E" w:rsidP="003708B0">
      <w:pPr>
        <w:ind w:hanging="284"/>
      </w:pPr>
      <w:r w:rsidRPr="00E53765">
        <w:t>Brodie J, Wolanski E, Lewis S, Bainbridge Z (2012a) An assessment of residence times of land-sourced contaminants in the Great Barrier Reef lagoon and the implications for management and reef recovery. Marine Pollution Bulletin 65:267-279</w:t>
      </w:r>
    </w:p>
    <w:p w14:paraId="11EA933F" w14:textId="77777777" w:rsidR="009F400E" w:rsidRPr="00E53765" w:rsidRDefault="009F400E" w:rsidP="003708B0">
      <w:pPr>
        <w:ind w:hanging="284"/>
        <w:rPr>
          <w:lang w:bidi="en-US"/>
        </w:rPr>
      </w:pPr>
      <w:r w:rsidRPr="00E53765">
        <w:rPr>
          <w:lang w:bidi="en-US"/>
        </w:rPr>
        <w:t>Browne NK, Smithers SG, Perry CT (2010) Geomorphology and community structure of Middle Reef, central Great Barrier Reef, Australia: an inner-shelf turbid zone reef subject to episodic mortality events. Coral Reefs 29: 683-689</w:t>
      </w:r>
    </w:p>
    <w:p w14:paraId="11EA9340" w14:textId="77777777" w:rsidR="009F400E" w:rsidRPr="00E53765" w:rsidRDefault="009F400E" w:rsidP="003708B0">
      <w:pPr>
        <w:ind w:hanging="284"/>
        <w:rPr>
          <w:lang w:bidi="en-US"/>
        </w:rPr>
      </w:pPr>
      <w:r w:rsidRPr="00E53765">
        <w:t>Browne NK, Smithers SG, Perry CT (2012) Coral reefs of the turbid inner-shelf of the Great Barrier Reef, Australia: An environmental and geomorphic perspective on the occurrence, composition and growth. Earth-Science Reviews 115:1-20</w:t>
      </w:r>
    </w:p>
    <w:p w14:paraId="11EA9341" w14:textId="77777777" w:rsidR="009F400E" w:rsidRPr="00E53765" w:rsidRDefault="009F400E" w:rsidP="003708B0">
      <w:pPr>
        <w:ind w:hanging="284"/>
      </w:pPr>
      <w:r w:rsidRPr="00E53765">
        <w:t>Bruno JF, Petes LE, Harvell CD, Hettinger A (2003) Nutrient enrichment can increase the severity of coral diseases. Ecology Letters 6:1056-1061</w:t>
      </w:r>
    </w:p>
    <w:p w14:paraId="11EA9342" w14:textId="77777777" w:rsidR="009F400E" w:rsidRPr="00E53765" w:rsidRDefault="009F400E" w:rsidP="003708B0">
      <w:pPr>
        <w:ind w:hanging="284"/>
      </w:pPr>
      <w:r w:rsidRPr="00E53765">
        <w:t>Bruno JF, Sweatman H, Precht WF, Selig ER, Schutte VGW (2009) Assessing evidence of phase shifts from coral to macroalgal dominance on coral reefs. Ecology 90:1478-1484</w:t>
      </w:r>
    </w:p>
    <w:p w14:paraId="11EA9343" w14:textId="77777777" w:rsidR="009F400E" w:rsidRPr="00E53765" w:rsidRDefault="009F400E" w:rsidP="003708B0">
      <w:pPr>
        <w:ind w:hanging="284"/>
        <w:rPr>
          <w:szCs w:val="24"/>
          <w:lang w:val="en-AU" w:eastAsia="en-AU"/>
        </w:rPr>
      </w:pPr>
      <w:r w:rsidRPr="00E53765">
        <w:rPr>
          <w:szCs w:val="24"/>
          <w:lang w:val="en-AU" w:eastAsia="en-AU"/>
        </w:rPr>
        <w:t>Caballes CF, Pratchett MS (2014) Reproductive biology and early life history of the crown-of-thorns starfish. In: Whitmore E (</w:t>
      </w:r>
      <w:r w:rsidR="001648C9" w:rsidRPr="00E53765">
        <w:rPr>
          <w:szCs w:val="24"/>
          <w:lang w:val="en-AU" w:eastAsia="en-AU"/>
        </w:rPr>
        <w:t>Ed</w:t>
      </w:r>
      <w:r w:rsidRPr="00E53765">
        <w:rPr>
          <w:szCs w:val="24"/>
          <w:lang w:val="en-AU" w:eastAsia="en-AU"/>
        </w:rPr>
        <w:t>) Echinoderms: ecology, habitats and reproductive biology. Nova Science Publishers, New York, NY, USA</w:t>
      </w:r>
    </w:p>
    <w:p w14:paraId="11EA9344" w14:textId="77777777" w:rsidR="009F400E" w:rsidRDefault="009F400E" w:rsidP="003708B0">
      <w:pPr>
        <w:ind w:hanging="284"/>
        <w:rPr>
          <w:lang w:val="en-US"/>
        </w:rPr>
      </w:pPr>
      <w:r w:rsidRPr="00E53765">
        <w:rPr>
          <w:lang w:val="en-US"/>
        </w:rPr>
        <w:t>Carpenter KE, Abrar M, Aeby G, Aronson RB, Banks S, Bruckner A, Chiriboga A, Cortes J, Delbeek JC, DeVantier L, Edgar GJ, Edwards AJ, Fenner D, Guzman HM, Hoeksema BW, Hodgson G, Johan O, Licuanan WY, Livingstone SR, Lovell ER, Moore JA, Obura DO, Ochavillo D, Polidoro BA, Precht WF, Quibilan MC, Reboton C, Richards ZT, Rogers AD, Sanciangco J, Sheppard A, Sheppard C, Smith J, Stuart S, Turak E, Veron JEN, Wallace C, Weil E, Wood E (2008) One-Third of Reef-Building Corals Face Elevated Extinction Risk from Climate Change and Local Impacts. Science 321:560-563</w:t>
      </w:r>
    </w:p>
    <w:p w14:paraId="11EA9345" w14:textId="77777777" w:rsidR="00731767" w:rsidRPr="00E53765" w:rsidRDefault="00731767" w:rsidP="003708B0">
      <w:pPr>
        <w:ind w:hanging="284"/>
        <w:rPr>
          <w:lang w:val="en-US"/>
        </w:rPr>
      </w:pPr>
      <w:r w:rsidRPr="000E3552">
        <w:rPr>
          <w:lang w:val="en-US"/>
        </w:rPr>
        <w:t>Ceccarelli DM, Jones GP, McCook LJ</w:t>
      </w:r>
      <w:r>
        <w:rPr>
          <w:lang w:val="en-US"/>
        </w:rPr>
        <w:t xml:space="preserve"> (</w:t>
      </w:r>
      <w:r w:rsidRPr="000E3552">
        <w:rPr>
          <w:lang w:val="en-US"/>
        </w:rPr>
        <w:t>2011</w:t>
      </w:r>
      <w:r>
        <w:rPr>
          <w:lang w:val="en-US"/>
        </w:rPr>
        <w:t>)</w:t>
      </w:r>
      <w:r w:rsidRPr="000E3552">
        <w:rPr>
          <w:lang w:val="en-US"/>
        </w:rPr>
        <w:t xml:space="preserve"> Interactions between herbivorous fish guilds and their influence on algal succession on a coastal coral reef. J</w:t>
      </w:r>
      <w:r>
        <w:rPr>
          <w:lang w:val="en-US"/>
        </w:rPr>
        <w:t>ournal of Experimental Marine Biology and Ecology</w:t>
      </w:r>
      <w:r w:rsidRPr="000E3552">
        <w:rPr>
          <w:lang w:val="en-US"/>
        </w:rPr>
        <w:t xml:space="preserve"> 399:60-67</w:t>
      </w:r>
    </w:p>
    <w:p w14:paraId="11EA9346" w14:textId="77777777" w:rsidR="009F400E" w:rsidRPr="00E53765" w:rsidRDefault="009F400E" w:rsidP="003708B0">
      <w:pPr>
        <w:ind w:hanging="284"/>
        <w:rPr>
          <w:lang w:val="en-AU"/>
        </w:rPr>
      </w:pPr>
      <w:r w:rsidRPr="00E53765">
        <w:t>Cheal AJ, , Emslie M, MacNeil MA, Miller I, Sweatman H (2013)</w:t>
      </w:r>
      <w:r w:rsidRPr="00E53765">
        <w:rPr>
          <w:lang w:val="en-AU"/>
        </w:rPr>
        <w:t xml:space="preserve"> Spatial variation in the functional characteristics of herbivorous fish communities and the resilience of coral reefs</w:t>
      </w:r>
      <w:r w:rsidR="002F16A2">
        <w:rPr>
          <w:lang w:val="en-AU"/>
        </w:rPr>
        <w:t>.</w:t>
      </w:r>
      <w:r w:rsidRPr="00E53765">
        <w:rPr>
          <w:lang w:val="en-AU"/>
        </w:rPr>
        <w:t xml:space="preserve"> Ecological Applications 23:174</w:t>
      </w:r>
      <w:r w:rsidR="002F16A2">
        <w:rPr>
          <w:lang w:val="en-AU"/>
        </w:rPr>
        <w:t>-</w:t>
      </w:r>
      <w:r w:rsidRPr="00E53765">
        <w:rPr>
          <w:lang w:val="en-AU"/>
        </w:rPr>
        <w:t>188</w:t>
      </w:r>
    </w:p>
    <w:p w14:paraId="11EA9347" w14:textId="77777777" w:rsidR="009F400E" w:rsidRPr="00E53765" w:rsidRDefault="009F400E" w:rsidP="003708B0">
      <w:pPr>
        <w:ind w:hanging="284"/>
        <w:rPr>
          <w:lang w:eastAsia="en-AU"/>
        </w:rPr>
      </w:pPr>
      <w:r w:rsidRPr="00E53765">
        <w:t>Cheal AJ, MacNeil MA, Cripps E, Emslie M, Jonker M, Schaffelke B, Sweatman H (2010) Coral-macroalgal phase shifts or reef resilience: links with diversity and functional roles of herbivorous fishes on the Great Barrier Reef. Coral Reefs</w:t>
      </w:r>
      <w:r w:rsidRPr="00E53765">
        <w:rPr>
          <w:lang w:eastAsia="en-AU"/>
        </w:rPr>
        <w:t xml:space="preserve"> 29:1005-1015</w:t>
      </w:r>
    </w:p>
    <w:p w14:paraId="11EA9348" w14:textId="77777777" w:rsidR="009F400E" w:rsidRDefault="009F400E" w:rsidP="003708B0">
      <w:pPr>
        <w:ind w:hanging="284"/>
        <w:rPr>
          <w:lang w:val="en-AU" w:eastAsia="en-AU"/>
        </w:rPr>
      </w:pPr>
      <w:r w:rsidRPr="00E53765">
        <w:rPr>
          <w:lang w:eastAsia="en-AU"/>
        </w:rPr>
        <w:t>Cooper TF, Uthicke S, Humphrey C, Fabricius KE (2007) Gradients in water column nutrients, sediment parameters, irradiance and coral reef development in the Whitsunday Region, central Great Barrier Reef. Estuarine, Coastal and Shelf Science 74:458-470</w:t>
      </w:r>
      <w:r w:rsidRPr="00E53765">
        <w:rPr>
          <w:lang w:val="en-AU" w:eastAsia="en-AU"/>
        </w:rPr>
        <w:t>Darnell R, Henderson B, Kroon FJ, Kuhnert P (2012) Statistical power of detecting trends in total suspended sediment loads to the Great Barrier Reef. Marine Pollution Bulletin 65:203-209</w:t>
      </w:r>
    </w:p>
    <w:p w14:paraId="26591174" w14:textId="7BE78ADE" w:rsidR="00425F25" w:rsidRPr="00425F25" w:rsidRDefault="00425F25" w:rsidP="00425F25">
      <w:pPr>
        <w:ind w:hanging="284"/>
        <w:rPr>
          <w:rFonts w:cs="Arial"/>
          <w:color w:val="222222"/>
          <w:szCs w:val="22"/>
          <w:lang w:val="en-AU" w:eastAsia="en-AU"/>
        </w:rPr>
      </w:pPr>
      <w:r w:rsidRPr="00425F25">
        <w:rPr>
          <w:rFonts w:cs="Arial"/>
          <w:color w:val="222222"/>
          <w:szCs w:val="22"/>
          <w:lang w:val="en-AU" w:eastAsia="en-AU"/>
        </w:rPr>
        <w:t xml:space="preserve">Crain, C.M., Kroeker, K. and Halpern, B.S., 2008. Interactive and cumulative effects of multiple human stressors in marine systems. </w:t>
      </w:r>
      <w:r w:rsidRPr="00425F25">
        <w:rPr>
          <w:rFonts w:cs="Arial"/>
          <w:i/>
          <w:iCs/>
          <w:color w:val="222222"/>
          <w:szCs w:val="22"/>
          <w:lang w:val="en-AU" w:eastAsia="en-AU"/>
        </w:rPr>
        <w:t>Ecology letters</w:t>
      </w:r>
      <w:r w:rsidRPr="00425F25">
        <w:rPr>
          <w:rFonts w:cs="Arial"/>
          <w:color w:val="222222"/>
          <w:szCs w:val="22"/>
          <w:lang w:val="en-AU" w:eastAsia="en-AU"/>
        </w:rPr>
        <w:t xml:space="preserve">, </w:t>
      </w:r>
      <w:r w:rsidRPr="00425F25">
        <w:rPr>
          <w:rFonts w:cs="Arial"/>
          <w:i/>
          <w:iCs/>
          <w:color w:val="222222"/>
          <w:szCs w:val="22"/>
          <w:lang w:val="en-AU" w:eastAsia="en-AU"/>
        </w:rPr>
        <w:t>11</w:t>
      </w:r>
      <w:r w:rsidRPr="00425F25">
        <w:rPr>
          <w:rFonts w:cs="Arial"/>
          <w:color w:val="222222"/>
          <w:szCs w:val="22"/>
          <w:lang w:val="en-AU" w:eastAsia="en-AU"/>
        </w:rPr>
        <w:t>(12), pp.1304-1315.</w:t>
      </w:r>
    </w:p>
    <w:p w14:paraId="11EA9349" w14:textId="77777777" w:rsidR="009F400E" w:rsidRPr="00E53765" w:rsidRDefault="009F400E" w:rsidP="003708B0">
      <w:pPr>
        <w:ind w:hanging="284"/>
        <w:rPr>
          <w:lang w:val="en-US"/>
        </w:rPr>
      </w:pPr>
      <w:r w:rsidRPr="00E53765">
        <w:rPr>
          <w:lang w:val="en-US"/>
        </w:rPr>
        <w:t>De'ath G, Fabricius KE (2008) Water Quality of the Great Barrier Reef: Distributions, Effects on Reef Biota and Trigger Values for the Protection of Ecosystem Health. Research Publication No. 89. Great Barrier Marine Park Authority, Townsville, p. 104p</w:t>
      </w:r>
    </w:p>
    <w:p w14:paraId="11EA934A" w14:textId="77777777" w:rsidR="009F400E" w:rsidRPr="00E53765" w:rsidRDefault="009F400E" w:rsidP="003708B0">
      <w:pPr>
        <w:ind w:hanging="284"/>
        <w:rPr>
          <w:lang w:val="en-US"/>
        </w:rPr>
      </w:pPr>
      <w:r w:rsidRPr="00E53765">
        <w:rPr>
          <w:lang w:val="en-US"/>
        </w:rPr>
        <w:t>De'ath G, Fabricius KE (2010) Water quality as a regional driver of coral biodiversity and macroalgae on the Great Barrier Reef. Ecological Applications 20:840–850</w:t>
      </w:r>
    </w:p>
    <w:p w14:paraId="11EA934B" w14:textId="64ED284D" w:rsidR="009F400E" w:rsidRPr="00E53765" w:rsidRDefault="009F400E" w:rsidP="003708B0">
      <w:pPr>
        <w:ind w:hanging="284"/>
        <w:rPr>
          <w:rFonts w:eastAsia="MS Mincho"/>
          <w:lang w:eastAsia="ja-JP"/>
        </w:rPr>
      </w:pPr>
      <w:r w:rsidRPr="00E53765">
        <w:rPr>
          <w:rFonts w:eastAsia="MS Mincho"/>
          <w:lang w:eastAsia="ja-JP"/>
        </w:rPr>
        <w:t>De’ath G, Fabricius KE, Sweatman H, Puotinen</w:t>
      </w:r>
      <w:r w:rsidR="00197EF9">
        <w:rPr>
          <w:rFonts w:eastAsia="MS Mincho"/>
          <w:lang w:eastAsia="ja-JP"/>
        </w:rPr>
        <w:t xml:space="preserve"> M</w:t>
      </w:r>
      <w:r w:rsidR="00575B10" w:rsidRPr="00E53765">
        <w:rPr>
          <w:rFonts w:eastAsia="MS Mincho"/>
          <w:lang w:eastAsia="ja-JP"/>
        </w:rPr>
        <w:t xml:space="preserve"> </w:t>
      </w:r>
      <w:r w:rsidRPr="00E53765">
        <w:rPr>
          <w:rFonts w:eastAsia="MS Mincho"/>
          <w:lang w:eastAsia="ja-JP"/>
        </w:rPr>
        <w:t xml:space="preserve">(2012) The 27-year decline of coral cover on the Great Barrier Reef and its causes. Proceedings of the National Academy of Sciences 190(44):17995-17999 </w:t>
      </w:r>
    </w:p>
    <w:p w14:paraId="11EA934D" w14:textId="77777777" w:rsidR="009F400E" w:rsidRPr="00E53765" w:rsidRDefault="009F400E" w:rsidP="003708B0">
      <w:pPr>
        <w:ind w:hanging="284"/>
      </w:pPr>
      <w:r w:rsidRPr="00E53765">
        <w:t>DeVantier L, De’ath G, Turak E, Done TJ, Fabricius KE (2006) Species richness and community structure of reef-building corals on the nearshore Great Barrier Reef. Coral Reef 25:329-340</w:t>
      </w:r>
    </w:p>
    <w:p w14:paraId="11EA934E" w14:textId="77777777" w:rsidR="009F400E" w:rsidRPr="00E53765" w:rsidRDefault="009F400E" w:rsidP="003708B0">
      <w:pPr>
        <w:ind w:hanging="284"/>
        <w:rPr>
          <w:rFonts w:eastAsia="MS Mincho"/>
          <w:lang w:eastAsia="ja-JP"/>
        </w:rPr>
      </w:pPr>
      <w:r w:rsidRPr="00E53765">
        <w:rPr>
          <w:rFonts w:eastAsia="MS Mincho"/>
          <w:lang w:eastAsia="ja-JP"/>
        </w:rPr>
        <w:t>Diaz-Pulido G, Harii S, McCook LJ, Hoegh-Guldberg O (2010) The impact of benthic algae on the settlement of a reef-building coral. Coral Reefs 29:203-208</w:t>
      </w:r>
    </w:p>
    <w:p w14:paraId="11EA934F" w14:textId="77777777" w:rsidR="00782ECB" w:rsidRPr="00E53765" w:rsidRDefault="00782ECB" w:rsidP="003708B0">
      <w:pPr>
        <w:ind w:hanging="284"/>
        <w:rPr>
          <w:rFonts w:eastAsiaTheme="minorHAnsi"/>
          <w:lang w:val="en-AU"/>
        </w:rPr>
      </w:pPr>
      <w:r w:rsidRPr="00E53765">
        <w:rPr>
          <w:rFonts w:eastAsiaTheme="minorHAnsi"/>
          <w:lang w:val="en-AU"/>
        </w:rPr>
        <w:t>Diaz-Pulido G, McCook LJ (2003) Relative roles of herbivory and nutrients in the recruitment of coral-reef seaweeds. Ecology 84:2026-2033</w:t>
      </w:r>
    </w:p>
    <w:p w14:paraId="11EA9350" w14:textId="77777777" w:rsidR="009F400E" w:rsidRPr="00E53765" w:rsidRDefault="009F400E" w:rsidP="003708B0">
      <w:pPr>
        <w:ind w:hanging="284"/>
        <w:rPr>
          <w:rFonts w:eastAsia="MS Mincho"/>
          <w:lang w:eastAsia="ja-JP"/>
        </w:rPr>
      </w:pPr>
      <w:r w:rsidRPr="00E53765">
        <w:rPr>
          <w:rFonts w:eastAsia="MS Mincho"/>
          <w:lang w:eastAsia="ja-JP"/>
        </w:rPr>
        <w:t xml:space="preserve">Diaz-Pulido G, McCook LJ, Dove S, Berkelmans R, Roff G, Kline DI, Weeks S, Evans RD, Williamson DH, Hoegh-Guldberg O (2009) Doom and Boom on a Resilient Reef: Climate Change, Algal Overgrowth and Coral Recovery. PLoS ONE 4(4): e5239 </w:t>
      </w:r>
    </w:p>
    <w:p w14:paraId="11EA9351" w14:textId="77777777" w:rsidR="009F400E" w:rsidRPr="00E53765" w:rsidRDefault="009F400E" w:rsidP="003708B0">
      <w:pPr>
        <w:ind w:hanging="284"/>
        <w:rPr>
          <w:lang w:eastAsia="en-AU"/>
        </w:rPr>
      </w:pPr>
      <w:r w:rsidRPr="00E53765">
        <w:rPr>
          <w:lang w:eastAsia="en-AU"/>
        </w:rPr>
        <w:t>Done T, Turak E, Wakeford M, DeVantier L, McDonald A and Fisk D (2007) Decadal changes in turbid-water coral communities at Pandora Reef: loss of resilience or too soon to tell? Coral reefs 26:789–805</w:t>
      </w:r>
    </w:p>
    <w:p w14:paraId="11EA9352" w14:textId="77777777" w:rsidR="009F400E" w:rsidRDefault="009F400E" w:rsidP="003708B0">
      <w:pPr>
        <w:ind w:hanging="284"/>
        <w:rPr>
          <w:rFonts w:eastAsia="MS Mincho"/>
          <w:lang w:eastAsia="ja-JP"/>
        </w:rPr>
      </w:pPr>
      <w:r w:rsidRPr="00E53765">
        <w:rPr>
          <w:rFonts w:eastAsia="MS Mincho"/>
          <w:lang w:eastAsia="ja-JP"/>
        </w:rPr>
        <w:t>Done TJ (1982) Patterns in the distribution of coral communities across the central Great Barrier Reef. Coral Reefs 1:95-107</w:t>
      </w:r>
    </w:p>
    <w:p w14:paraId="11EA9353" w14:textId="77777777" w:rsidR="002B27C9" w:rsidRPr="00A74FF6" w:rsidRDefault="002B27C9" w:rsidP="003708B0">
      <w:pPr>
        <w:ind w:hanging="284"/>
      </w:pPr>
      <w:r w:rsidRPr="00C446A5">
        <w:rPr>
          <w:lang w:val="en-AU"/>
        </w:rPr>
        <w:t>Done, T.J. (1992) Phase shifts in coral reef communities and their</w:t>
      </w:r>
      <w:r>
        <w:rPr>
          <w:lang w:val="en-AU"/>
        </w:rPr>
        <w:t xml:space="preserve"> </w:t>
      </w:r>
      <w:r w:rsidRPr="00C446A5">
        <w:rPr>
          <w:lang w:val="en-AU"/>
        </w:rPr>
        <w:t>ecological significance. Hydrobiologia 247, 121–132</w:t>
      </w:r>
      <w:r>
        <w:t xml:space="preserve"> </w:t>
      </w:r>
    </w:p>
    <w:p w14:paraId="11EA9354" w14:textId="77777777" w:rsidR="009F400E" w:rsidRPr="00E53765" w:rsidRDefault="009F400E" w:rsidP="003708B0">
      <w:pPr>
        <w:ind w:hanging="284"/>
        <w:rPr>
          <w:lang w:eastAsia="en-AU"/>
        </w:rPr>
      </w:pPr>
      <w:r w:rsidRPr="00E53765">
        <w:rPr>
          <w:lang w:eastAsia="en-AU"/>
        </w:rPr>
        <w:t>Erftemeijer PLA, Reigl B, Hoeksema BW, Todd PA (2012) Environmental impacts of dredging and other sediment disturbances on corals: A review. Marine Pollution Bulletin 64:1737-1765</w:t>
      </w:r>
    </w:p>
    <w:p w14:paraId="11EA9355" w14:textId="639C7E29" w:rsidR="009F400E" w:rsidRPr="00E53765" w:rsidRDefault="009F400E" w:rsidP="003708B0">
      <w:pPr>
        <w:ind w:hanging="284"/>
        <w:rPr>
          <w:lang w:val="en-US"/>
        </w:rPr>
      </w:pPr>
      <w:r w:rsidRPr="00E53765">
        <w:rPr>
          <w:lang w:val="en-US"/>
        </w:rPr>
        <w:t xml:space="preserve">Fabricius KE (2005) Effects of terrestrial </w:t>
      </w:r>
      <w:r w:rsidR="0042623E">
        <w:rPr>
          <w:lang w:val="en-US"/>
        </w:rPr>
        <w:t>run-off</w:t>
      </w:r>
      <w:r w:rsidRPr="00E53765">
        <w:rPr>
          <w:lang w:val="en-US"/>
        </w:rPr>
        <w:t xml:space="preserve"> on the ecology of corals and coral reefs: Review and synthesis. Marine Pollution Bulletin 50:125-146</w:t>
      </w:r>
    </w:p>
    <w:p w14:paraId="11EA9356" w14:textId="77777777" w:rsidR="009F400E" w:rsidRPr="00E53765" w:rsidRDefault="009F400E" w:rsidP="003708B0">
      <w:pPr>
        <w:ind w:hanging="284"/>
      </w:pPr>
      <w:r w:rsidRPr="00E53765">
        <w:t>Fabricius KE (2011) Factors determining the resilience of coral reefs to eutrophication: a review and conceptual model. In: Dubinsky Z, Stambler N (</w:t>
      </w:r>
      <w:r w:rsidR="001648C9" w:rsidRPr="00E53765">
        <w:t>Eds</w:t>
      </w:r>
      <w:r w:rsidRPr="00E53765">
        <w:t>) Coral Reefs: An Ecosystem in</w:t>
      </w:r>
      <w:r w:rsidR="001648C9" w:rsidRPr="00E53765">
        <w:t xml:space="preserve"> Transition, Springer Press, pp.</w:t>
      </w:r>
      <w:r w:rsidRPr="00E53765">
        <w:t>493-506</w:t>
      </w:r>
    </w:p>
    <w:p w14:paraId="11EA9357" w14:textId="77777777" w:rsidR="009F400E" w:rsidRPr="00E53765" w:rsidRDefault="009F400E" w:rsidP="003708B0">
      <w:pPr>
        <w:ind w:hanging="284"/>
        <w:rPr>
          <w:lang w:eastAsia="en-AU"/>
        </w:rPr>
      </w:pPr>
      <w:r w:rsidRPr="00E53765">
        <w:rPr>
          <w:rFonts w:eastAsia="MS Mincho"/>
          <w:lang w:eastAsia="ja-JP"/>
        </w:rPr>
        <w:t xml:space="preserve">Fabricius KE, Cooper TF, Humphrey C, Uthicke S, De’ath G, Davidson J, LeGrand H, Thompson A, Schaffelke B (2012) A bioindicator system for water quality on inshore coral reefs of the Great Barrier Reef. Marine Pollution Bulletin </w:t>
      </w:r>
      <w:r w:rsidRPr="00E53765">
        <w:rPr>
          <w:lang w:eastAsia="en-AU"/>
        </w:rPr>
        <w:t>65:320-332</w:t>
      </w:r>
    </w:p>
    <w:p w14:paraId="11EA9358" w14:textId="77777777" w:rsidR="009F400E" w:rsidRPr="00E53765" w:rsidRDefault="009F400E" w:rsidP="003708B0">
      <w:pPr>
        <w:ind w:hanging="284"/>
        <w:rPr>
          <w:lang w:val="en-AU"/>
        </w:rPr>
      </w:pPr>
      <w:r w:rsidRPr="00E53765">
        <w:t>Fabricius KE, Cseke S, Humphrey CA, De’ath G (2013b) Does trophic status enhance or reduce the thermal tolerance of scleractinian corals? A review, experiment and conceptual framework. PLoS ONE 8 e54399</w:t>
      </w:r>
    </w:p>
    <w:p w14:paraId="11EA9359" w14:textId="77777777" w:rsidR="009F400E" w:rsidRPr="00E53765" w:rsidRDefault="009F400E" w:rsidP="003708B0">
      <w:pPr>
        <w:ind w:hanging="284"/>
        <w:rPr>
          <w:rFonts w:eastAsia="MS Mincho"/>
          <w:lang w:eastAsia="ja-JP"/>
        </w:rPr>
      </w:pPr>
      <w:r w:rsidRPr="00E53765">
        <w:rPr>
          <w:rFonts w:eastAsia="MS Mincho"/>
          <w:lang w:eastAsia="ja-JP"/>
        </w:rPr>
        <w:t>Fabricius KE, De’ath G (2001) Biodiversity on the Great Barrier Reef: Large-scale patterns and turbidity-related local loss of soft coral taxa. In Wolanski E (</w:t>
      </w:r>
      <w:r w:rsidR="001648C9" w:rsidRPr="00E53765">
        <w:rPr>
          <w:rFonts w:eastAsia="MS Mincho"/>
          <w:lang w:eastAsia="ja-JP"/>
        </w:rPr>
        <w:t>Ed</w:t>
      </w:r>
      <w:r w:rsidRPr="00E53765">
        <w:rPr>
          <w:rFonts w:eastAsia="MS Mincho"/>
          <w:lang w:eastAsia="ja-JP"/>
        </w:rPr>
        <w:t>) Biological-Physical Links: Oceanographic processes on the Great Barrier Reef. CRC Press, Boca Raton</w:t>
      </w:r>
    </w:p>
    <w:p w14:paraId="11EA935A" w14:textId="05A0D18D" w:rsidR="009F400E" w:rsidRPr="00E53765" w:rsidRDefault="009F400E" w:rsidP="003708B0">
      <w:pPr>
        <w:ind w:hanging="284"/>
        <w:rPr>
          <w:lang w:val="en-AU"/>
        </w:rPr>
      </w:pPr>
      <w:r w:rsidRPr="00E53765">
        <w:rPr>
          <w:lang w:val="en-AU"/>
        </w:rPr>
        <w:t xml:space="preserve">Fabricius KE, De’ath G, Humphrey C, Zagorskis I, Schaffelke B (2013a) Intra-annual variation in turbidity in response to terrestrial </w:t>
      </w:r>
      <w:r w:rsidR="0042623E">
        <w:rPr>
          <w:lang w:val="en-AU"/>
        </w:rPr>
        <w:t>run-off</w:t>
      </w:r>
      <w:r w:rsidRPr="00E53765">
        <w:rPr>
          <w:lang w:val="en-AU"/>
        </w:rPr>
        <w:t xml:space="preserve"> on near-shore coral reefs of the Great Barrier Reef, Estuarine Coastal and Shelf Science 116:57-65</w:t>
      </w:r>
    </w:p>
    <w:p w14:paraId="11EA935B" w14:textId="77777777" w:rsidR="009F400E" w:rsidRDefault="009F400E" w:rsidP="003708B0">
      <w:pPr>
        <w:ind w:hanging="284"/>
        <w:rPr>
          <w:rFonts w:eastAsia="MS Mincho"/>
          <w:lang w:eastAsia="ja-JP"/>
        </w:rPr>
      </w:pPr>
      <w:r w:rsidRPr="00E53765">
        <w:rPr>
          <w:rFonts w:eastAsia="MS Mincho"/>
          <w:lang w:eastAsia="ja-JP"/>
        </w:rPr>
        <w:t>Fabricius KE, De’ath G, McCook L, Turak E, Williams DMcB (2005) Changes in algal, coral and fish assemblages along water quality gradients on the inshore Great Barrier Reef. Marine Pollution Bulletin 51:384-396</w:t>
      </w:r>
    </w:p>
    <w:p w14:paraId="11EA935C" w14:textId="77777777" w:rsidR="00B102BD" w:rsidRPr="00B102BD" w:rsidRDefault="00B102BD" w:rsidP="003708B0">
      <w:pPr>
        <w:ind w:hanging="284"/>
        <w:rPr>
          <w:rFonts w:eastAsia="MS Mincho" w:cs="Arial"/>
          <w:szCs w:val="22"/>
          <w:lang w:eastAsia="ja-JP"/>
        </w:rPr>
      </w:pPr>
      <w:r>
        <w:rPr>
          <w:rFonts w:eastAsiaTheme="minorHAnsi" w:cs="Arial"/>
          <w:szCs w:val="22"/>
          <w:lang w:val="en-AU"/>
        </w:rPr>
        <w:t>Fabricius</w:t>
      </w:r>
      <w:r w:rsidRPr="00B102BD">
        <w:rPr>
          <w:rFonts w:eastAsiaTheme="minorHAnsi" w:cs="Arial"/>
          <w:szCs w:val="22"/>
          <w:lang w:val="en-AU"/>
        </w:rPr>
        <w:t xml:space="preserve"> KE</w:t>
      </w:r>
      <w:r>
        <w:rPr>
          <w:rFonts w:eastAsiaTheme="minorHAnsi" w:cs="Arial"/>
          <w:szCs w:val="22"/>
          <w:lang w:val="en-AU"/>
        </w:rPr>
        <w:t>, De’ath G</w:t>
      </w:r>
      <w:r w:rsidRPr="00B102BD">
        <w:rPr>
          <w:rFonts w:eastAsiaTheme="minorHAnsi" w:cs="Arial"/>
          <w:szCs w:val="22"/>
          <w:lang w:val="en-AU"/>
        </w:rPr>
        <w:t>, Puotinen MJ, Done T, Cooper TF, Burgess SC</w:t>
      </w:r>
      <w:r>
        <w:rPr>
          <w:rFonts w:eastAsiaTheme="minorHAnsi" w:cs="Arial"/>
          <w:szCs w:val="22"/>
          <w:lang w:val="en-AU"/>
        </w:rPr>
        <w:t xml:space="preserve"> (</w:t>
      </w:r>
      <w:r w:rsidRPr="00B102BD">
        <w:rPr>
          <w:rFonts w:eastAsiaTheme="minorHAnsi" w:cs="Arial"/>
          <w:szCs w:val="22"/>
          <w:lang w:val="en-AU"/>
        </w:rPr>
        <w:t>2008</w:t>
      </w:r>
      <w:r>
        <w:rPr>
          <w:rFonts w:eastAsiaTheme="minorHAnsi" w:cs="Arial"/>
          <w:szCs w:val="22"/>
          <w:lang w:val="en-AU"/>
        </w:rPr>
        <w:t>)</w:t>
      </w:r>
      <w:r w:rsidRPr="00B102BD">
        <w:rPr>
          <w:rFonts w:eastAsiaTheme="minorHAnsi" w:cs="Arial"/>
          <w:szCs w:val="22"/>
          <w:lang w:val="en-AU"/>
        </w:rPr>
        <w:t xml:space="preserve"> Disturbance gradients on inshore and offshore coral reefs caused by a severe tropical cyclone. Limnology and Oceanography 53(2)</w:t>
      </w:r>
      <w:r>
        <w:rPr>
          <w:rFonts w:eastAsiaTheme="minorHAnsi" w:cs="Arial"/>
          <w:szCs w:val="22"/>
          <w:lang w:val="en-AU"/>
        </w:rPr>
        <w:t>:</w:t>
      </w:r>
      <w:r w:rsidRPr="00B102BD">
        <w:rPr>
          <w:rFonts w:eastAsiaTheme="minorHAnsi" w:cs="Arial"/>
          <w:szCs w:val="22"/>
          <w:lang w:val="en-AU"/>
        </w:rPr>
        <w:t xml:space="preserve"> 690-704</w:t>
      </w:r>
    </w:p>
    <w:p w14:paraId="11EA935D" w14:textId="77777777" w:rsidR="009F400E" w:rsidRPr="00E53765" w:rsidRDefault="009F400E" w:rsidP="003708B0">
      <w:pPr>
        <w:ind w:hanging="284"/>
      </w:pPr>
      <w:r w:rsidRPr="00E53765">
        <w:t>Fabricius KE, Logan M, Weeks S, Brodie J (2014) Assessing inter- and intra-annual changes in water clarity in response to river run-off on the central Great Barrier Reef from 10 years of MODIS-Aqua data. Marine Pollution Bulletin 84:191-200</w:t>
      </w:r>
    </w:p>
    <w:p w14:paraId="11EA935E" w14:textId="77777777" w:rsidR="00127227" w:rsidRPr="00E53765" w:rsidRDefault="00127227" w:rsidP="003708B0">
      <w:pPr>
        <w:ind w:hanging="284"/>
        <w:rPr>
          <w:lang w:val="en-US"/>
        </w:rPr>
      </w:pPr>
      <w:r w:rsidRPr="00E53765">
        <w:t xml:space="preserve">Fabricius KE, Logan M, Weeks SJ, Lewis SE, Brodie J (2016) Changes in water clarity in response to river discharges on the Great Barrier Reef continental shelf: 2002-2013. </w:t>
      </w:r>
      <w:r w:rsidRPr="00E53765">
        <w:rPr>
          <w:lang w:val="en-AU"/>
        </w:rPr>
        <w:t>Estuarine Coastal and Shelf Science 173:A1-A15</w:t>
      </w:r>
    </w:p>
    <w:p w14:paraId="11EA935F" w14:textId="77777777" w:rsidR="009F400E" w:rsidRPr="00E53765" w:rsidRDefault="009F400E" w:rsidP="003708B0">
      <w:pPr>
        <w:ind w:hanging="284"/>
        <w:rPr>
          <w:rFonts w:eastAsia="MS Mincho"/>
          <w:lang w:eastAsia="ja-JP"/>
        </w:rPr>
      </w:pPr>
      <w:r w:rsidRPr="00E53765">
        <w:rPr>
          <w:rFonts w:eastAsia="MS Mincho"/>
          <w:lang w:eastAsia="ja-JP"/>
        </w:rPr>
        <w:t xml:space="preserve">Fabricius KE, Okaji K, De’ath G (2010) Three lines of evidence to link outbreaks of the crown-of-thorns seastar </w:t>
      </w:r>
      <w:r w:rsidRPr="00E53765">
        <w:rPr>
          <w:rFonts w:eastAsia="MS Mincho"/>
          <w:i/>
          <w:iCs/>
          <w:lang w:eastAsia="ja-JP"/>
        </w:rPr>
        <w:t xml:space="preserve">Acanthaster planci </w:t>
      </w:r>
      <w:r w:rsidRPr="00E53765">
        <w:rPr>
          <w:rFonts w:eastAsia="MS Mincho"/>
          <w:lang w:eastAsia="ja-JP"/>
        </w:rPr>
        <w:t>to the release of larval food limitation. Coral Reefs 29:593-605</w:t>
      </w:r>
    </w:p>
    <w:p w14:paraId="11EA9360" w14:textId="77777777" w:rsidR="009F400E" w:rsidRPr="00E53765" w:rsidRDefault="009F400E" w:rsidP="003708B0">
      <w:pPr>
        <w:ind w:hanging="284"/>
        <w:rPr>
          <w:rFonts w:eastAsia="MS Mincho"/>
          <w:lang w:eastAsia="ja-JP"/>
        </w:rPr>
      </w:pPr>
      <w:r w:rsidRPr="00E53765">
        <w:rPr>
          <w:rFonts w:eastAsia="MS Mincho"/>
          <w:lang w:eastAsia="ja-JP"/>
        </w:rPr>
        <w:t>Fabricius KE, Wild C, Wolanski E, Abele D (2003) Effects of transparent exopolymer particles and muddy terrigenous sediments on survival of hard coral recruits. Estuarine, Costal and Shelf Science 57:613-621</w:t>
      </w:r>
    </w:p>
    <w:p w14:paraId="11EA9361" w14:textId="77777777" w:rsidR="009F400E" w:rsidRDefault="009F400E" w:rsidP="003708B0">
      <w:pPr>
        <w:ind w:hanging="284"/>
        <w:rPr>
          <w:rFonts w:eastAsia="MS Mincho"/>
          <w:lang w:eastAsia="ja-JP"/>
        </w:rPr>
      </w:pPr>
      <w:r w:rsidRPr="00E53765">
        <w:rPr>
          <w:rFonts w:eastAsia="MS Mincho"/>
          <w:lang w:eastAsia="ja-JP"/>
        </w:rPr>
        <w:t>Fabricius KE, Wolanski E (2000) Rapid smothering of coral reef organisms by muddy marine snow. Estuarine, Costal and Shelf Science 50:115-120</w:t>
      </w:r>
    </w:p>
    <w:p w14:paraId="11EA9362" w14:textId="77777777" w:rsidR="00573FD8" w:rsidRPr="00E53765" w:rsidRDefault="00573FD8" w:rsidP="003708B0">
      <w:pPr>
        <w:ind w:hanging="284"/>
        <w:rPr>
          <w:lang w:val="en-US"/>
        </w:rPr>
      </w:pPr>
      <w:r w:rsidRPr="00E53765">
        <w:rPr>
          <w:lang w:val="en-US"/>
        </w:rPr>
        <w:t>Fabricius KE, Logan M, Weeks SJ, Lewis SE, Brodie J</w:t>
      </w:r>
      <w:r w:rsidRPr="00E53765" w:rsidDel="007E7510">
        <w:rPr>
          <w:lang w:val="en-US"/>
        </w:rPr>
        <w:t xml:space="preserve"> </w:t>
      </w:r>
      <w:r w:rsidRPr="00E53765">
        <w:rPr>
          <w:lang w:val="en-US"/>
        </w:rPr>
        <w:t xml:space="preserve">(2016) Changes in water clarity in response to river discharges on the Great Barrier Reef continental shelf: 2002-2013. Estuarine Coastal and Shelf Science </w:t>
      </w:r>
    </w:p>
    <w:p w14:paraId="11EA9363" w14:textId="77777777" w:rsidR="009F400E" w:rsidRPr="00E53765" w:rsidRDefault="009F400E" w:rsidP="003708B0">
      <w:pPr>
        <w:ind w:hanging="284"/>
        <w:rPr>
          <w:rFonts w:eastAsia="MS Mincho"/>
        </w:rPr>
      </w:pPr>
      <w:r w:rsidRPr="00E53765">
        <w:rPr>
          <w:rFonts w:eastAsia="MS Mincho"/>
        </w:rPr>
        <w:t xml:space="preserve">Foster NL, Box SJ, Mumby PJ (2008) Competitive effects of macroalgae on the fecundity of the reef-building coral </w:t>
      </w:r>
      <w:r w:rsidRPr="00E53765">
        <w:rPr>
          <w:rFonts w:eastAsia="MS Mincho"/>
          <w:i/>
        </w:rPr>
        <w:t>Montastrea annularis</w:t>
      </w:r>
      <w:r w:rsidRPr="00E53765">
        <w:rPr>
          <w:rFonts w:eastAsia="MS Mincho"/>
        </w:rPr>
        <w:t>. Marine Ecology Progress Series 367:143-152</w:t>
      </w:r>
    </w:p>
    <w:p w14:paraId="11EA9364" w14:textId="77777777" w:rsidR="009F400E" w:rsidRPr="00E53765" w:rsidRDefault="009F400E" w:rsidP="003708B0">
      <w:pPr>
        <w:ind w:hanging="284"/>
        <w:rPr>
          <w:lang w:val="en-US"/>
        </w:rPr>
      </w:pPr>
      <w:r w:rsidRPr="00E53765">
        <w:rPr>
          <w:lang w:val="en-US"/>
        </w:rPr>
        <w:t>Furnas M, Alongi D, McKinnon AD, Trott L, Skuza</w:t>
      </w:r>
      <w:r w:rsidR="00575B10" w:rsidRPr="00E53765">
        <w:rPr>
          <w:lang w:val="en-US"/>
        </w:rPr>
        <w:t xml:space="preserve">m </w:t>
      </w:r>
      <w:r w:rsidRPr="00E53765">
        <w:rPr>
          <w:lang w:val="en-US"/>
        </w:rPr>
        <w:t xml:space="preserve">(2011) Regional-scale nitrogen and phosphorus budgets for the northern (14°S) and central (17°S) Great Barrier Reef shelf ecosystem. Continental Shelf Research </w:t>
      </w:r>
      <w:r w:rsidRPr="00E53765">
        <w:t>31:1967-1990</w:t>
      </w:r>
    </w:p>
    <w:p w14:paraId="11EA9365" w14:textId="0593BBDC" w:rsidR="009F400E" w:rsidRPr="00E53765" w:rsidRDefault="009F400E" w:rsidP="003708B0">
      <w:pPr>
        <w:ind w:hanging="284"/>
        <w:rPr>
          <w:rFonts w:eastAsia="MS Mincho"/>
          <w:lang w:eastAsia="ja-JP"/>
        </w:rPr>
      </w:pPr>
      <w:r w:rsidRPr="00E53765">
        <w:rPr>
          <w:rFonts w:eastAsia="MS Mincho"/>
          <w:lang w:eastAsia="ja-JP"/>
        </w:rPr>
        <w:t>Furnas M</w:t>
      </w:r>
      <w:r w:rsidRPr="00E53765">
        <w:t xml:space="preserve">, Brinkman R, Fabricius K, Tonin H, Schaffelke B (2013) Linkages between river </w:t>
      </w:r>
      <w:r w:rsidR="0042623E">
        <w:t>run-off</w:t>
      </w:r>
      <w:r w:rsidRPr="00E53765">
        <w:t xml:space="preserve">, phytoplankton blooms and primary outbreaks of crown-of-thorns seastars in the Northern GBR. Chapter 3 in </w:t>
      </w:r>
      <w:r w:rsidRPr="00E53765">
        <w:rPr>
          <w:lang w:val="en-US"/>
        </w:rPr>
        <w:t xml:space="preserve">Waterhouse </w:t>
      </w:r>
      <w:r w:rsidRPr="00E53765">
        <w:rPr>
          <w:i/>
          <w:lang w:val="en-US"/>
        </w:rPr>
        <w:t>et al.</w:t>
      </w:r>
      <w:r w:rsidRPr="00E53765">
        <w:rPr>
          <w:lang w:val="en-US"/>
        </w:rPr>
        <w:t xml:space="preserve"> </w:t>
      </w:r>
      <w:r w:rsidRPr="00E53765">
        <w:rPr>
          <w:i/>
          <w:iCs/>
          <w:lang w:val="en-US"/>
        </w:rPr>
        <w:t>Assessment of the relative risk of water quality to ecosystems of the Great Barrier Reef</w:t>
      </w:r>
      <w:r w:rsidRPr="00E53765">
        <w:rPr>
          <w:lang w:val="en-US"/>
        </w:rPr>
        <w:t>. Department of the Environment and Heritage Protection, Queensland Government, Brisbane</w:t>
      </w:r>
    </w:p>
    <w:p w14:paraId="11EA9366" w14:textId="3F5305B9" w:rsidR="009F400E" w:rsidRPr="00E53765" w:rsidRDefault="009F400E" w:rsidP="003708B0">
      <w:pPr>
        <w:ind w:hanging="284"/>
        <w:rPr>
          <w:lang w:val="en-US"/>
        </w:rPr>
      </w:pPr>
      <w:r w:rsidRPr="00E53765">
        <w:rPr>
          <w:lang w:val="en-US"/>
        </w:rPr>
        <w:t>Furnas MJ, Mitchell AW, Skuza M, Brodie J (2005) In the other 90%: Phytoplankton responses to enhanced nutrient availability in the Great Barrier Reef lagoon. Marine Pollution Bulletin 51: 253-256</w:t>
      </w:r>
      <w:r w:rsidR="00E75F5C">
        <w:rPr>
          <w:lang w:val="en-US"/>
        </w:rPr>
        <w:t xml:space="preserve"> </w:t>
      </w:r>
    </w:p>
    <w:p w14:paraId="11EA9367" w14:textId="77777777" w:rsidR="009D3707" w:rsidRPr="00E53765" w:rsidRDefault="009D3707" w:rsidP="003708B0">
      <w:pPr>
        <w:ind w:hanging="284"/>
      </w:pPr>
      <w:r w:rsidRPr="00E53765">
        <w:t xml:space="preserve">Garde LA, Spillman CM, Heron S, Beeden R (2014) </w:t>
      </w:r>
      <w:hyperlink r:id="rId69" w:history="1">
        <w:r w:rsidRPr="00E53765">
          <w:rPr>
            <w:rStyle w:val="Hyperlink"/>
            <w:rFonts w:cs="Arial"/>
            <w:color w:val="000000" w:themeColor="text1"/>
            <w:szCs w:val="22"/>
            <w:u w:val="none"/>
          </w:rPr>
          <w:t>ReefTemp Next Generation: A New Operational System for Monitoring Reef Thermal Stress, Journal of Operational Oceanography, 7:21-33</w:t>
        </w:r>
      </w:hyperlink>
      <w:r w:rsidRPr="00E53765">
        <w:t xml:space="preserve"> </w:t>
      </w:r>
    </w:p>
    <w:p w14:paraId="11EA9368" w14:textId="77777777" w:rsidR="009F400E" w:rsidRPr="00E53765" w:rsidRDefault="009F400E" w:rsidP="003708B0">
      <w:pPr>
        <w:ind w:hanging="284"/>
      </w:pPr>
      <w:r w:rsidRPr="00E53765">
        <w:t>Garzon-Garcia A, Wallace R, Huggins R, Turner RDR, Smith RA, Orr D, Ferguson B, Gardiner R, Thomson B, Warne MS</w:t>
      </w:r>
      <w:r w:rsidR="0021071D" w:rsidRPr="00E53765">
        <w:t>tJ</w:t>
      </w:r>
      <w:r w:rsidRPr="00E53765">
        <w:t xml:space="preserve"> </w:t>
      </w:r>
      <w:r w:rsidR="0021071D" w:rsidRPr="00E53765">
        <w:t>(</w:t>
      </w:r>
      <w:r w:rsidRPr="00E53765">
        <w:t>2015</w:t>
      </w:r>
      <w:r w:rsidR="0021071D" w:rsidRPr="00E53765">
        <w:t>)</w:t>
      </w:r>
      <w:r w:rsidRPr="00E53765">
        <w:t xml:space="preserve"> Total suspended solids, nutrient and pesticide loads (2013–2014) for rivers that discharge to the Great Barrier Reef – Great Barrier Reef Catchment Loads Monitoring Program. Department of Science, Information Technology and Innovation. Brisbane</w:t>
      </w:r>
    </w:p>
    <w:p w14:paraId="11EA9369" w14:textId="77777777" w:rsidR="00CB47F4" w:rsidRPr="00E53765" w:rsidRDefault="00CB47F4" w:rsidP="003708B0">
      <w:pPr>
        <w:ind w:hanging="284"/>
      </w:pPr>
      <w:r w:rsidRPr="00E53765">
        <w:t xml:space="preserve">Graham </w:t>
      </w:r>
      <w:r w:rsidR="008E2554" w:rsidRPr="00E53765">
        <w:t>NAJ, Jennings S, MacNeil MA, Mouillot D, Wilson SK (</w:t>
      </w:r>
      <w:r w:rsidRPr="00E53765">
        <w:t>2015</w:t>
      </w:r>
      <w:r w:rsidR="008E2554" w:rsidRPr="00E53765">
        <w:t>) Predicting climate-driven regime shifts versus rebound potential in coral reefs. Nature</w:t>
      </w:r>
      <w:r w:rsidRPr="00E53765">
        <w:t xml:space="preserve"> </w:t>
      </w:r>
      <w:r w:rsidR="008E2554" w:rsidRPr="00E53765">
        <w:rPr>
          <w:i/>
          <w:iCs/>
          <w:sz w:val="20"/>
        </w:rPr>
        <w:t>518</w:t>
      </w:r>
      <w:r w:rsidR="008E2554" w:rsidRPr="00E53765">
        <w:rPr>
          <w:sz w:val="20"/>
        </w:rPr>
        <w:t>(7537):94-97</w:t>
      </w:r>
      <w:r w:rsidR="008E2554" w:rsidRPr="00E53765">
        <w:rPr>
          <w:highlight w:val="yellow"/>
        </w:rPr>
        <w:t xml:space="preserve"> </w:t>
      </w:r>
    </w:p>
    <w:p w14:paraId="11EA936A" w14:textId="77777777" w:rsidR="009F400E" w:rsidRPr="00E53765" w:rsidRDefault="009F400E" w:rsidP="003708B0">
      <w:pPr>
        <w:ind w:hanging="284"/>
        <w:rPr>
          <w:lang w:val="en-US"/>
        </w:rPr>
      </w:pPr>
      <w:r w:rsidRPr="00E53765">
        <w:rPr>
          <w:lang w:val="en-US"/>
        </w:rPr>
        <w:t xml:space="preserve">Great Barrier Reef Marine Park Authority (2010) Water Quality Guidelines for the Great Barrier Reef Marine Park. </w:t>
      </w:r>
      <w:r w:rsidRPr="00E53765">
        <w:t xml:space="preserve">Revised Edition 2010. </w:t>
      </w:r>
      <w:r w:rsidRPr="00E53765">
        <w:rPr>
          <w:lang w:val="en-US"/>
        </w:rPr>
        <w:t>Great Barrier Reef Marine Park Authority, Townsville. 100p</w:t>
      </w:r>
    </w:p>
    <w:p w14:paraId="11EA936C" w14:textId="77777777" w:rsidR="009F400E" w:rsidRPr="00E53765" w:rsidRDefault="009F400E" w:rsidP="003708B0">
      <w:pPr>
        <w:ind w:hanging="284"/>
      </w:pPr>
      <w:r w:rsidRPr="00E53765">
        <w:t xml:space="preserve">Great Barrier Reef Marine Park Authority (2014a) </w:t>
      </w:r>
      <w:r w:rsidRPr="00E53765">
        <w:rPr>
          <w:lang w:bidi="en-US"/>
        </w:rPr>
        <w:t>Great Barrier Reef Region</w:t>
      </w:r>
      <w:r w:rsidRPr="00E53765">
        <w:t xml:space="preserve"> </w:t>
      </w:r>
      <w:r w:rsidRPr="00E53765">
        <w:rPr>
          <w:lang w:bidi="en-US"/>
        </w:rPr>
        <w:t>Strategic Assessment</w:t>
      </w:r>
      <w:r w:rsidRPr="00E53765">
        <w:t>. Great Barrier Reef Marine Park Authority, Townsville</w:t>
      </w:r>
    </w:p>
    <w:p w14:paraId="11EA936D" w14:textId="77777777" w:rsidR="009F400E" w:rsidRPr="00E53765" w:rsidRDefault="009F400E" w:rsidP="003708B0">
      <w:pPr>
        <w:ind w:hanging="284"/>
        <w:rPr>
          <w:lang w:eastAsia="en-AU"/>
        </w:rPr>
      </w:pPr>
      <w:r w:rsidRPr="00E53765">
        <w:rPr>
          <w:lang w:val="en-AU" w:eastAsia="en-AU"/>
        </w:rPr>
        <w:t xml:space="preserve">Great Barrier Reef Marine Park Authority (2014b) </w:t>
      </w:r>
      <w:r w:rsidRPr="00E53765">
        <w:rPr>
          <w:iCs/>
          <w:lang w:val="en-AU" w:eastAsia="en-AU"/>
        </w:rPr>
        <w:t>Great Barrier Reef Outlook Report 2014</w:t>
      </w:r>
      <w:r w:rsidRPr="00E53765">
        <w:rPr>
          <w:lang w:val="en-AU" w:eastAsia="en-AU"/>
        </w:rPr>
        <w:t xml:space="preserve">, </w:t>
      </w:r>
      <w:r w:rsidRPr="00E53765">
        <w:t>Great Barrier Reef Marine Park Authority</w:t>
      </w:r>
      <w:r w:rsidRPr="00E53765">
        <w:rPr>
          <w:lang w:val="en-AU" w:eastAsia="en-AU"/>
        </w:rPr>
        <w:t>, Townsville.</w:t>
      </w:r>
    </w:p>
    <w:p w14:paraId="11EA936F" w14:textId="77777777" w:rsidR="00C814DD" w:rsidRPr="00E53765" w:rsidRDefault="00C814DD" w:rsidP="003708B0">
      <w:pPr>
        <w:ind w:hanging="284"/>
        <w:rPr>
          <w:rFonts w:eastAsiaTheme="minorHAnsi"/>
          <w:lang w:val="en-AU"/>
        </w:rPr>
      </w:pPr>
      <w:r w:rsidRPr="00E53765">
        <w:rPr>
          <w:rFonts w:eastAsiaTheme="minorHAnsi"/>
        </w:rPr>
        <w:t xml:space="preserve">Great Barrier Reef Marine Park Authority </w:t>
      </w:r>
      <w:r w:rsidR="00850212" w:rsidRPr="00E53765">
        <w:rPr>
          <w:rFonts w:eastAsiaTheme="minorHAnsi"/>
        </w:rPr>
        <w:t>(</w:t>
      </w:r>
      <w:r w:rsidRPr="00E53765">
        <w:rPr>
          <w:rFonts w:eastAsiaTheme="minorHAnsi"/>
        </w:rPr>
        <w:t>2016</w:t>
      </w:r>
      <w:r w:rsidR="00850212" w:rsidRPr="00E53765">
        <w:rPr>
          <w:rFonts w:eastAsiaTheme="minorHAnsi"/>
        </w:rPr>
        <w:t>b)</w:t>
      </w:r>
      <w:r w:rsidRPr="00E53765">
        <w:rPr>
          <w:rFonts w:eastAsiaTheme="minorHAnsi"/>
        </w:rPr>
        <w:t xml:space="preserve">, </w:t>
      </w:r>
      <w:r w:rsidRPr="00E53765">
        <w:rPr>
          <w:rFonts w:eastAsiaTheme="minorHAnsi"/>
          <w:iCs/>
        </w:rPr>
        <w:t>Interim report: 2016 coral bleaching event on the Great Barrier Reef</w:t>
      </w:r>
      <w:r w:rsidRPr="00E53765">
        <w:rPr>
          <w:rFonts w:eastAsiaTheme="minorHAnsi"/>
        </w:rPr>
        <w:t>, GBRMPA, Townsville.</w:t>
      </w:r>
    </w:p>
    <w:p w14:paraId="11EA9370" w14:textId="054A62F9" w:rsidR="009F400E" w:rsidRPr="00E53765" w:rsidRDefault="004C7D77" w:rsidP="003708B0">
      <w:pPr>
        <w:ind w:hanging="284"/>
        <w:rPr>
          <w:lang w:eastAsia="en-AU"/>
        </w:rPr>
      </w:pPr>
      <w:r w:rsidRPr="00E53765">
        <w:rPr>
          <w:lang w:eastAsia="en-AU"/>
        </w:rPr>
        <w:t>Haapkylä</w:t>
      </w:r>
      <w:r w:rsidR="009F400E" w:rsidRPr="00E53765">
        <w:rPr>
          <w:lang w:eastAsia="en-AU"/>
        </w:rPr>
        <w:t xml:space="preserve"> J, Melbourne-Thomas J, Flavell M, Willis B (2013) Disease outbreaks, bleaching and a cyclone drive changes in coral assemblages on an inshore reef of the Great Barrier Reef. Coral Reefs 32:815-824</w:t>
      </w:r>
    </w:p>
    <w:p w14:paraId="11EA9371" w14:textId="0F9A8BCA" w:rsidR="009F400E" w:rsidRPr="00E53765" w:rsidRDefault="009F400E" w:rsidP="003708B0">
      <w:pPr>
        <w:ind w:hanging="284"/>
        <w:rPr>
          <w:lang w:eastAsia="en-AU"/>
        </w:rPr>
      </w:pPr>
      <w:r w:rsidRPr="00E53765">
        <w:rPr>
          <w:lang w:eastAsia="en-AU"/>
        </w:rPr>
        <w:t xml:space="preserve">Haapkylä J, Unsworth R, Flavell M, Bourne D, Schaffelke B, Willis BL (2011) Seasonal rainfall and </w:t>
      </w:r>
      <w:r w:rsidR="0042623E">
        <w:rPr>
          <w:lang w:eastAsia="en-AU"/>
        </w:rPr>
        <w:t>run-off</w:t>
      </w:r>
      <w:r w:rsidRPr="00E53765">
        <w:rPr>
          <w:lang w:eastAsia="en-AU"/>
        </w:rPr>
        <w:t xml:space="preserve"> promote coral disease on an inshore reef of the Great Barrier Reef, Australia. PLoS One. 6(2): e16893 </w:t>
      </w:r>
    </w:p>
    <w:p w14:paraId="11EA9372" w14:textId="77777777" w:rsidR="00720C7E" w:rsidRPr="00E53765" w:rsidRDefault="00720C7E" w:rsidP="003708B0">
      <w:pPr>
        <w:ind w:hanging="284"/>
        <w:rPr>
          <w:lang w:eastAsia="en-AU"/>
        </w:rPr>
      </w:pPr>
      <w:r w:rsidRPr="00E53765">
        <w:rPr>
          <w:lang w:eastAsia="en-AU"/>
        </w:rPr>
        <w:t>Halpern BS, Frazier M, Potapenko J, Casey KS, Koenig K, Longo C, Stewart Lowndes J, Rockwood</w:t>
      </w:r>
      <w:r w:rsidR="00355016" w:rsidRPr="00E53765">
        <w:rPr>
          <w:lang w:eastAsia="en-AU"/>
        </w:rPr>
        <w:t xml:space="preserve"> C, Selig ER, Selkoe KA, Walbridge S (2015) Spatial and temporal changes in cumulative human impacts on the world’s oceans. Nature Communications 6:7615 DOI:10.1038/ncomms8615</w:t>
      </w:r>
    </w:p>
    <w:p w14:paraId="11EA9373" w14:textId="77777777" w:rsidR="009F400E" w:rsidRPr="00E53765" w:rsidRDefault="009F400E" w:rsidP="003708B0">
      <w:pPr>
        <w:ind w:hanging="284"/>
        <w:rPr>
          <w:rFonts w:eastAsia="MS Mincho"/>
        </w:rPr>
      </w:pPr>
      <w:r w:rsidRPr="00E53765">
        <w:rPr>
          <w:rFonts w:eastAsia="MS Mincho"/>
        </w:rPr>
        <w:t>Harrison PL, Wallace CC (1990) Reproduction, dispersal and recruitment of Scleractinian corals. In Dubinsky Z (</w:t>
      </w:r>
      <w:r w:rsidR="001648C9" w:rsidRPr="00E53765">
        <w:rPr>
          <w:rFonts w:eastAsia="MS Mincho"/>
        </w:rPr>
        <w:t>Ed</w:t>
      </w:r>
      <w:r w:rsidRPr="00E53765">
        <w:rPr>
          <w:rFonts w:eastAsia="MS Mincho"/>
        </w:rPr>
        <w:t>) Ecosystems of the world 25: Coral Reefs. Elsevier, New York, pp 133-202</w:t>
      </w:r>
    </w:p>
    <w:p w14:paraId="11EA9374" w14:textId="77777777" w:rsidR="009F400E" w:rsidRPr="00E53765" w:rsidRDefault="009F400E" w:rsidP="003708B0">
      <w:pPr>
        <w:ind w:hanging="284"/>
        <w:rPr>
          <w:lang w:eastAsia="en-AU"/>
        </w:rPr>
      </w:pPr>
      <w:r w:rsidRPr="00E53765">
        <w:rPr>
          <w:lang w:eastAsia="en-AU"/>
        </w:rPr>
        <w:t xml:space="preserve">Hauri C, Fabricius K, Schaffelke B, Humphrey C (2010) Chemical and physical environmental conditions underneath mat- and canopy-forming macroalgae, and the effects on understory corals. PLoS ONE 5(9): e12685 </w:t>
      </w:r>
    </w:p>
    <w:p w14:paraId="11EA9375" w14:textId="77777777" w:rsidR="009F400E" w:rsidRDefault="009F400E" w:rsidP="003708B0">
      <w:pPr>
        <w:ind w:hanging="284"/>
        <w:rPr>
          <w:lang w:val="en-US"/>
        </w:rPr>
      </w:pPr>
      <w:r w:rsidRPr="00E53765">
        <w:rPr>
          <w:lang w:val="en-US"/>
        </w:rPr>
        <w:t>Hoegh-Guldberg O (1999) Climate change, coral bleaching and the future of the world’s coral reefs. Marine and Freshwater Research 50:839-866</w:t>
      </w:r>
    </w:p>
    <w:p w14:paraId="11EA9376" w14:textId="77777777" w:rsidR="002F16A2" w:rsidRPr="00E720EF" w:rsidRDefault="002F16A2" w:rsidP="003708B0">
      <w:pPr>
        <w:ind w:hanging="284"/>
        <w:rPr>
          <w:color w:val="000000"/>
          <w:lang w:eastAsia="en-GB"/>
        </w:rPr>
      </w:pPr>
      <w:r w:rsidRPr="00E720EF">
        <w:rPr>
          <w:color w:val="000000"/>
          <w:lang w:eastAsia="en-GB"/>
        </w:rPr>
        <w:t>Holling</w:t>
      </w:r>
      <w:r>
        <w:rPr>
          <w:color w:val="000000"/>
          <w:lang w:eastAsia="en-GB"/>
        </w:rPr>
        <w:t xml:space="preserve"> CS</w:t>
      </w:r>
      <w:r w:rsidRPr="00E720EF">
        <w:rPr>
          <w:color w:val="000000"/>
          <w:lang w:eastAsia="en-GB"/>
        </w:rPr>
        <w:t xml:space="preserve"> (1973) </w:t>
      </w:r>
      <w:r w:rsidRPr="00E720EF">
        <w:rPr>
          <w:bCs/>
          <w:color w:val="000000"/>
          <w:kern w:val="36"/>
          <w:lang w:eastAsia="en-GB"/>
        </w:rPr>
        <w:t xml:space="preserve">Resilience and Stability of Ecological Systems. </w:t>
      </w:r>
      <w:r w:rsidRPr="00E720EF">
        <w:rPr>
          <w:color w:val="000000"/>
          <w:lang w:eastAsia="en-GB"/>
        </w:rPr>
        <w:t>Annual Review of Ecology and Sy</w:t>
      </w:r>
      <w:r>
        <w:rPr>
          <w:color w:val="000000"/>
          <w:lang w:eastAsia="en-GB"/>
        </w:rPr>
        <w:t>stematics 4:1-23</w:t>
      </w:r>
    </w:p>
    <w:p w14:paraId="11EA9377" w14:textId="77777777" w:rsidR="009F400E" w:rsidRPr="00E53765" w:rsidRDefault="009F400E" w:rsidP="003708B0">
      <w:pPr>
        <w:ind w:hanging="284"/>
        <w:rPr>
          <w:noProof/>
        </w:rPr>
      </w:pPr>
      <w:r w:rsidRPr="00E53765">
        <w:rPr>
          <w:noProof/>
        </w:rPr>
        <w:t>Hughes AO , Olley JM , Croke JC , McKergow LA (2009) Sediment source changes over the last 250 years in a dry-tropical catchment, central Queensland, Australia.</w:t>
      </w:r>
      <w:r w:rsidRPr="00E53765">
        <w:t xml:space="preserve"> </w:t>
      </w:r>
      <w:r w:rsidRPr="00E53765">
        <w:rPr>
          <w:noProof/>
        </w:rPr>
        <w:t>Geomorphology 104</w:t>
      </w:r>
      <w:r w:rsidR="008D482D" w:rsidRPr="00E53765">
        <w:rPr>
          <w:noProof/>
        </w:rPr>
        <w:t>:</w:t>
      </w:r>
      <w:r w:rsidRPr="00E53765">
        <w:rPr>
          <w:noProof/>
        </w:rPr>
        <w:t xml:space="preserve">262–265 </w:t>
      </w:r>
    </w:p>
    <w:p w14:paraId="11EA9378" w14:textId="77777777" w:rsidR="009F400E" w:rsidRPr="00E53765" w:rsidRDefault="009F400E" w:rsidP="003708B0">
      <w:pPr>
        <w:ind w:hanging="284"/>
      </w:pPr>
      <w:r w:rsidRPr="00E53765">
        <w:t xml:space="preserve">Hughes TP, Graham NAJ, Jackson JBC, Mumby PJ, Steneck RS (2010) Rising to the challenge of sustaining coral reef resilience. Trends in Ecology and Evolution 25(11):633-642 </w:t>
      </w:r>
    </w:p>
    <w:p w14:paraId="11EA9379" w14:textId="77777777" w:rsidR="009F400E" w:rsidRDefault="009F400E" w:rsidP="003708B0">
      <w:pPr>
        <w:ind w:hanging="284"/>
      </w:pPr>
      <w:r w:rsidRPr="00E53765">
        <w:t>Hughes TP, Rodrigues MJ, Bellwood DR, Ceccarelli D, Hoegh-Guldberg O, McCook L, Moltschaniwskyj N, Pratchett MS, Steneck RS, Willis B (2007) Phase Shifts, Herbivory, and the Resilience of Coral Reefs to Climate Change. Current Biology 17:360-365</w:t>
      </w:r>
    </w:p>
    <w:p w14:paraId="6F93983B" w14:textId="526EC9E0" w:rsidR="002B194A" w:rsidRDefault="005876AE" w:rsidP="003708B0">
      <w:pPr>
        <w:ind w:hanging="284"/>
        <w:rPr>
          <w:szCs w:val="22"/>
        </w:rPr>
      </w:pPr>
      <w:r w:rsidRPr="005876AE">
        <w:rPr>
          <w:rFonts w:cs="Arial"/>
          <w:color w:val="222222"/>
          <w:szCs w:val="22"/>
        </w:rPr>
        <w:t>Irving AD, Balata D, Co</w:t>
      </w:r>
      <w:r>
        <w:rPr>
          <w:rFonts w:cs="Arial"/>
          <w:color w:val="222222"/>
          <w:szCs w:val="22"/>
        </w:rPr>
        <w:t>losio F, Ferrando GA, Airoldi L (2009)</w:t>
      </w:r>
      <w:r w:rsidRPr="005876AE">
        <w:rPr>
          <w:rFonts w:cs="Arial"/>
          <w:color w:val="222222"/>
          <w:szCs w:val="22"/>
        </w:rPr>
        <w:t xml:space="preserve"> Light, sediment, temperature, and the early life-history of the habitat-forming alga Cystoseir</w:t>
      </w:r>
      <w:r w:rsidR="002B194A">
        <w:rPr>
          <w:rFonts w:cs="Arial"/>
          <w:color w:val="222222"/>
          <w:szCs w:val="22"/>
        </w:rPr>
        <w:t xml:space="preserve">a barbata. Marine biology </w:t>
      </w:r>
      <w:r w:rsidRPr="005876AE">
        <w:rPr>
          <w:rFonts w:cs="Arial"/>
          <w:color w:val="222222"/>
          <w:szCs w:val="22"/>
        </w:rPr>
        <w:t>156(6):1223-31</w:t>
      </w:r>
      <w:r w:rsidRPr="005876AE">
        <w:rPr>
          <w:szCs w:val="22"/>
        </w:rPr>
        <w:t xml:space="preserve"> </w:t>
      </w:r>
    </w:p>
    <w:p w14:paraId="725C8E8B" w14:textId="0C43F4D1" w:rsidR="00295F29" w:rsidRPr="005876AE" w:rsidRDefault="00295F29" w:rsidP="003708B0">
      <w:pPr>
        <w:ind w:hanging="284"/>
        <w:rPr>
          <w:szCs w:val="22"/>
        </w:rPr>
      </w:pPr>
      <w:r w:rsidRPr="005876AE">
        <w:rPr>
          <w:szCs w:val="22"/>
        </w:rPr>
        <w:t>Jones AM, Berkelmans R (2014) Floodimpacts in Keppel Bay, Southern Great Barrier Reef in the aftermath of cyclonic rainfall. PLOS one doi:10.1371/journal.pone.0084739</w:t>
      </w:r>
    </w:p>
    <w:p w14:paraId="11EA937B" w14:textId="77777777" w:rsidR="009F400E" w:rsidRPr="00E53765" w:rsidRDefault="009F400E" w:rsidP="003708B0">
      <w:pPr>
        <w:ind w:hanging="284"/>
      </w:pPr>
      <w:r w:rsidRPr="00E53765">
        <w:t>Jonker M, Johns K, Osborne K (2008) Surveys of benthic reef communities using underwater digital photography and counts of juvenile corals. Long-term Monitoring of the Great Barrier Reef, Standard Operational Procedure Number 10, Australian Institute of Marine Science, Townsville</w:t>
      </w:r>
    </w:p>
    <w:p w14:paraId="11EA937C" w14:textId="77777777" w:rsidR="00AC6B85" w:rsidRPr="00E53765" w:rsidRDefault="00AC6B85" w:rsidP="003708B0">
      <w:pPr>
        <w:ind w:hanging="284"/>
      </w:pPr>
      <w:r w:rsidRPr="00E53765">
        <w:t xml:space="preserve">Joo M, Raymond MA, McNeil VH, Huggins R, Turner RD, Choy S (2012) Estimates of sediment and nutrient loads in 10 major catchments draining to the Great Barrier Reef during 2006–2009. </w:t>
      </w:r>
      <w:r w:rsidRPr="00E53765">
        <w:rPr>
          <w:iCs/>
        </w:rPr>
        <w:t>Marine pollution bulletin</w:t>
      </w:r>
      <w:r w:rsidRPr="00E53765">
        <w:t xml:space="preserve">, </w:t>
      </w:r>
      <w:r w:rsidRPr="00E53765">
        <w:rPr>
          <w:iCs/>
        </w:rPr>
        <w:t>65</w:t>
      </w:r>
      <w:r w:rsidRPr="00E53765">
        <w:t>(4):150-166</w:t>
      </w:r>
    </w:p>
    <w:p w14:paraId="11EA937D" w14:textId="77777777" w:rsidR="009F400E" w:rsidRDefault="00AC6B85" w:rsidP="003708B0">
      <w:pPr>
        <w:ind w:hanging="284"/>
      </w:pPr>
      <w:r w:rsidRPr="00E53765">
        <w:t xml:space="preserve"> </w:t>
      </w:r>
      <w:r w:rsidR="009F400E" w:rsidRPr="00E53765">
        <w:t>Kaczmarsky L, Richardson LL (2010) Do elevated nutrients and organic carbon on Philippine reefs increase the prevalence of coral disease? Coral Reefs 30:253-257</w:t>
      </w:r>
    </w:p>
    <w:p w14:paraId="077419F3" w14:textId="7BCF8018" w:rsidR="00425F25" w:rsidRPr="00425F25" w:rsidRDefault="00425F25" w:rsidP="00425F25">
      <w:pPr>
        <w:pStyle w:val="Reportrefs"/>
        <w:spacing w:after="120"/>
        <w:ind w:left="0" w:hanging="284"/>
        <w:rPr>
          <w:rFonts w:cs="Arial"/>
          <w:sz w:val="22"/>
          <w:szCs w:val="22"/>
        </w:rPr>
      </w:pPr>
      <w:r w:rsidRPr="00425F25">
        <w:rPr>
          <w:rFonts w:cs="Arial"/>
          <w:sz w:val="22"/>
          <w:szCs w:val="22"/>
        </w:rPr>
        <w:t>Karr JR (2006) Seven foundations of biological monitoring and assessment. Biologia Ambientale 20(2):7-18</w:t>
      </w:r>
    </w:p>
    <w:p w14:paraId="11EA937E" w14:textId="77777777" w:rsidR="009F400E" w:rsidRPr="00E53765" w:rsidRDefault="009F400E" w:rsidP="003708B0">
      <w:pPr>
        <w:ind w:hanging="284"/>
      </w:pPr>
      <w:r w:rsidRPr="00E53765">
        <w:t>Kline DL, Kuntz NM, Breitbart M, Knowlton N, Rohwer F (2006) Role of elevated organic carbon levels and microbial activity in coral mortality. Marine Ecology Progress Series 314:119–125</w:t>
      </w:r>
    </w:p>
    <w:p w14:paraId="11EA937F" w14:textId="77777777" w:rsidR="009F400E" w:rsidRPr="00E53765" w:rsidRDefault="009F400E" w:rsidP="003708B0">
      <w:pPr>
        <w:ind w:hanging="284"/>
        <w:rPr>
          <w:lang w:val="en-AU"/>
        </w:rPr>
      </w:pPr>
      <w:r w:rsidRPr="00E53765">
        <w:rPr>
          <w:lang w:val="en-AU"/>
        </w:rPr>
        <w:t xml:space="preserve">Kroon FJ, Kuhnert PM, Henderson BL, Wilkinson SN, Kinsey-Henderson A, Abbott B, Brodie JE, Turner RDR (2012) River loads of suspended solids, nitrogen, phosphorus and herbicides delivered to the Great Barrier Reef lagoon. Marine Pollution Bulletin 65:167–181 </w:t>
      </w:r>
    </w:p>
    <w:p w14:paraId="11EA9380" w14:textId="77777777" w:rsidR="009F400E" w:rsidRPr="00E53765" w:rsidRDefault="009F400E" w:rsidP="003708B0">
      <w:pPr>
        <w:ind w:hanging="284"/>
        <w:rPr>
          <w:szCs w:val="24"/>
          <w:lang w:val="en-AU" w:eastAsia="en-AU"/>
        </w:rPr>
      </w:pPr>
      <w:r w:rsidRPr="00E53765">
        <w:rPr>
          <w:szCs w:val="24"/>
          <w:lang w:val="en-AU" w:eastAsia="en-AU"/>
        </w:rPr>
        <w:t>Kroon FJ, Schaffelke B, Bartley R (2014) Informing policy to protect coastal coral reefs: Insight from a global review of reducing agricultural pollution to coastal ecosystems. Marine Pollution Bulletin 85:33-41</w:t>
      </w:r>
    </w:p>
    <w:p w14:paraId="11EA9381" w14:textId="77777777" w:rsidR="009F400E" w:rsidRPr="00E53765" w:rsidRDefault="009F400E" w:rsidP="003708B0">
      <w:pPr>
        <w:ind w:hanging="284"/>
        <w:rPr>
          <w:lang w:val="en-AU" w:eastAsia="en-AU"/>
        </w:rPr>
      </w:pPr>
      <w:r w:rsidRPr="00E53765">
        <w:rPr>
          <w:lang w:val="en-AU" w:eastAsia="en-AU"/>
        </w:rPr>
        <w:t xml:space="preserve">Kuntz N, Kline D, Sandin S, Rohwer F (2005) Pathologies and mortality rates caused by organic carbon and nutrient stressors in three Caribbean coral species. </w:t>
      </w:r>
      <w:r w:rsidRPr="00E53765">
        <w:t xml:space="preserve">Marine Ecology Progress Series </w:t>
      </w:r>
      <w:r w:rsidRPr="00E53765">
        <w:rPr>
          <w:lang w:val="en-AU" w:eastAsia="en-AU"/>
        </w:rPr>
        <w:t>294:173–180</w:t>
      </w:r>
    </w:p>
    <w:p w14:paraId="11EA9383" w14:textId="77777777" w:rsidR="009F400E" w:rsidRPr="00E53765" w:rsidRDefault="009F400E" w:rsidP="003708B0">
      <w:pPr>
        <w:ind w:hanging="284"/>
        <w:rPr>
          <w:lang w:val="en-US"/>
        </w:rPr>
      </w:pPr>
      <w:r w:rsidRPr="00E53765">
        <w:rPr>
          <w:lang w:val="en-US"/>
        </w:rPr>
        <w:t>Lambrechts J, Humphrey C, McKinna L, Gourge O, Fabricius KE, Mehta AJ, Lewis S, Wolanski E (2010) Importance of wave-induced bed liquefaction in the fine sediment budget of Cleveland Bay, Great Barrier Reef. Estuarine, Coastal and Shelf Science 89:154-162</w:t>
      </w:r>
    </w:p>
    <w:p w14:paraId="11EA9384" w14:textId="77777777" w:rsidR="009F400E" w:rsidRPr="00E53765" w:rsidRDefault="009F400E" w:rsidP="003708B0">
      <w:pPr>
        <w:ind w:hanging="284"/>
        <w:rPr>
          <w:lang w:val="en-US"/>
        </w:rPr>
      </w:pPr>
      <w:r w:rsidRPr="00E53765">
        <w:rPr>
          <w:lang w:val="en-US"/>
        </w:rPr>
        <w:t>Larcombe P, Ridd PV, Prytz A, Wilson B (1995) Factors controlling suspended sediment on inner-shelf coral reefs. Townsville, Australia. Coral Reefs 14:163-171</w:t>
      </w:r>
    </w:p>
    <w:p w14:paraId="11EA9385" w14:textId="77777777" w:rsidR="009F400E" w:rsidRPr="00E53765" w:rsidRDefault="009F400E" w:rsidP="003708B0">
      <w:pPr>
        <w:ind w:hanging="284"/>
        <w:rPr>
          <w:rStyle w:val="Strong"/>
          <w:rFonts w:cs="Arial"/>
          <w:b w:val="0"/>
          <w:color w:val="000000" w:themeColor="text1"/>
          <w:szCs w:val="22"/>
        </w:rPr>
      </w:pPr>
      <w:r w:rsidRPr="00E53765">
        <w:rPr>
          <w:lang w:val="pt-PT"/>
        </w:rPr>
        <w:t xml:space="preserve">Lønborg C, Álvarez-Salgado XA, Martínez-Garcia S, Teira E (2011) </w:t>
      </w:r>
      <w:r w:rsidRPr="00E53765">
        <w:t xml:space="preserve">Carbon cycling and bacterial growth efficiency </w:t>
      </w:r>
      <w:r w:rsidRPr="00E53765">
        <w:rPr>
          <w:bCs/>
        </w:rPr>
        <w:t xml:space="preserve">in a coastal upwelling system (NW Iberian Peninsula). </w:t>
      </w:r>
      <w:r w:rsidRPr="00E53765">
        <w:t>Aquatic Microbial Ecology</w:t>
      </w:r>
      <w:r w:rsidRPr="00E53765">
        <w:rPr>
          <w:rStyle w:val="Strong"/>
          <w:rFonts w:cs="Arial"/>
          <w:color w:val="000000" w:themeColor="text1"/>
          <w:szCs w:val="22"/>
        </w:rPr>
        <w:t xml:space="preserve"> </w:t>
      </w:r>
      <w:r w:rsidRPr="00E53765">
        <w:rPr>
          <w:rStyle w:val="Strong"/>
          <w:rFonts w:cs="Arial"/>
          <w:b w:val="0"/>
          <w:color w:val="000000" w:themeColor="text1"/>
          <w:szCs w:val="22"/>
        </w:rPr>
        <w:t>63:183-191</w:t>
      </w:r>
    </w:p>
    <w:p w14:paraId="11EA9386" w14:textId="77777777" w:rsidR="00E8277D" w:rsidRPr="00E53765" w:rsidRDefault="00E8277D" w:rsidP="003708B0">
      <w:pPr>
        <w:ind w:hanging="284"/>
      </w:pPr>
      <w:r w:rsidRPr="00E53765">
        <w:t>Lønborg C, Devlin M, Brinkman R, Costello P, da Silva E, Davidson J, Gunn K, Logan M, Petus C, Schaffelke B, Skuza M, Tonin H, Tracey D, Wright</w:t>
      </w:r>
      <w:r w:rsidR="00575B10" w:rsidRPr="00E53765">
        <w:t xml:space="preserve">m </w:t>
      </w:r>
      <w:r w:rsidRPr="00E53765">
        <w:t>and Zagorskis I (</w:t>
      </w:r>
      <w:r w:rsidR="008E6F11" w:rsidRPr="00E53765">
        <w:t>2015</w:t>
      </w:r>
      <w:r w:rsidRPr="00E53765">
        <w:t xml:space="preserve">) Reef Rescue Marine Monitoring Program. Annual Report of AIMS and JCU Activities 2014 to 2015– Inshore water quality monitoring. Report for the Great Barrier Reef Marine Park Authority. Australian Institute of Marine Science and JCU </w:t>
      </w:r>
      <w:r w:rsidRPr="00E53765">
        <w:rPr>
          <w:lang w:eastAsia="en-GB"/>
        </w:rPr>
        <w:t>TropWATER</w:t>
      </w:r>
      <w:r w:rsidRPr="00E53765">
        <w:t>, Townsville.168p</w:t>
      </w:r>
    </w:p>
    <w:p w14:paraId="11EA9388" w14:textId="77777777" w:rsidR="009F400E" w:rsidRDefault="009F400E" w:rsidP="003708B0">
      <w:pPr>
        <w:ind w:hanging="284"/>
      </w:pPr>
      <w:r w:rsidRPr="00E53765">
        <w:t xml:space="preserve">Luick JL, Mason L, Hardy T, Furnas MJ (2007) Circulation in the Great Barrier Reef Lagoon using numerical tracers and </w:t>
      </w:r>
      <w:r w:rsidRPr="00E53765">
        <w:rPr>
          <w:i/>
        </w:rPr>
        <w:t>in situ</w:t>
      </w:r>
      <w:r w:rsidRPr="00E53765">
        <w:t xml:space="preserve"> data. Continental Shelf Research 27:757-778</w:t>
      </w:r>
    </w:p>
    <w:p w14:paraId="2DBF0A59" w14:textId="2AA6CC9A" w:rsidR="006C31C8" w:rsidRPr="005843DE" w:rsidRDefault="006C31C8" w:rsidP="005843DE">
      <w:pPr>
        <w:ind w:hanging="284"/>
        <w:rPr>
          <w:rFonts w:cs="Arial"/>
          <w:color w:val="222222"/>
          <w:szCs w:val="22"/>
          <w:lang w:val="en-AU" w:eastAsia="en-AU"/>
        </w:rPr>
      </w:pPr>
      <w:r w:rsidRPr="005843DE">
        <w:rPr>
          <w:rFonts w:cs="Arial"/>
          <w:color w:val="222222"/>
          <w:szCs w:val="22"/>
          <w:lang w:val="en-AU" w:eastAsia="en-AU"/>
        </w:rPr>
        <w:t xml:space="preserve">Manly, B.F., 2006. </w:t>
      </w:r>
      <w:r w:rsidRPr="005843DE">
        <w:rPr>
          <w:rFonts w:cs="Arial"/>
          <w:i/>
          <w:iCs/>
          <w:color w:val="222222"/>
          <w:szCs w:val="22"/>
          <w:lang w:val="en-AU" w:eastAsia="en-AU"/>
        </w:rPr>
        <w:t>Randomization, bootstrap and Monte Carlo methods in biology</w:t>
      </w:r>
      <w:r w:rsidRPr="005843DE">
        <w:rPr>
          <w:rFonts w:cs="Arial"/>
          <w:color w:val="222222"/>
          <w:szCs w:val="22"/>
          <w:lang w:val="en-AU" w:eastAsia="en-AU"/>
        </w:rPr>
        <w:t xml:space="preserve"> (Vol. 70). CRC Press.</w:t>
      </w:r>
    </w:p>
    <w:p w14:paraId="11EA9389" w14:textId="77777777" w:rsidR="002F16A2" w:rsidRPr="00E53765" w:rsidRDefault="002F16A2" w:rsidP="003708B0">
      <w:pPr>
        <w:ind w:hanging="284"/>
      </w:pPr>
      <w:r>
        <w:t>McCook L</w:t>
      </w:r>
      <w:r w:rsidRPr="00097019">
        <w:t>J (1999) Macroalgae, nut</w:t>
      </w:r>
      <w:r>
        <w:t xml:space="preserve">rients and phase shifts on coral </w:t>
      </w:r>
      <w:r w:rsidRPr="00097019">
        <w:t>reefs: scientific issues and manag</w:t>
      </w:r>
      <w:r>
        <w:t>ement consequences for the Great Barrier Reef. Coral Reefs 18:</w:t>
      </w:r>
      <w:r w:rsidRPr="00097019">
        <w:t>357</w:t>
      </w:r>
      <w:r>
        <w:t>-</w:t>
      </w:r>
      <w:r w:rsidRPr="00097019">
        <w:t>367</w:t>
      </w:r>
    </w:p>
    <w:p w14:paraId="11EA938A" w14:textId="77777777" w:rsidR="00C70CED" w:rsidRPr="00E53765" w:rsidRDefault="009F400E" w:rsidP="003708B0">
      <w:pPr>
        <w:ind w:hanging="284"/>
      </w:pPr>
      <w:r w:rsidRPr="00E53765">
        <w:rPr>
          <w:rFonts w:eastAsia="MS Mincho"/>
        </w:rPr>
        <w:t>McCook LJ, Jompa J, Diaz-Pulido G (2001) Competition between corals and algae on coral reefs: a review of evidence and mechanisms. Coral Reefs 19:400-417</w:t>
      </w:r>
      <w:r w:rsidR="00C70CED" w:rsidRPr="00E53765">
        <w:t xml:space="preserve"> </w:t>
      </w:r>
    </w:p>
    <w:p w14:paraId="11EA938B" w14:textId="77777777" w:rsidR="00C70CED" w:rsidRPr="00E53765" w:rsidRDefault="00C70CED" w:rsidP="003708B0">
      <w:pPr>
        <w:ind w:hanging="284"/>
      </w:pPr>
      <w:r w:rsidRPr="00E53765">
        <w:t xml:space="preserve">Mackenzie JB, Munday PL, Willis BL, Miller DJ, Van Oppen MJH (2004) Unexpected patterns of genetic structuring among locations but not colour morphs in </w:t>
      </w:r>
      <w:r w:rsidRPr="00E53765">
        <w:rPr>
          <w:i/>
        </w:rPr>
        <w:t>Acropora nasuta</w:t>
      </w:r>
      <w:r w:rsidRPr="00E53765">
        <w:t xml:space="preserve"> (Cnidaria; Scleractinia). Molecular Ecology 13(1):9-20 </w:t>
      </w:r>
    </w:p>
    <w:p w14:paraId="11EA938C" w14:textId="77777777" w:rsidR="00C814DD" w:rsidRPr="00E53765" w:rsidRDefault="00C814DD" w:rsidP="003708B0">
      <w:pPr>
        <w:ind w:hanging="284"/>
        <w:rPr>
          <w:rFonts w:eastAsiaTheme="minorHAnsi"/>
          <w:spacing w:val="3"/>
          <w:shd w:val="clear" w:color="auto" w:fill="FFFFFF"/>
        </w:rPr>
      </w:pPr>
      <w:r w:rsidRPr="00E53765">
        <w:t xml:space="preserve">Mann, ME, Ramstorf S, Steinman BA, Tingley M, and Miller SK 2016. The likelihood of recent record warmth, </w:t>
      </w:r>
      <w:r w:rsidRPr="00E53765">
        <w:rPr>
          <w:i/>
          <w:iCs/>
        </w:rPr>
        <w:t xml:space="preserve">Scientific Reports </w:t>
      </w:r>
      <w:r w:rsidRPr="00E53765">
        <w:t>6: 19831.</w:t>
      </w:r>
      <w:r w:rsidRPr="00E53765">
        <w:rPr>
          <w:rFonts w:eastAsiaTheme="minorHAnsi"/>
          <w:spacing w:val="3"/>
          <w:shd w:val="clear" w:color="auto" w:fill="FFFFFF"/>
        </w:rPr>
        <w:t xml:space="preserve"> doi: 10.1038/srep19831 (2016).</w:t>
      </w:r>
    </w:p>
    <w:p w14:paraId="11EA938D" w14:textId="77777777" w:rsidR="00C70CED" w:rsidRPr="00E53765" w:rsidRDefault="00C70CED" w:rsidP="003708B0">
      <w:pPr>
        <w:ind w:hanging="284"/>
      </w:pPr>
      <w:r w:rsidRPr="00E53765">
        <w:rPr>
          <w:lang w:val="en-AU" w:eastAsia="en-AU"/>
        </w:rPr>
        <w:t>Marshall PA, Baird AH (2000) Bleaching of corals on the Great Barrier Reef: differential susceptibilities among taxa. Coral Reefs 19:155-163</w:t>
      </w:r>
    </w:p>
    <w:p w14:paraId="11EA938E" w14:textId="77777777" w:rsidR="00C70CED" w:rsidRPr="00E53765" w:rsidRDefault="00C70CED" w:rsidP="003708B0">
      <w:pPr>
        <w:ind w:hanging="284"/>
        <w:rPr>
          <w:lang w:val="en-US"/>
        </w:rPr>
      </w:pPr>
      <w:r w:rsidRPr="00E53765">
        <w:rPr>
          <w:lang w:val="en-US"/>
        </w:rPr>
        <w:t>Marshall PA, Johnson JE (2007) The Great Barrier Reef and climate change: vulnerability and management implications. In: Johnson JE, Marshall PA (</w:t>
      </w:r>
      <w:r w:rsidR="0033244F" w:rsidRPr="00E53765">
        <w:rPr>
          <w:lang w:val="en-US"/>
        </w:rPr>
        <w:t>Eds</w:t>
      </w:r>
      <w:r w:rsidRPr="00E53765">
        <w:rPr>
          <w:lang w:val="en-US"/>
        </w:rPr>
        <w:t>) Climate change and the Great Barrier Reef. Great Barrier Reef Marine Park Authority and the Australian Greenhouse Office, Australia, pp 774-801</w:t>
      </w:r>
    </w:p>
    <w:p w14:paraId="11EA938F" w14:textId="77777777" w:rsidR="009D540B" w:rsidRPr="00E53765" w:rsidRDefault="009D540B" w:rsidP="003708B0">
      <w:pPr>
        <w:ind w:hanging="284"/>
        <w:rPr>
          <w:rFonts w:eastAsia="MS Mincho"/>
        </w:rPr>
      </w:pPr>
      <w:r w:rsidRPr="00E53765">
        <w:rPr>
          <w:rFonts w:eastAsia="MS Mincho"/>
        </w:rPr>
        <w:t>Maxim L, Spangenberg JH, O’Conner</w:t>
      </w:r>
      <w:r w:rsidR="00575B10" w:rsidRPr="00E53765">
        <w:rPr>
          <w:rFonts w:eastAsia="MS Mincho"/>
        </w:rPr>
        <w:t xml:space="preserve">m </w:t>
      </w:r>
      <w:r w:rsidRPr="00E53765">
        <w:rPr>
          <w:rFonts w:eastAsia="MS Mincho"/>
        </w:rPr>
        <w:t>(2009) An analysis of risks for biodiversity under the DPSIR framework</w:t>
      </w:r>
      <w:r w:rsidR="0078561E" w:rsidRPr="00E53765">
        <w:rPr>
          <w:rFonts w:eastAsia="MS Mincho"/>
        </w:rPr>
        <w:t>. Ecological Economics 69:12-23</w:t>
      </w:r>
    </w:p>
    <w:p w14:paraId="11EA9390" w14:textId="77777777" w:rsidR="009F400E" w:rsidRPr="00E53765" w:rsidRDefault="009F400E" w:rsidP="003708B0">
      <w:pPr>
        <w:ind w:hanging="284"/>
        <w:rPr>
          <w:rFonts w:eastAsia="MS Mincho"/>
        </w:rPr>
      </w:pPr>
      <w:r w:rsidRPr="00E53765">
        <w:t>Miller IR, Jonker M, Coleman G (2009) Crown-of-thorns seastars and coral surveys using the manta tow and SCUBA Search techniques. Long-term Monitoring of the Great Barrier Reef Standard Operational Procedure Number 9, Edition 3. Australian Institute of Marine Science, Townsville</w:t>
      </w:r>
    </w:p>
    <w:p w14:paraId="11EA9391" w14:textId="77777777" w:rsidR="00936552" w:rsidRDefault="009F400E" w:rsidP="00936552">
      <w:pPr>
        <w:ind w:hanging="284"/>
        <w:rPr>
          <w:lang w:val="en-US"/>
        </w:rPr>
      </w:pPr>
      <w:r w:rsidRPr="00E53765">
        <w:rPr>
          <w:lang w:val="en-US"/>
        </w:rPr>
        <w:t>Mora C (2008) A clear human footprint in the coral reefs of the Caribbean. Proceedings of the Royal Society B 275:767-773</w:t>
      </w:r>
    </w:p>
    <w:p w14:paraId="11EA9392" w14:textId="3D9A853A" w:rsidR="00936552" w:rsidRPr="00936552" w:rsidRDefault="00936552" w:rsidP="00936552">
      <w:pPr>
        <w:ind w:hanging="284"/>
        <w:rPr>
          <w:rFonts w:cs="Arial"/>
          <w:color w:val="222222"/>
          <w:szCs w:val="22"/>
          <w:lang w:val="en-AU" w:eastAsia="en-AU"/>
        </w:rPr>
      </w:pPr>
      <w:r w:rsidRPr="00936552">
        <w:rPr>
          <w:rFonts w:cs="Arial"/>
          <w:color w:val="222222"/>
          <w:szCs w:val="22"/>
          <w:lang w:val="en-AU" w:eastAsia="en-AU"/>
        </w:rPr>
        <w:t>Morgan KM, Perry CT, Smithers SG, Johnson JA, Daniell JJ</w:t>
      </w:r>
      <w:r>
        <w:rPr>
          <w:rFonts w:cs="Arial"/>
          <w:color w:val="222222"/>
          <w:szCs w:val="22"/>
          <w:lang w:val="en-AU" w:eastAsia="en-AU"/>
        </w:rPr>
        <w:t xml:space="preserve"> (2016)</w:t>
      </w:r>
      <w:r w:rsidRPr="00936552">
        <w:rPr>
          <w:rFonts w:cs="Arial"/>
          <w:color w:val="222222"/>
          <w:szCs w:val="22"/>
          <w:lang w:val="en-AU" w:eastAsia="en-AU"/>
        </w:rPr>
        <w:t xml:space="preserve"> Evidence of extensive reef development and high coral cover in nearshore environments: implications for understanding coral adaptation in turbid settings. Scientific Reports. </w:t>
      </w:r>
      <w:r>
        <w:rPr>
          <w:rFonts w:cs="Arial"/>
          <w:color w:val="222222"/>
          <w:szCs w:val="22"/>
          <w:lang w:val="en-AU" w:eastAsia="en-AU"/>
        </w:rPr>
        <w:t>6:29616</w:t>
      </w:r>
      <w:r w:rsidR="00B8145F">
        <w:rPr>
          <w:rFonts w:cs="Arial"/>
          <w:color w:val="222222"/>
          <w:szCs w:val="22"/>
          <w:lang w:val="en-AU" w:eastAsia="en-AU"/>
        </w:rPr>
        <w:t>,</w:t>
      </w:r>
      <w:r w:rsidR="00E75F5C">
        <w:rPr>
          <w:rFonts w:cs="Arial"/>
          <w:color w:val="222222"/>
          <w:szCs w:val="22"/>
          <w:lang w:val="en-AU" w:eastAsia="en-AU"/>
        </w:rPr>
        <w:t xml:space="preserve"> </w:t>
      </w:r>
      <w:r w:rsidR="00B8145F">
        <w:rPr>
          <w:rFonts w:eastAsiaTheme="minorHAnsi" w:cs="Arial"/>
          <w:szCs w:val="22"/>
          <w:lang w:val="en-AU"/>
        </w:rPr>
        <w:t>DOI</w:t>
      </w:r>
      <w:r w:rsidRPr="00936552">
        <w:rPr>
          <w:rFonts w:eastAsiaTheme="minorHAnsi" w:cs="Arial"/>
          <w:szCs w:val="22"/>
          <w:lang w:val="en-AU"/>
        </w:rPr>
        <w:t>: 10.1038/srep29616</w:t>
      </w:r>
    </w:p>
    <w:p w14:paraId="11EA9393" w14:textId="77777777" w:rsidR="009F400E" w:rsidRPr="00E53765" w:rsidRDefault="009F400E" w:rsidP="003708B0">
      <w:pPr>
        <w:ind w:hanging="284"/>
        <w:rPr>
          <w:rFonts w:eastAsia="MS Mincho"/>
          <w:lang w:val="en-AU" w:eastAsia="ja-JP"/>
        </w:rPr>
      </w:pPr>
      <w:r w:rsidRPr="00E53765">
        <w:rPr>
          <w:rFonts w:eastAsia="MS Mincho"/>
          <w:lang w:val="en-AU" w:eastAsia="ja-JP"/>
        </w:rPr>
        <w:t xml:space="preserve">Morrow KM, Ritson-Williams R, Ross C, Liles MR, Paul VJ (2012) Macroalgal extracts induce bacterial assemblage shifts and </w:t>
      </w:r>
      <w:r w:rsidR="0033244F" w:rsidRPr="00E53765">
        <w:rPr>
          <w:rFonts w:eastAsia="MS Mincho"/>
          <w:lang w:val="en-AU" w:eastAsia="ja-JP"/>
        </w:rPr>
        <w:t>sub lethal</w:t>
      </w:r>
      <w:r w:rsidRPr="00E53765">
        <w:rPr>
          <w:rFonts w:eastAsia="MS Mincho"/>
          <w:lang w:val="en-AU" w:eastAsia="ja-JP"/>
        </w:rPr>
        <w:t xml:space="preserve"> tissue stress in Caribbean corals. PLoS ONE 7(9):e44859</w:t>
      </w:r>
    </w:p>
    <w:p w14:paraId="11EA9394" w14:textId="77777777" w:rsidR="00841A85" w:rsidRPr="00E53765" w:rsidRDefault="00841A85" w:rsidP="003708B0">
      <w:pPr>
        <w:ind w:hanging="284"/>
        <w:rPr>
          <w:rFonts w:eastAsia="MS Mincho"/>
          <w:lang w:val="en-AU" w:eastAsia="ja-JP"/>
        </w:rPr>
      </w:pPr>
      <w:r w:rsidRPr="00E53765">
        <w:rPr>
          <w:rFonts w:eastAsia="MS Mincho"/>
          <w:lang w:val="en-AU" w:eastAsia="ja-JP"/>
        </w:rPr>
        <w:t>Muir PR, Wallace CC, Done T, Aguirre DJ (2015) Limited scope for latitudinal extension of reef corals. Science 348:1135-1138</w:t>
      </w:r>
    </w:p>
    <w:p w14:paraId="11EA9395" w14:textId="77777777" w:rsidR="009F400E" w:rsidRDefault="009F400E" w:rsidP="003708B0">
      <w:pPr>
        <w:ind w:hanging="284"/>
        <w:rPr>
          <w:lang w:eastAsia="en-GB"/>
        </w:rPr>
      </w:pPr>
      <w:r w:rsidRPr="00E53765">
        <w:rPr>
          <w:lang w:eastAsia="en-GB"/>
        </w:rPr>
        <w:t>Negri AP, Flores F, Röthig T, Uthicke S (2011) Herbicides increase the vulnerability of corals to rising sea surface temperature. Limnology and Oceanography 56:471-485</w:t>
      </w:r>
    </w:p>
    <w:p w14:paraId="11EA9396" w14:textId="77777777" w:rsidR="002F16A2" w:rsidRPr="00E53765" w:rsidRDefault="002F16A2" w:rsidP="003708B0">
      <w:pPr>
        <w:ind w:hanging="284"/>
        <w:rPr>
          <w:lang w:eastAsia="en-GB"/>
        </w:rPr>
      </w:pPr>
      <w:r w:rsidRPr="00097019">
        <w:rPr>
          <w:color w:val="231F20"/>
        </w:rPr>
        <w:t xml:space="preserve">Nyström M, Folke C, Moberg F (2000) Coral reef disturbance and resilience in a human-dominated environment. Trends </w:t>
      </w:r>
      <w:r>
        <w:rPr>
          <w:color w:val="231F20"/>
        </w:rPr>
        <w:t xml:space="preserve">in </w:t>
      </w:r>
      <w:r w:rsidRPr="00097019">
        <w:rPr>
          <w:color w:val="231F20"/>
        </w:rPr>
        <w:t>Ecol</w:t>
      </w:r>
      <w:r>
        <w:rPr>
          <w:color w:val="231F20"/>
        </w:rPr>
        <w:t>ogy</w:t>
      </w:r>
      <w:r w:rsidRPr="00097019">
        <w:rPr>
          <w:color w:val="231F20"/>
        </w:rPr>
        <w:t xml:space="preserve"> </w:t>
      </w:r>
      <w:r>
        <w:rPr>
          <w:color w:val="231F20"/>
        </w:rPr>
        <w:t xml:space="preserve">and </w:t>
      </w:r>
      <w:r w:rsidRPr="00097019">
        <w:rPr>
          <w:color w:val="231F20"/>
        </w:rPr>
        <w:t>Evol</w:t>
      </w:r>
      <w:r>
        <w:rPr>
          <w:color w:val="231F20"/>
        </w:rPr>
        <w:t>ution</w:t>
      </w:r>
      <w:r w:rsidRPr="00097019">
        <w:rPr>
          <w:color w:val="231F20"/>
        </w:rPr>
        <w:t xml:space="preserve"> 15:413–417</w:t>
      </w:r>
    </w:p>
    <w:p w14:paraId="11EA9397" w14:textId="77777777" w:rsidR="009F400E" w:rsidRPr="00E53765" w:rsidRDefault="009F400E" w:rsidP="003708B0">
      <w:pPr>
        <w:ind w:hanging="284"/>
      </w:pPr>
      <w:r w:rsidRPr="00E53765">
        <w:t>Osborne K, Dolman AM, Burgess SC, Johns KA (2011) Disturbance and the Dynamics of Coral Cover on the Great Barrier Reef (1995–2009). PLoS ONE 6:e17516</w:t>
      </w:r>
    </w:p>
    <w:p w14:paraId="11EA9398" w14:textId="77777777" w:rsidR="00DF2D4E" w:rsidRPr="00E53765" w:rsidRDefault="00DF2D4E" w:rsidP="003708B0">
      <w:pPr>
        <w:ind w:hanging="284"/>
        <w:rPr>
          <w:lang w:val="en-AU" w:eastAsia="en-AU"/>
        </w:rPr>
      </w:pPr>
      <w:r w:rsidRPr="00E53765">
        <w:rPr>
          <w:lang w:val="en-AU" w:eastAsia="en-AU"/>
        </w:rPr>
        <w:t>Petus C, Devlin M, Thompson A, McKenzie L, Teixeira da Silva E, Collier C, Tracey D, Martin K (2016) Estimating the Exposure of Coral Reefs and Seagrass Meadows to Land-Sourced Contaminants in River Flood Plumes of the Great Barrier Reef: Validating a Simple Satellite Risk Framework with Environmental Data. Remote Sensing 8(3):210</w:t>
      </w:r>
    </w:p>
    <w:p w14:paraId="11EA9399" w14:textId="77777777" w:rsidR="009F400E" w:rsidRDefault="009F400E" w:rsidP="003708B0">
      <w:pPr>
        <w:ind w:hanging="284"/>
        <w:rPr>
          <w:lang w:eastAsia="en-AU"/>
        </w:rPr>
      </w:pPr>
      <w:r w:rsidRPr="00E53765">
        <w:rPr>
          <w:lang w:eastAsia="en-AU"/>
        </w:rPr>
        <w:t xml:space="preserve">Pratchett MS (2007) Feeding preferences of </w:t>
      </w:r>
      <w:r w:rsidRPr="00E53765">
        <w:rPr>
          <w:i/>
          <w:lang w:eastAsia="en-AU"/>
        </w:rPr>
        <w:t>Acanthastrea planci</w:t>
      </w:r>
      <w:r w:rsidRPr="00E53765">
        <w:rPr>
          <w:lang w:eastAsia="en-AU"/>
        </w:rPr>
        <w:t xml:space="preserve"> (Echinodermata: Asteroidea) under controlled conditions of food availability 1. </w:t>
      </w:r>
      <w:r w:rsidRPr="00E53765">
        <w:rPr>
          <w:iCs/>
          <w:lang w:eastAsia="en-AU"/>
        </w:rPr>
        <w:t>Pacific Science</w:t>
      </w:r>
      <w:r w:rsidRPr="00E53765">
        <w:rPr>
          <w:lang w:eastAsia="en-AU"/>
        </w:rPr>
        <w:t xml:space="preserve"> </w:t>
      </w:r>
      <w:r w:rsidRPr="00E53765">
        <w:rPr>
          <w:iCs/>
          <w:lang w:eastAsia="en-AU"/>
        </w:rPr>
        <w:t>61</w:t>
      </w:r>
      <w:r w:rsidRPr="00E53765">
        <w:rPr>
          <w:lang w:eastAsia="en-AU"/>
        </w:rPr>
        <w:t>(1): 113-120</w:t>
      </w:r>
    </w:p>
    <w:p w14:paraId="11EA939A" w14:textId="77777777" w:rsidR="007823F7" w:rsidRPr="00E53765" w:rsidRDefault="007823F7" w:rsidP="003708B0">
      <w:pPr>
        <w:ind w:hanging="284"/>
        <w:rPr>
          <w:lang w:eastAsia="en-AU"/>
        </w:rPr>
      </w:pPr>
      <w:r>
        <w:rPr>
          <w:lang w:eastAsia="en-AU"/>
        </w:rPr>
        <w:t>Pratchett MS, Caballes CF, Rivera-Posada Ja, Sweatman HPA (2014) Limits to understanding and managing outbreaks of crown-of-thorns starfish (</w:t>
      </w:r>
      <w:r w:rsidRPr="007823F7">
        <w:rPr>
          <w:i/>
          <w:lang w:eastAsia="en-AU"/>
        </w:rPr>
        <w:t>Acanthaster</w:t>
      </w:r>
      <w:r>
        <w:rPr>
          <w:lang w:eastAsia="en-AU"/>
        </w:rPr>
        <w:t xml:space="preserve"> spp.) Oceanography and Marine Biology: An Annual Review 52:133-200 </w:t>
      </w:r>
    </w:p>
    <w:p w14:paraId="11EA939B" w14:textId="77777777" w:rsidR="00327673" w:rsidRPr="00E53765" w:rsidRDefault="00327673" w:rsidP="003708B0">
      <w:pPr>
        <w:ind w:hanging="284"/>
        <w:rPr>
          <w:rFonts w:eastAsia="MinionPro-Regular"/>
        </w:rPr>
      </w:pPr>
      <w:r w:rsidRPr="00E53765">
        <w:rPr>
          <w:rFonts w:eastAsia="MinionPro-Regular"/>
        </w:rPr>
        <w:t>Puotinen M, Maynard JA, Beeden R, Radford B, Williams GJ (2016)</w:t>
      </w:r>
      <w:r w:rsidRPr="00E53765">
        <w:rPr>
          <w:rFonts w:eastAsia="MinionPro-Regular"/>
          <w:i/>
          <w:iCs/>
        </w:rPr>
        <w:t xml:space="preserve"> </w:t>
      </w:r>
      <w:r w:rsidRPr="00E53765">
        <w:rPr>
          <w:rFonts w:eastAsia="MinionPro-Regular"/>
        </w:rPr>
        <w:t xml:space="preserve">A robust operational model for predicting where tropical cyclone waves damage coral reefs. </w:t>
      </w:r>
      <w:r w:rsidRPr="00E53765">
        <w:rPr>
          <w:rFonts w:eastAsia="MinionPro-Regular"/>
          <w:i/>
          <w:iCs/>
        </w:rPr>
        <w:t xml:space="preserve">Sci. Rep. </w:t>
      </w:r>
      <w:r w:rsidRPr="00E53765">
        <w:rPr>
          <w:rFonts w:eastAsia="MinionPro-Regular"/>
          <w:b/>
          <w:bCs/>
        </w:rPr>
        <w:t>6</w:t>
      </w:r>
      <w:r w:rsidRPr="00E53765">
        <w:rPr>
          <w:rFonts w:eastAsia="MinionPro-Regular"/>
        </w:rPr>
        <w:t xml:space="preserve">, 26009; doi: 10.1038/srep26009 </w:t>
      </w:r>
    </w:p>
    <w:p w14:paraId="11EA939C" w14:textId="77777777" w:rsidR="00C814DD" w:rsidRPr="00E53765" w:rsidRDefault="00C814DD" w:rsidP="003708B0">
      <w:pPr>
        <w:ind w:hanging="284"/>
        <w:rPr>
          <w:rFonts w:eastAsiaTheme="minorHAnsi"/>
          <w:lang w:val="en-AU"/>
        </w:rPr>
      </w:pPr>
      <w:r w:rsidRPr="00E53765">
        <w:rPr>
          <w:rFonts w:eastAsiaTheme="minorHAnsi"/>
          <w:lang w:val="en-AU"/>
        </w:rPr>
        <w:t>Reef Health Incident Response System, Great Barrier Reef Marine Park Authority, Townsville (2013).</w:t>
      </w:r>
    </w:p>
    <w:p w14:paraId="11EA939E" w14:textId="77777777" w:rsidR="0078561E" w:rsidRPr="00E53765" w:rsidRDefault="0078561E" w:rsidP="003708B0">
      <w:pPr>
        <w:ind w:hanging="284"/>
      </w:pPr>
      <w:r w:rsidRPr="00E53765">
        <w:t xml:space="preserve">Rehr AP, Small MJ, Bradley P, Fisher WS, Vega A, Black K, Stockton T (2012) A </w:t>
      </w:r>
      <w:r w:rsidR="0033244F" w:rsidRPr="00E53765">
        <w:t>decision</w:t>
      </w:r>
      <w:r w:rsidRPr="00E53765">
        <w:t xml:space="preserve"> support framework for science-based multi-stakeholder deliberation: A coral reef example. Environmental Assessment 50:1204-1218</w:t>
      </w:r>
    </w:p>
    <w:p w14:paraId="11EA939F" w14:textId="77777777" w:rsidR="009F400E" w:rsidRPr="00E53765" w:rsidRDefault="009F400E" w:rsidP="003708B0">
      <w:pPr>
        <w:ind w:hanging="284"/>
        <w:rPr>
          <w:rStyle w:val="Hyperlink"/>
          <w:color w:val="000000" w:themeColor="text1"/>
        </w:rPr>
      </w:pPr>
      <w:r w:rsidRPr="00E53765">
        <w:t xml:space="preserve">Ridgeway G (2007) Generalized boosted models: a guide to the gbm package, </w:t>
      </w:r>
      <w:hyperlink r:id="rId70" w:history="1">
        <w:r w:rsidRPr="00E53765">
          <w:rPr>
            <w:rStyle w:val="Hyperlink"/>
            <w:color w:val="000000" w:themeColor="text1"/>
          </w:rPr>
          <w:t>http://www.saedsayad.com/docs/gbm2.pdf</w:t>
        </w:r>
      </w:hyperlink>
    </w:p>
    <w:p w14:paraId="11EA93A0" w14:textId="77777777" w:rsidR="009F400E" w:rsidRPr="00E53765" w:rsidRDefault="009F400E" w:rsidP="003708B0">
      <w:pPr>
        <w:ind w:hanging="284"/>
      </w:pPr>
      <w:r w:rsidRPr="00E53765">
        <w:t>Rogers CS (1990) Responses of coral reefs and reef organisms to sedimentation. Marine Ecology progress Series 62:185-202</w:t>
      </w:r>
    </w:p>
    <w:p w14:paraId="11EA93A1" w14:textId="77777777" w:rsidR="003C0F6F" w:rsidRDefault="009F400E" w:rsidP="003C0F6F">
      <w:pPr>
        <w:ind w:hanging="284"/>
        <w:rPr>
          <w:rFonts w:eastAsia="MS Mincho" w:cs="HelveticaNeue-Bold"/>
          <w:bCs/>
          <w:szCs w:val="30"/>
          <w:lang w:eastAsia="en-AU"/>
        </w:rPr>
      </w:pPr>
      <w:r w:rsidRPr="00E53765">
        <w:t>Schaffelke B, Anthony K, Blake J, Brodie J, Collier C, Devlin M, Fabricius K, Martin K, McKenzie L, Negri A, Ronan M, Thompson A, Warne</w:t>
      </w:r>
      <w:r w:rsidR="00575B10" w:rsidRPr="00E53765">
        <w:t xml:space="preserve">m </w:t>
      </w:r>
      <w:r w:rsidRPr="00E53765">
        <w:t>(</w:t>
      </w:r>
      <w:r w:rsidRPr="00E53765">
        <w:rPr>
          <w:bCs/>
          <w:i/>
        </w:rPr>
        <w:t xml:space="preserve">2013) </w:t>
      </w:r>
      <w:r w:rsidRPr="00E53765">
        <w:rPr>
          <w:bCs/>
        </w:rPr>
        <w:t>Supporting evidence to</w:t>
      </w:r>
      <w:r w:rsidRPr="00E53765">
        <w:rPr>
          <w:bCs/>
          <w:i/>
        </w:rPr>
        <w:t xml:space="preserve"> Scientific consensus statement: </w:t>
      </w:r>
      <w:r w:rsidRPr="00E53765">
        <w:rPr>
          <w:i/>
        </w:rPr>
        <w:t>Land use impacts on Great Barrier Reef water quality and ecosystem condition.</w:t>
      </w:r>
      <w:r w:rsidRPr="00E53765">
        <w:t xml:space="preserve"> </w:t>
      </w:r>
      <w:r w:rsidRPr="00E53765">
        <w:rPr>
          <w:i/>
        </w:rPr>
        <w:t>Chapter 1, Marine and Coastal ecosystem impacts</w:t>
      </w:r>
      <w:r w:rsidRPr="00E53765">
        <w:t>, Reef Water Quality Protection Plan Secretariat, Brisbane.</w:t>
      </w:r>
      <w:r w:rsidRPr="00E53765">
        <w:rPr>
          <w:u w:val="single"/>
        </w:rPr>
        <w:t xml:space="preserve"> </w:t>
      </w:r>
      <w:r w:rsidRPr="00E53765">
        <w:t xml:space="preserve">Available at: </w:t>
      </w:r>
      <w:hyperlink r:id="rId71" w:history="1">
        <w:r w:rsidR="003C0F6F" w:rsidRPr="008A674C">
          <w:rPr>
            <w:rStyle w:val="Hyperlink"/>
            <w:rFonts w:eastAsia="MS Mincho" w:cs="HelveticaNeue-Bold"/>
            <w:bCs/>
            <w:szCs w:val="30"/>
            <w:lang w:eastAsia="en-AU"/>
          </w:rPr>
          <w:t>www.reefplan.qld.gov.au</w:t>
        </w:r>
      </w:hyperlink>
    </w:p>
    <w:p w14:paraId="11EA93A2" w14:textId="540D73C7" w:rsidR="003C0F6F" w:rsidRPr="003C0F6F" w:rsidRDefault="003C0F6F" w:rsidP="003C0F6F">
      <w:pPr>
        <w:ind w:hanging="284"/>
        <w:rPr>
          <w:rFonts w:eastAsia="MS Mincho" w:cs="HelveticaNeue-Bold"/>
          <w:bCs/>
          <w:szCs w:val="30"/>
          <w:lang w:eastAsia="en-AU"/>
        </w:rPr>
      </w:pPr>
      <w:r w:rsidRPr="00F85165">
        <w:rPr>
          <w:rFonts w:eastAsiaTheme="minorHAnsi" w:cs="Arial"/>
          <w:szCs w:val="22"/>
          <w:lang w:val="en-AU"/>
        </w:rPr>
        <w:t>Schaffelke B,</w:t>
      </w:r>
      <w:r w:rsidR="00E75F5C">
        <w:rPr>
          <w:rFonts w:eastAsiaTheme="minorHAnsi" w:cs="Arial"/>
          <w:szCs w:val="22"/>
          <w:lang w:val="en-AU"/>
        </w:rPr>
        <w:t xml:space="preserve"> </w:t>
      </w:r>
      <w:r w:rsidRPr="00F85165">
        <w:rPr>
          <w:rFonts w:eastAsiaTheme="minorHAnsi" w:cs="Arial"/>
          <w:szCs w:val="22"/>
          <w:lang w:val="en-AU"/>
        </w:rPr>
        <w:t xml:space="preserve">Klumpp DW, (1997) </w:t>
      </w:r>
      <w:r w:rsidRPr="003C0F6F">
        <w:rPr>
          <w:rFonts w:eastAsiaTheme="minorHAnsi" w:cs="Arial"/>
          <w:szCs w:val="22"/>
          <w:lang w:val="en-AU"/>
        </w:rPr>
        <w:t>Biomass and productivity of tropical macroalgae on three nearshore fringing reefs in the central Great Barrier Reef, Australia. Bot</w:t>
      </w:r>
      <w:r>
        <w:rPr>
          <w:rFonts w:eastAsiaTheme="minorHAnsi" w:cs="Arial"/>
          <w:szCs w:val="22"/>
          <w:lang w:val="en-AU"/>
        </w:rPr>
        <w:t>anica</w:t>
      </w:r>
      <w:r w:rsidRPr="003C0F6F">
        <w:rPr>
          <w:rFonts w:eastAsiaTheme="minorHAnsi" w:cs="Arial"/>
          <w:szCs w:val="22"/>
          <w:lang w:val="en-AU"/>
        </w:rPr>
        <w:t xml:space="preserve"> Marin</w:t>
      </w:r>
      <w:r>
        <w:rPr>
          <w:rFonts w:eastAsiaTheme="minorHAnsi" w:cs="Arial"/>
          <w:szCs w:val="22"/>
          <w:lang w:val="en-AU"/>
        </w:rPr>
        <w:t>a</w:t>
      </w:r>
      <w:r w:rsidRPr="003C0F6F">
        <w:rPr>
          <w:rFonts w:eastAsiaTheme="minorHAnsi" w:cs="Arial"/>
          <w:szCs w:val="22"/>
          <w:lang w:val="en-AU"/>
        </w:rPr>
        <w:t xml:space="preserve"> 40:</w:t>
      </w:r>
      <w:r w:rsidR="00AB36D3">
        <w:rPr>
          <w:rFonts w:eastAsiaTheme="minorHAnsi" w:cs="Arial"/>
          <w:szCs w:val="22"/>
          <w:lang w:val="en-AU"/>
        </w:rPr>
        <w:t>373-384</w:t>
      </w:r>
    </w:p>
    <w:p w14:paraId="11EA93A3" w14:textId="77777777" w:rsidR="009F400E" w:rsidRPr="00E53765" w:rsidRDefault="009F400E" w:rsidP="003708B0">
      <w:pPr>
        <w:ind w:hanging="284"/>
      </w:pPr>
      <w:r w:rsidRPr="00E53765">
        <w:t>Schaffelke B, Mellors J, Duke NC (2005) Water quality in the Great Barrier Reef region: responses of mangrove, seagrass and macroalgal communities. Marine Pollution Bulletin 51:279-296</w:t>
      </w:r>
    </w:p>
    <w:p w14:paraId="11EA93A5" w14:textId="0B14940F" w:rsidR="002F16A2" w:rsidRPr="00D87AE6" w:rsidRDefault="002F16A2" w:rsidP="003708B0">
      <w:pPr>
        <w:ind w:hanging="284"/>
        <w:rPr>
          <w:rFonts w:eastAsiaTheme="minorHAnsi"/>
          <w:lang w:val="en-AU"/>
        </w:rPr>
      </w:pPr>
      <w:r w:rsidRPr="00D87AE6">
        <w:rPr>
          <w:rFonts w:eastAsiaTheme="minorHAnsi"/>
          <w:shd w:val="clear" w:color="auto" w:fill="FFFFFF"/>
        </w:rPr>
        <w:t>Sc</w:t>
      </w:r>
      <w:r>
        <w:rPr>
          <w:rFonts w:eastAsiaTheme="minorHAnsi"/>
          <w:shd w:val="clear" w:color="auto" w:fill="FFFFFF"/>
        </w:rPr>
        <w:t>heffer</w:t>
      </w:r>
      <w:r w:rsidR="00E75F5C">
        <w:rPr>
          <w:rFonts w:eastAsiaTheme="minorHAnsi"/>
          <w:shd w:val="clear" w:color="auto" w:fill="FFFFFF"/>
        </w:rPr>
        <w:t xml:space="preserve"> </w:t>
      </w:r>
      <w:r>
        <w:rPr>
          <w:rFonts w:eastAsiaTheme="minorHAnsi"/>
          <w:shd w:val="clear" w:color="auto" w:fill="FFFFFF"/>
        </w:rPr>
        <w:t>M, Carpenter S, Foley J</w:t>
      </w:r>
      <w:r w:rsidRPr="00D87AE6">
        <w:rPr>
          <w:rFonts w:eastAsiaTheme="minorHAnsi"/>
          <w:shd w:val="clear" w:color="auto" w:fill="FFFFFF"/>
        </w:rPr>
        <w:t>A, Folke C, Walker B (2001)</w:t>
      </w:r>
      <w:r>
        <w:rPr>
          <w:rFonts w:eastAsiaTheme="minorHAnsi"/>
          <w:shd w:val="clear" w:color="auto" w:fill="FFFFFF"/>
        </w:rPr>
        <w:t xml:space="preserve"> Catastrophic shifts in e</w:t>
      </w:r>
      <w:r w:rsidRPr="00D87AE6">
        <w:rPr>
          <w:rFonts w:eastAsiaTheme="minorHAnsi"/>
          <w:shd w:val="clear" w:color="auto" w:fill="FFFFFF"/>
        </w:rPr>
        <w:t>cosystems. </w:t>
      </w:r>
      <w:r w:rsidRPr="00D87AE6">
        <w:rPr>
          <w:rFonts w:eastAsiaTheme="minorHAnsi"/>
          <w:iCs/>
          <w:shd w:val="clear" w:color="auto" w:fill="FFFFFF"/>
        </w:rPr>
        <w:t>Nature</w:t>
      </w:r>
      <w:r w:rsidRPr="00D87AE6">
        <w:rPr>
          <w:rFonts w:eastAsiaTheme="minorHAnsi"/>
          <w:shd w:val="clear" w:color="auto" w:fill="FFFFFF"/>
        </w:rPr>
        <w:t> </w:t>
      </w:r>
      <w:r w:rsidRPr="00D87AE6">
        <w:rPr>
          <w:rFonts w:eastAsiaTheme="minorHAnsi"/>
          <w:bCs/>
          <w:shd w:val="clear" w:color="auto" w:fill="FFFFFF"/>
        </w:rPr>
        <w:t>413</w:t>
      </w:r>
      <w:r>
        <w:rPr>
          <w:rFonts w:eastAsiaTheme="minorHAnsi"/>
          <w:shd w:val="clear" w:color="auto" w:fill="FFFFFF"/>
        </w:rPr>
        <w:t>:</w:t>
      </w:r>
      <w:r w:rsidRPr="00D87AE6">
        <w:rPr>
          <w:rFonts w:eastAsiaTheme="minorHAnsi"/>
          <w:shd w:val="clear" w:color="auto" w:fill="FFFFFF"/>
        </w:rPr>
        <w:t>591–596</w:t>
      </w:r>
      <w:r w:rsidRPr="00D87AE6">
        <w:rPr>
          <w:rFonts w:eastAsiaTheme="minorHAnsi"/>
          <w:lang w:val="en-AU"/>
        </w:rPr>
        <w:t xml:space="preserve"> </w:t>
      </w:r>
    </w:p>
    <w:p w14:paraId="11EA93A6" w14:textId="77777777" w:rsidR="009F400E" w:rsidRPr="00E53765" w:rsidRDefault="009F400E" w:rsidP="003708B0">
      <w:pPr>
        <w:ind w:hanging="284"/>
        <w:rPr>
          <w:lang w:eastAsia="en-AU"/>
        </w:rPr>
      </w:pPr>
      <w:r w:rsidRPr="00E53765">
        <w:t xml:space="preserve">Smith LD (2008) </w:t>
      </w:r>
      <w:r w:rsidRPr="00E53765">
        <w:rPr>
          <w:lang w:eastAsia="en-AU"/>
        </w:rPr>
        <w:t>Resilience of coral communities on an isolated system of reefs following catastrophic mass-bleaching. Coral Reefs 27:197-205</w:t>
      </w:r>
    </w:p>
    <w:p w14:paraId="11EA93A7" w14:textId="77777777" w:rsidR="009F400E" w:rsidRPr="00E53765" w:rsidRDefault="009F400E" w:rsidP="003708B0">
      <w:pPr>
        <w:ind w:hanging="284"/>
        <w:rPr>
          <w:lang w:val="en-AU" w:eastAsia="en-AU"/>
        </w:rPr>
      </w:pPr>
      <w:r w:rsidRPr="00E53765">
        <w:rPr>
          <w:rFonts w:eastAsia="Calibri"/>
        </w:rPr>
        <w:t xml:space="preserve">Sofonia JJ, Anthony KRN (2008) High-sediment tolerance in the reef coral Turbinaria mesenterina from the inner Great Barrier Reef lagoon (Australia). </w:t>
      </w:r>
      <w:r w:rsidRPr="00E53765">
        <w:rPr>
          <w:rFonts w:eastAsia="Calibri"/>
          <w:lang w:val="en-AU" w:eastAsia="en-AU"/>
        </w:rPr>
        <w:t>Estuar</w:t>
      </w:r>
      <w:r w:rsidR="0021071D" w:rsidRPr="00E53765">
        <w:rPr>
          <w:rFonts w:eastAsia="Calibri"/>
          <w:lang w:val="en-AU" w:eastAsia="en-AU"/>
        </w:rPr>
        <w:t>ine &amp;</w:t>
      </w:r>
      <w:r w:rsidRPr="00E53765">
        <w:rPr>
          <w:rFonts w:eastAsia="Calibri"/>
          <w:lang w:val="en-AU" w:eastAsia="en-AU"/>
        </w:rPr>
        <w:t xml:space="preserve"> Coast</w:t>
      </w:r>
      <w:r w:rsidR="0021071D" w:rsidRPr="00E53765">
        <w:rPr>
          <w:rFonts w:eastAsia="Calibri"/>
          <w:lang w:val="en-AU" w:eastAsia="en-AU"/>
        </w:rPr>
        <w:t>al</w:t>
      </w:r>
      <w:r w:rsidRPr="00E53765">
        <w:rPr>
          <w:rFonts w:eastAsia="Calibri"/>
          <w:lang w:val="en-AU" w:eastAsia="en-AU"/>
        </w:rPr>
        <w:t xml:space="preserve"> Shelf Sci</w:t>
      </w:r>
      <w:r w:rsidR="005167C9" w:rsidRPr="00E53765">
        <w:rPr>
          <w:rFonts w:eastAsia="Calibri"/>
          <w:lang w:val="en-AU" w:eastAsia="en-AU"/>
        </w:rPr>
        <w:t>ence</w:t>
      </w:r>
      <w:r w:rsidRPr="00E53765">
        <w:rPr>
          <w:rFonts w:eastAsia="Calibri"/>
          <w:lang w:val="en-AU" w:eastAsia="en-AU"/>
        </w:rPr>
        <w:t xml:space="preserve"> 78: 748–752</w:t>
      </w:r>
    </w:p>
    <w:p w14:paraId="11EA93A8" w14:textId="77777777" w:rsidR="009F400E" w:rsidRPr="00E53765" w:rsidRDefault="009F400E" w:rsidP="003708B0">
      <w:pPr>
        <w:ind w:hanging="284"/>
      </w:pPr>
      <w:r w:rsidRPr="00E53765">
        <w:t xml:space="preserve">Stafford-Smith MG, Ormond RFG (1992) Sediment-rejection Mechanisms of 42 Species of Australian Scleractinian Corals. Australian Journal of Marine and Freshwater Research 43:683-705 </w:t>
      </w:r>
    </w:p>
    <w:p w14:paraId="11EA93A9" w14:textId="77777777" w:rsidR="009F400E" w:rsidRDefault="009F400E" w:rsidP="003708B0">
      <w:pPr>
        <w:ind w:hanging="284"/>
        <w:rPr>
          <w:rFonts w:eastAsiaTheme="minorHAnsi"/>
          <w:lang w:val="en-AU"/>
        </w:rPr>
      </w:pPr>
      <w:r w:rsidRPr="00E53765">
        <w:rPr>
          <w:rFonts w:eastAsiaTheme="minorHAnsi"/>
          <w:lang w:val="en-AU"/>
        </w:rPr>
        <w:t>Steffen W, Hughes L, Karoly, D (2013) The Critical Decade: Extreme Weather. Climate Commission Secretariat, Department of Industry, Innovation, Climate Change, Science, Research and Tertiary Education, Commonwealth of Australia, 63p</w:t>
      </w:r>
    </w:p>
    <w:p w14:paraId="11EA93AA" w14:textId="77777777" w:rsidR="009F400E" w:rsidRPr="00E53765" w:rsidRDefault="009F400E" w:rsidP="003708B0">
      <w:pPr>
        <w:ind w:hanging="284"/>
      </w:pPr>
      <w:r w:rsidRPr="00E53765">
        <w:t>Sweatman H, Thompson A, Delean S, Davidson J, Neale S (2007) Status of inshore reefs of the Great Barrier Reef 2004. Australian Institute of Marine Science, Townsville</w:t>
      </w:r>
    </w:p>
    <w:p w14:paraId="11EA93AB" w14:textId="77777777" w:rsidR="002F16A2" w:rsidRPr="00E53765" w:rsidRDefault="002F16A2" w:rsidP="003708B0">
      <w:pPr>
        <w:ind w:hanging="284"/>
      </w:pPr>
      <w:r>
        <w:t>Szmant A</w:t>
      </w:r>
      <w:r w:rsidRPr="00B8131F">
        <w:t xml:space="preserve">M </w:t>
      </w:r>
      <w:r>
        <w:t>(</w:t>
      </w:r>
      <w:r w:rsidRPr="00B8131F">
        <w:t>2002</w:t>
      </w:r>
      <w:r>
        <w:t>)</w:t>
      </w:r>
      <w:r w:rsidRPr="00B8131F">
        <w:t xml:space="preserve"> Nutrient enrichment on coral reefs: is it a major cause of coral reef decline. Estuaries 25:</w:t>
      </w:r>
      <w:r>
        <w:t>743-</w:t>
      </w:r>
      <w:r w:rsidRPr="00B8131F">
        <w:t>766</w:t>
      </w:r>
    </w:p>
    <w:p w14:paraId="11EA93AC" w14:textId="77777777" w:rsidR="009F400E" w:rsidRPr="00E53765" w:rsidRDefault="009F400E" w:rsidP="003708B0">
      <w:pPr>
        <w:ind w:hanging="284"/>
        <w:rPr>
          <w:rFonts w:eastAsia="MS Mincho"/>
          <w:lang w:eastAsia="ja-JP"/>
        </w:rPr>
      </w:pPr>
      <w:r w:rsidRPr="00E53765">
        <w:rPr>
          <w:lang w:val="en-AU" w:eastAsia="en-AU"/>
        </w:rPr>
        <w:t xml:space="preserve">Tanner, J. E. (1995) Competition between scleractinian corals and macroalgae: an experimental investigation of coral growth, survival and reproduction. </w:t>
      </w:r>
      <w:r w:rsidRPr="00E53765">
        <w:rPr>
          <w:iCs/>
          <w:lang w:val="en-AU" w:eastAsia="en-AU"/>
        </w:rPr>
        <w:t>Journal of Experimental Marine Biology and Ecology</w:t>
      </w:r>
      <w:r w:rsidRPr="00E53765">
        <w:rPr>
          <w:lang w:val="en-AU" w:eastAsia="en-AU"/>
        </w:rPr>
        <w:t xml:space="preserve"> </w:t>
      </w:r>
      <w:r w:rsidRPr="00E53765">
        <w:rPr>
          <w:iCs/>
          <w:lang w:val="en-AU" w:eastAsia="en-AU"/>
        </w:rPr>
        <w:t>190</w:t>
      </w:r>
      <w:r w:rsidRPr="00E53765">
        <w:rPr>
          <w:lang w:val="en-AU" w:eastAsia="en-AU"/>
        </w:rPr>
        <w:t>(2): 151-168</w:t>
      </w:r>
    </w:p>
    <w:p w14:paraId="11EA93AD" w14:textId="77777777" w:rsidR="009F400E" w:rsidRPr="00E53765" w:rsidRDefault="009F400E" w:rsidP="003708B0">
      <w:pPr>
        <w:ind w:hanging="284"/>
        <w:rPr>
          <w:rFonts w:eastAsia="MS Mincho"/>
          <w:sz w:val="20"/>
          <w:lang w:eastAsia="ja-JP"/>
        </w:rPr>
      </w:pPr>
      <w:r w:rsidRPr="00E53765">
        <w:rPr>
          <w:rFonts w:eastAsia="MS Mincho"/>
          <w:lang w:eastAsia="ja-JP"/>
        </w:rPr>
        <w:t xml:space="preserve">Thompson A, Brando VE, Schaffelke B, Schroeder T (2014a) </w:t>
      </w:r>
      <w:r w:rsidRPr="00E53765">
        <w:t xml:space="preserve">Coral community responses to declining water quality: Whitsunday Islands, Great Barrier Reef, Australia. Coral Reefs 33:923-938 </w:t>
      </w:r>
    </w:p>
    <w:p w14:paraId="11EA93AF" w14:textId="44450C33" w:rsidR="009F400E" w:rsidRPr="00E53765" w:rsidRDefault="009F400E" w:rsidP="003708B0">
      <w:pPr>
        <w:ind w:hanging="284"/>
        <w:rPr>
          <w:lang w:val="en-US"/>
        </w:rPr>
      </w:pPr>
      <w:r w:rsidRPr="00E53765">
        <w:rPr>
          <w:lang w:val="en-US"/>
        </w:rPr>
        <w:t>Thompson A, Schaffelke B, De’ath G, Cripps E, Sweatman H (2010) Water Quality and Ecosystem Monitoring Programme-Reef Water Quality Protection Plan. Synthesis and spatial analysis of inshore monitoring data 2005-08. Report to the Great Barrier Reef Marine Park Authority. Australian Institute of Marine Science, Townsville. 81p</w:t>
      </w:r>
    </w:p>
    <w:p w14:paraId="11EA93B0" w14:textId="77777777" w:rsidR="009F400E" w:rsidRPr="00E53765" w:rsidRDefault="009F400E" w:rsidP="003708B0">
      <w:pPr>
        <w:ind w:hanging="284"/>
        <w:rPr>
          <w:lang w:val="en-AU"/>
        </w:rPr>
      </w:pPr>
      <w:r w:rsidRPr="00E53765">
        <w:rPr>
          <w:lang w:val="en-AU"/>
        </w:rPr>
        <w:t>Thompson A, Schaffelke B, Logan M, Costello P, Davidson J, Doyle J, Furnas M, Gunn K, Liddy M, Skuza M, Uthicke S, Wright</w:t>
      </w:r>
      <w:r w:rsidR="00575B10" w:rsidRPr="00E53765">
        <w:rPr>
          <w:lang w:val="en-AU"/>
        </w:rPr>
        <w:t xml:space="preserve">m </w:t>
      </w:r>
      <w:r w:rsidRPr="00E53765">
        <w:rPr>
          <w:lang w:val="en-AU"/>
        </w:rPr>
        <w:t>and Zagorskis I (2013) Reef Rescue Marine Monitoring Program. Annual Report of AIMS Activities 2012 to 2013– Inshore water quality and coral reef monitoring. Report for the Great Barrier Reef Marine Park Authority. Australian Institute of Marine Science, Townsville. 182</w:t>
      </w:r>
      <w:r w:rsidR="005167C9" w:rsidRPr="00E53765">
        <w:rPr>
          <w:lang w:val="en-AU"/>
        </w:rPr>
        <w:t>p</w:t>
      </w:r>
      <w:r w:rsidRPr="00E53765">
        <w:rPr>
          <w:lang w:val="en-AU"/>
        </w:rPr>
        <w:t xml:space="preserve"> </w:t>
      </w:r>
    </w:p>
    <w:p w14:paraId="11EA93B1" w14:textId="6DBEFB8B" w:rsidR="009D3707" w:rsidRDefault="009D3707" w:rsidP="003708B0">
      <w:pPr>
        <w:ind w:hanging="284"/>
      </w:pPr>
      <w:r w:rsidRPr="00E53765">
        <w:t>Thompson A, Lønborg C, C</w:t>
      </w:r>
      <w:r w:rsidR="0049629B" w:rsidRPr="00E53765">
        <w:t>ostello P, Davidson J, Logan M,</w:t>
      </w:r>
      <w:r w:rsidRPr="00E53765">
        <w:t xml:space="preserve"> Furnas M, Gunn K, Liddy M, Skuza M, Uthicke S, Wright</w:t>
      </w:r>
      <w:r w:rsidR="00052B5C">
        <w:t xml:space="preserve"> M</w:t>
      </w:r>
      <w:r w:rsidR="00575B10" w:rsidRPr="00E53765">
        <w:t xml:space="preserve"> </w:t>
      </w:r>
      <w:r w:rsidRPr="00E53765">
        <w:t>and Zagorskis I, Schaffelke B (2014</w:t>
      </w:r>
      <w:r w:rsidR="0049629B" w:rsidRPr="00E53765">
        <w:t>b</w:t>
      </w:r>
      <w:r w:rsidRPr="00E53765">
        <w:t>) Marine Monitoring Program</w:t>
      </w:r>
      <w:r w:rsidR="00052B5C">
        <w:t>:</w:t>
      </w:r>
      <w:r w:rsidRPr="00E53765">
        <w:t xml:space="preserve"> Annual Report of AIMS Activities 2013 to 2014– Inshore water quality and coral reef monitoring. Report for the Great Barrier Reef Marine Park Authority. Australian Institute of Marine Science 146p</w:t>
      </w:r>
    </w:p>
    <w:p w14:paraId="7930788C" w14:textId="500BA96E" w:rsidR="00052B5C" w:rsidRPr="00E53765" w:rsidRDefault="00052B5C" w:rsidP="00052B5C">
      <w:pPr>
        <w:ind w:hanging="284"/>
      </w:pPr>
      <w:r w:rsidRPr="00E53765">
        <w:t>Thompson A, Costello P, Davidson J, Logan M, Gunn K, Schaffelke B (201</w:t>
      </w:r>
      <w:r>
        <w:t>6</w:t>
      </w:r>
      <w:r w:rsidRPr="00E53765">
        <w:t xml:space="preserve">) </w:t>
      </w:r>
      <w:r>
        <w:t xml:space="preserve">Marine Monitoring Program: </w:t>
      </w:r>
      <w:r w:rsidRPr="00E53765">
        <w:t xml:space="preserve">Annual </w:t>
      </w:r>
      <w:r>
        <w:t>report for</w:t>
      </w:r>
      <w:r w:rsidRPr="00E53765">
        <w:t xml:space="preserve"> </w:t>
      </w:r>
      <w:r>
        <w:t>i</w:t>
      </w:r>
      <w:r w:rsidRPr="00E53765">
        <w:t>nshore coral reef monitoring. Report for the Great Barrier Reef Marine Park Authority. Australian Institute of Marine Science 1</w:t>
      </w:r>
      <w:r>
        <w:t>33</w:t>
      </w:r>
      <w:r w:rsidRPr="00E53765">
        <w:t>p</w:t>
      </w:r>
    </w:p>
    <w:p w14:paraId="11EA93B2" w14:textId="77777777" w:rsidR="009F400E" w:rsidRPr="00E53765" w:rsidRDefault="009F400E" w:rsidP="003708B0">
      <w:pPr>
        <w:ind w:hanging="284"/>
      </w:pPr>
      <w:r w:rsidRPr="00E53765">
        <w:t>Turner RDR, Huggins R, Wallace R, Smith RA, Vardy S</w:t>
      </w:r>
      <w:r w:rsidR="005167C9" w:rsidRPr="00E53765">
        <w:t>,</w:t>
      </w:r>
      <w:r w:rsidRPr="00E53765">
        <w:t xml:space="preserve"> Warne MSt</w:t>
      </w:r>
      <w:r w:rsidR="005167C9" w:rsidRPr="00E53765">
        <w:t>J</w:t>
      </w:r>
      <w:r w:rsidRPr="00E53765">
        <w:t xml:space="preserve"> (2012) Sediment, nutrient, and pesticide loads: Great Barrier Reef Catchment Loads Monitoring Program 2009–2010. Department of Science, Information Technology, Innovation and the Arts, Brisbane</w:t>
      </w:r>
    </w:p>
    <w:p w14:paraId="11EA93B3" w14:textId="77777777" w:rsidR="009F400E" w:rsidRDefault="009F400E" w:rsidP="003708B0">
      <w:pPr>
        <w:ind w:hanging="284"/>
      </w:pPr>
      <w:r w:rsidRPr="00E53765">
        <w:t>Turner RDR, Huggins R, Wallace R, Smith RA, Vardy S</w:t>
      </w:r>
      <w:r w:rsidR="005167C9" w:rsidRPr="00E53765">
        <w:t>,</w:t>
      </w:r>
      <w:r w:rsidRPr="00E53765">
        <w:t xml:space="preserve"> Warne MStJ (2013) Total suspended solids, nutrient and pesticide loads (2010–2011) for rivers that discharge to the Great Barrier Reef: Great Barrier Reef Catchment Loads Monitoring Program 2010–2011. Department of Science, Information Technology, Innovation and the Arts, Brisbane. </w:t>
      </w:r>
    </w:p>
    <w:p w14:paraId="11EA93B4" w14:textId="77777777" w:rsidR="002B27C9" w:rsidRPr="00A74FF6" w:rsidRDefault="002B27C9" w:rsidP="003708B0">
      <w:pPr>
        <w:ind w:hanging="284"/>
        <w:rPr>
          <w:rFonts w:eastAsiaTheme="majorEastAsia" w:cstheme="majorBidi"/>
          <w:bCs/>
        </w:rPr>
      </w:pPr>
      <w:r w:rsidRPr="00A74FF6">
        <w:rPr>
          <w:rFonts w:eastAsiaTheme="majorEastAsia" w:cstheme="majorBidi"/>
          <w:bCs/>
        </w:rPr>
        <w:t>Umar MJ, McCook LJ, Price IR (1998) Effects of sediment deposition on the seaweed Sargassum on a fringing coral reef. Coral Reefs 17: 169−177</w:t>
      </w:r>
    </w:p>
    <w:p w14:paraId="11EA93B5" w14:textId="77777777" w:rsidR="009F400E" w:rsidRPr="00E53765" w:rsidRDefault="009F400E" w:rsidP="003708B0">
      <w:pPr>
        <w:ind w:hanging="284"/>
      </w:pPr>
      <w:r w:rsidRPr="00E53765">
        <w:rPr>
          <w:rFonts w:eastAsia="MS Mincho"/>
        </w:rPr>
        <w:t xml:space="preserve">Uthicke S, Thompson A, Schaffelke B (2010) </w:t>
      </w:r>
      <w:r w:rsidRPr="00E53765">
        <w:t>Effectiveness of benthic foraminiferal and coral assemblages as water quality indicators on inshore reefs of the Great Barrier Reef, Australia. Coral Reefs 29:209-225</w:t>
      </w:r>
    </w:p>
    <w:p w14:paraId="11EA93B6" w14:textId="778938AE" w:rsidR="009F400E" w:rsidRPr="00E53765" w:rsidRDefault="009F400E" w:rsidP="003708B0">
      <w:pPr>
        <w:ind w:hanging="284"/>
      </w:pPr>
      <w:r w:rsidRPr="00E53765">
        <w:t>van Dam JW, Negri AP, Uthicke S, Muller JF (2011) Chemical pollution on coral reefs: exposure and ecological effects. In: Sanchez-Bayo F, van den Brink PJ, Mann RM (Eds.), Ecological Impact of Toxic Chemicals. Bentham Science Publishers Ltd.</w:t>
      </w:r>
      <w:r w:rsidR="00E75F5C">
        <w:t xml:space="preserve"> </w:t>
      </w:r>
    </w:p>
    <w:p w14:paraId="11EA93B7" w14:textId="7C7ED039" w:rsidR="009F400E" w:rsidRPr="00E53765" w:rsidRDefault="00D310C2" w:rsidP="003708B0">
      <w:pPr>
        <w:ind w:hanging="284"/>
      </w:pPr>
      <w:r>
        <w:t>v</w:t>
      </w:r>
      <w:r w:rsidR="009F400E" w:rsidRPr="00E53765">
        <w:t>an Woesik R (1991) Immediate impact of the January 1991 floods on the coral assemblages of the Keppel Islands. Research Publication No. 23, GBRMPA</w:t>
      </w:r>
    </w:p>
    <w:p w14:paraId="11EA93B8" w14:textId="77777777" w:rsidR="009F400E" w:rsidRPr="00E53765" w:rsidRDefault="009F400E" w:rsidP="003708B0">
      <w:pPr>
        <w:ind w:hanging="284"/>
      </w:pPr>
      <w:r w:rsidRPr="00E53765">
        <w:t>van Woesik R, Done TJ (1997) Coral communities and reef growth in the southern Great Barrier Reef. Coral Reefs 16:103-115</w:t>
      </w:r>
    </w:p>
    <w:p w14:paraId="11EA93B9" w14:textId="77777777" w:rsidR="009F400E" w:rsidRPr="00E53765" w:rsidRDefault="009F400E" w:rsidP="003708B0">
      <w:pPr>
        <w:ind w:hanging="284"/>
      </w:pPr>
      <w:r w:rsidRPr="00E53765">
        <w:t>van Woesik R, Tomascik T, Blake S (1999) Coral assemblages and physico-chemical characteristics of the Whitsunday Islands: evidence of recent community changes. Marine and Freshwater Research 50:427-440</w:t>
      </w:r>
    </w:p>
    <w:p w14:paraId="11EA93BA" w14:textId="369D0E9A" w:rsidR="005167C9" w:rsidRPr="00E53765" w:rsidRDefault="009F400E" w:rsidP="003708B0">
      <w:pPr>
        <w:ind w:hanging="284"/>
      </w:pPr>
      <w:r w:rsidRPr="00E53765">
        <w:t>Vega Thurber RL, Burkepile DE, Fuchs C, Shantz AA, McMinds R, Zaneveld JR (2013) Chronic nutrient enrichment increases prevalence and severity of coral disease and bleaching.</w:t>
      </w:r>
      <w:r w:rsidR="00E75F5C">
        <w:t xml:space="preserve"> </w:t>
      </w:r>
      <w:r w:rsidRPr="00E53765">
        <w:t>Glob</w:t>
      </w:r>
      <w:r w:rsidR="005167C9" w:rsidRPr="00E53765">
        <w:t>al</w:t>
      </w:r>
      <w:r w:rsidRPr="00E53765">
        <w:t xml:space="preserve"> Chang</w:t>
      </w:r>
      <w:r w:rsidR="005167C9" w:rsidRPr="00E53765">
        <w:t>e</w:t>
      </w:r>
      <w:r w:rsidRPr="00E53765">
        <w:t xml:space="preserve"> Biol</w:t>
      </w:r>
      <w:r w:rsidR="005167C9" w:rsidRPr="00E53765">
        <w:t>ogy</w:t>
      </w:r>
      <w:r w:rsidRPr="00E53765">
        <w:t xml:space="preserve"> 2014 Feb; 20(2):544-54</w:t>
      </w:r>
    </w:p>
    <w:p w14:paraId="11EA93BB" w14:textId="77777777" w:rsidR="009F400E" w:rsidRPr="00E53765" w:rsidRDefault="009F400E" w:rsidP="003708B0">
      <w:pPr>
        <w:ind w:hanging="284"/>
        <w:rPr>
          <w:lang w:val="en-AU"/>
        </w:rPr>
      </w:pPr>
      <w:r w:rsidRPr="00E53765">
        <w:rPr>
          <w:lang w:val="en-AU"/>
        </w:rPr>
        <w:t xml:space="preserve">Vega Thurber R, Burkepile DE, Correa AMS, Thurber AR, Shantz AA (2012) Macroalgae decrease growth and alter microbial community structure of the reef-building coral, </w:t>
      </w:r>
      <w:r w:rsidRPr="00E53765">
        <w:rPr>
          <w:i/>
          <w:lang w:val="en-AU"/>
        </w:rPr>
        <w:t>Porites astreoides</w:t>
      </w:r>
      <w:r w:rsidRPr="00E53765">
        <w:rPr>
          <w:lang w:val="en-AU"/>
        </w:rPr>
        <w:t>. PLoS ONE 7(9): e44246</w:t>
      </w:r>
    </w:p>
    <w:p w14:paraId="11EA93BC" w14:textId="77777777" w:rsidR="009F400E" w:rsidRPr="00E53765" w:rsidRDefault="009F400E" w:rsidP="003708B0">
      <w:pPr>
        <w:ind w:hanging="284"/>
      </w:pPr>
      <w:r w:rsidRPr="00E53765">
        <w:t>Voss JD, Richardson LL (2006) Nutrient enrichment enhances black band disease progression in corals. Coral Reefs 25:569-576</w:t>
      </w:r>
    </w:p>
    <w:p w14:paraId="11EA93BD" w14:textId="77777777" w:rsidR="009F400E" w:rsidRPr="00E53765" w:rsidRDefault="009F400E" w:rsidP="003708B0">
      <w:pPr>
        <w:ind w:hanging="284"/>
      </w:pPr>
      <w:r w:rsidRPr="00E53765">
        <w:t xml:space="preserve">Wallace R, Huggins R, Smith R, Turner R, Vardy S and Warne MStJ </w:t>
      </w:r>
      <w:r w:rsidR="00493E76" w:rsidRPr="00E53765">
        <w:t>(</w:t>
      </w:r>
      <w:r w:rsidRPr="00E53765">
        <w:t>2014</w:t>
      </w:r>
      <w:r w:rsidR="00493E76" w:rsidRPr="00E53765">
        <w:t>)</w:t>
      </w:r>
      <w:r w:rsidRPr="00E53765">
        <w:t xml:space="preserve"> Total suspended solids, nutrient and pesticide loads (2011–2012) for rivers that discharge to the Great Barrier Reef – Great Barrier Reef Catchment Loads Monitoring Program 2011–2012. Department of Science, Information Technology, In</w:t>
      </w:r>
      <w:r w:rsidR="002C56B6" w:rsidRPr="00E53765">
        <w:t>novation and the Arts. Brisbane</w:t>
      </w:r>
    </w:p>
    <w:p w14:paraId="11EA93BE" w14:textId="77777777" w:rsidR="009F400E" w:rsidRPr="00E53765" w:rsidRDefault="009F400E" w:rsidP="003708B0">
      <w:pPr>
        <w:ind w:hanging="284"/>
      </w:pPr>
      <w:r w:rsidRPr="00E53765">
        <w:t xml:space="preserve">Wallace R, Huggins R, Smith RA, Turner RDR, Garzon-Garcia A and Warne MS J </w:t>
      </w:r>
      <w:r w:rsidR="00493E76" w:rsidRPr="00E53765">
        <w:t>(</w:t>
      </w:r>
      <w:r w:rsidRPr="00E53765">
        <w:t>2015</w:t>
      </w:r>
      <w:r w:rsidR="00493E76" w:rsidRPr="00E53765">
        <w:t>)</w:t>
      </w:r>
      <w:r w:rsidRPr="00E53765">
        <w:t xml:space="preserve"> Total suspended solids, nutrient and pesticide loads (2012–2013) for rivers that discharge to the Great Barrier Reef – Great Barrier Reef Catchment Loads Monitoring Program 2012–2013. Department of Science, Information Tech</w:t>
      </w:r>
      <w:r w:rsidR="002C56B6" w:rsidRPr="00E53765">
        <w:t>nology and Innovation. Brisbane</w:t>
      </w:r>
    </w:p>
    <w:p w14:paraId="11EA93BF" w14:textId="77777777" w:rsidR="00342701" w:rsidRPr="00E53765" w:rsidRDefault="00342701" w:rsidP="003708B0">
      <w:pPr>
        <w:ind w:hanging="284"/>
      </w:pPr>
      <w:r>
        <w:rPr>
          <w:lang w:val="en-AU"/>
        </w:rPr>
        <w:t xml:space="preserve">Waterhouse J, </w:t>
      </w:r>
      <w:r w:rsidRPr="00F65073">
        <w:rPr>
          <w:lang w:val="en-AU"/>
        </w:rPr>
        <w:t>Lønborg C</w:t>
      </w:r>
      <w:r>
        <w:rPr>
          <w:lang w:val="en-AU"/>
        </w:rPr>
        <w:t xml:space="preserve">, </w:t>
      </w:r>
      <w:r w:rsidRPr="00F65073">
        <w:rPr>
          <w:lang w:val="en-AU"/>
        </w:rPr>
        <w:t xml:space="preserve">Brinkman R, Costello P, da Silva E, Davidson J, Gunn K, </w:t>
      </w:r>
      <w:r>
        <w:rPr>
          <w:lang w:val="en-AU"/>
        </w:rPr>
        <w:t xml:space="preserve">Lewis S, </w:t>
      </w:r>
      <w:r w:rsidRPr="00F65073">
        <w:rPr>
          <w:lang w:val="en-AU"/>
        </w:rPr>
        <w:t>Logan M, Petus C, Schaffelke B, Skuza M, Tonin H, Tracey D</w:t>
      </w:r>
      <w:r>
        <w:rPr>
          <w:lang w:val="en-AU"/>
        </w:rPr>
        <w:t>,</w:t>
      </w:r>
      <w:r w:rsidRPr="00F65073">
        <w:rPr>
          <w:lang w:val="en-AU"/>
        </w:rPr>
        <w:t xml:space="preserve"> </w:t>
      </w:r>
      <w:r>
        <w:rPr>
          <w:lang w:val="en-AU"/>
        </w:rPr>
        <w:t xml:space="preserve">Wright M and </w:t>
      </w:r>
      <w:r w:rsidRPr="00F65073">
        <w:rPr>
          <w:lang w:val="en-AU"/>
        </w:rPr>
        <w:t>Zagorskis I</w:t>
      </w:r>
      <w:r>
        <w:rPr>
          <w:lang w:val="en-AU"/>
        </w:rPr>
        <w:t xml:space="preserve"> (</w:t>
      </w:r>
      <w:r w:rsidRPr="00C51DE2">
        <w:rPr>
          <w:lang w:val="en-AU"/>
        </w:rPr>
        <w:t>201</w:t>
      </w:r>
      <w:r>
        <w:rPr>
          <w:lang w:val="en-AU"/>
        </w:rPr>
        <w:t>7</w:t>
      </w:r>
      <w:r w:rsidRPr="003A77F5">
        <w:rPr>
          <w:lang w:val="en-AU"/>
        </w:rPr>
        <w:t xml:space="preserve">) </w:t>
      </w:r>
      <w:r>
        <w:t>Marine Monitoring Program: Annual Report for i</w:t>
      </w:r>
      <w:r>
        <w:rPr>
          <w:color w:val="000000"/>
        </w:rPr>
        <w:t xml:space="preserve">nshore water quality monitoring, 2015-2016. Report </w:t>
      </w:r>
      <w:r>
        <w:t>for the Great Barrier Reef Marine Park Authority</w:t>
      </w:r>
      <w:r w:rsidRPr="00F65073">
        <w:rPr>
          <w:lang w:val="en-AU"/>
        </w:rPr>
        <w:t xml:space="preserve">. Australian Institute of Marine Science and JCU </w:t>
      </w:r>
      <w:r w:rsidRPr="00F65073">
        <w:rPr>
          <w:rFonts w:cs="Tahoma"/>
          <w:color w:val="000000"/>
          <w:lang w:val="en-AU" w:eastAsia="en-GB"/>
        </w:rPr>
        <w:t>TropWATER</w:t>
      </w:r>
      <w:r w:rsidRPr="00F65073">
        <w:rPr>
          <w:lang w:val="en-AU"/>
        </w:rPr>
        <w:t>, Townsville</w:t>
      </w:r>
    </w:p>
    <w:p w14:paraId="11EA93C0" w14:textId="77777777" w:rsidR="009F400E" w:rsidRDefault="00CD7A57" w:rsidP="003708B0">
      <w:pPr>
        <w:ind w:hanging="284"/>
        <w:rPr>
          <w:rFonts w:eastAsiaTheme="minorHAnsi"/>
          <w:lang w:val="en-AU"/>
        </w:rPr>
      </w:pPr>
      <w:r w:rsidRPr="00E53765">
        <w:rPr>
          <w:rFonts w:eastAsiaTheme="minorHAnsi"/>
          <w:lang w:val="en-AU"/>
        </w:rPr>
        <w:t xml:space="preserve"> </w:t>
      </w:r>
      <w:r w:rsidR="009F400E" w:rsidRPr="00E53765">
        <w:rPr>
          <w:rFonts w:eastAsiaTheme="minorHAnsi"/>
          <w:lang w:val="en-AU"/>
        </w:rPr>
        <w:t xml:space="preserve">Waters DK, Carroll C, Ellis R, Hateley L, McCloskey GL, Packett R, Dougall C, Fentie </w:t>
      </w:r>
      <w:r w:rsidR="0021071D" w:rsidRPr="00E53765">
        <w:rPr>
          <w:rFonts w:eastAsiaTheme="minorHAnsi"/>
          <w:lang w:val="en-AU"/>
        </w:rPr>
        <w:t xml:space="preserve">B </w:t>
      </w:r>
      <w:r w:rsidR="00493E76" w:rsidRPr="00E53765">
        <w:rPr>
          <w:rFonts w:eastAsiaTheme="minorHAnsi"/>
          <w:lang w:val="en-AU"/>
        </w:rPr>
        <w:t>(</w:t>
      </w:r>
      <w:r w:rsidR="009F400E" w:rsidRPr="00E53765">
        <w:rPr>
          <w:rFonts w:eastAsiaTheme="minorHAnsi"/>
          <w:lang w:val="en-AU"/>
        </w:rPr>
        <w:t>2014</w:t>
      </w:r>
      <w:r w:rsidR="00493E76" w:rsidRPr="00E53765">
        <w:rPr>
          <w:rFonts w:eastAsiaTheme="minorHAnsi"/>
          <w:lang w:val="en-AU"/>
        </w:rPr>
        <w:t>)</w:t>
      </w:r>
      <w:r w:rsidR="009F400E" w:rsidRPr="00E53765">
        <w:rPr>
          <w:rFonts w:eastAsiaTheme="minorHAnsi"/>
          <w:lang w:val="en-AU"/>
        </w:rPr>
        <w:t xml:space="preserve"> </w:t>
      </w:r>
      <w:r w:rsidR="009F400E" w:rsidRPr="00E53765">
        <w:rPr>
          <w:rFonts w:eastAsiaTheme="minorHAnsi"/>
          <w:i/>
          <w:iCs/>
          <w:lang w:val="en-AU"/>
        </w:rPr>
        <w:t>Modelling reductions of pollutant loads due to improved management practices in the Great Barrier Reef catchments – Whole of GBR, Technical Report, Volume 1</w:t>
      </w:r>
      <w:r w:rsidR="009F400E" w:rsidRPr="00E53765">
        <w:rPr>
          <w:rFonts w:eastAsiaTheme="minorHAnsi"/>
          <w:lang w:val="en-AU"/>
        </w:rPr>
        <w:t xml:space="preserve">, Queensland Department of Natural Resources and Mines, Toowoomba, Queensland (ISBN: 978-1-7423-0999) </w:t>
      </w:r>
    </w:p>
    <w:p w14:paraId="11EA93C1" w14:textId="77777777" w:rsidR="002F16A2" w:rsidRPr="00E53765" w:rsidRDefault="002F16A2" w:rsidP="003708B0">
      <w:pPr>
        <w:ind w:hanging="284"/>
        <w:rPr>
          <w:rFonts w:eastAsiaTheme="minorHAnsi"/>
          <w:lang w:val="en-AU"/>
        </w:rPr>
      </w:pPr>
      <w:r w:rsidRPr="00DB1AF0">
        <w:rPr>
          <w:rFonts w:eastAsiaTheme="minorHAnsi"/>
          <w:lang w:val="en-AU"/>
        </w:rPr>
        <w:t>Weber M, de Beer D, Lott C, Polerecky L, Kohls K, Abed RMM, Ferdelman TG, Fabricius KE (2012) Mechanisms of damage to corals exposed to sedimentation. Proceedings of the National Academy of Sciences 109(24):E1558-E1567</w:t>
      </w:r>
    </w:p>
    <w:p w14:paraId="11EA93C2" w14:textId="77777777" w:rsidR="009F400E" w:rsidRPr="00E53765" w:rsidRDefault="009F400E" w:rsidP="003708B0">
      <w:pPr>
        <w:ind w:hanging="284"/>
        <w:rPr>
          <w:rFonts w:eastAsiaTheme="minorHAnsi"/>
        </w:rPr>
      </w:pPr>
      <w:r w:rsidRPr="00E53765">
        <w:rPr>
          <w:rFonts w:eastAsiaTheme="minorHAnsi"/>
          <w:lang w:val="en-AU"/>
        </w:rPr>
        <w:t xml:space="preserve">Wiedenmann J, D'Angelo C, Smith EG, Hunt AN, Legiret FE, Postle AD, Achterberg EP (2013) </w:t>
      </w:r>
      <w:r w:rsidRPr="00E53765">
        <w:rPr>
          <w:rFonts w:eastAsiaTheme="minorHAnsi"/>
        </w:rPr>
        <w:t>Nutrient enrichment can increase the susceptibility of reef corals to bleaching. Nature Climate. Change 3:160-164</w:t>
      </w:r>
    </w:p>
    <w:p w14:paraId="11EA93C3" w14:textId="77777777" w:rsidR="009F400E" w:rsidRPr="00E53765" w:rsidRDefault="009F400E" w:rsidP="003708B0">
      <w:pPr>
        <w:ind w:hanging="284"/>
      </w:pPr>
      <w:r w:rsidRPr="00E53765">
        <w:t>Wismer S, Hoey AS, Bellwood DR (2009) Cross-shelf benthic community structure on the Great Barrier Reef: relationships between macroalgal cover and herbivore biomass. Marine Ecology Progress Series 376:45-54</w:t>
      </w:r>
    </w:p>
    <w:p w14:paraId="11EA93C4" w14:textId="77777777" w:rsidR="009F400E" w:rsidRPr="00E53765" w:rsidRDefault="009F400E" w:rsidP="00F93E8D">
      <w:pPr>
        <w:ind w:hanging="284"/>
        <w:rPr>
          <w:lang w:val="en-US"/>
        </w:rPr>
      </w:pPr>
      <w:r w:rsidRPr="00E53765">
        <w:rPr>
          <w:lang w:val="en-US"/>
        </w:rPr>
        <w:t>Wolanski E, Fabricius KE, Cooper TF, Humphrey C (2008) Wet season fine sediment dynamics on the inner shelf of the Great Barrier Reef. Estuarine, Coastal and Shelf Science 77:755-762</w:t>
      </w:r>
    </w:p>
    <w:p w14:paraId="11EA93C5" w14:textId="77777777" w:rsidR="009F400E" w:rsidRDefault="009F400E" w:rsidP="003708B0">
      <w:pPr>
        <w:ind w:hanging="284"/>
      </w:pPr>
      <w:r w:rsidRPr="00E53765">
        <w:t>Wood SN (2006) Generalized Additive Models: An Introduction with R. Chapman &amp; Hall/CRC</w:t>
      </w:r>
    </w:p>
    <w:p w14:paraId="11EA93C6" w14:textId="7BCC09DF" w:rsidR="00F93E8D" w:rsidRPr="00F93E8D" w:rsidRDefault="00DC1160" w:rsidP="00F93E8D">
      <w:pPr>
        <w:pStyle w:val="CommentText"/>
        <w:numPr>
          <w:ilvl w:val="0"/>
          <w:numId w:val="0"/>
        </w:numPr>
        <w:ind w:hanging="284"/>
        <w:rPr>
          <w:rFonts w:ascii="Arial" w:eastAsiaTheme="minorHAnsi" w:hAnsi="Arial" w:cs="Arial"/>
          <w:sz w:val="22"/>
          <w:szCs w:val="22"/>
        </w:rPr>
      </w:pPr>
      <w:r>
        <w:rPr>
          <w:rFonts w:ascii="Arial" w:eastAsiaTheme="minorHAnsi" w:hAnsi="Arial" w:cs="Arial"/>
          <w:sz w:val="22"/>
          <w:szCs w:val="22"/>
        </w:rPr>
        <w:t>Wooldridge</w:t>
      </w:r>
      <w:r w:rsidR="00F93E8D" w:rsidRPr="00F93E8D">
        <w:rPr>
          <w:rFonts w:ascii="Arial" w:eastAsiaTheme="minorHAnsi" w:hAnsi="Arial" w:cs="Arial"/>
          <w:sz w:val="22"/>
          <w:szCs w:val="22"/>
        </w:rPr>
        <w:t xml:space="preserve"> S</w:t>
      </w:r>
      <w:r>
        <w:rPr>
          <w:rFonts w:ascii="Arial" w:eastAsiaTheme="minorHAnsi" w:hAnsi="Arial" w:cs="Arial"/>
          <w:sz w:val="22"/>
          <w:szCs w:val="22"/>
        </w:rPr>
        <w:t>A</w:t>
      </w:r>
      <w:r w:rsidR="000350F4">
        <w:rPr>
          <w:rFonts w:ascii="Arial" w:eastAsiaTheme="minorHAnsi" w:hAnsi="Arial" w:cs="Arial"/>
          <w:sz w:val="22"/>
          <w:szCs w:val="22"/>
        </w:rPr>
        <w:t xml:space="preserve"> (2016)</w:t>
      </w:r>
      <w:r w:rsidR="00F93E8D" w:rsidRPr="00F93E8D">
        <w:rPr>
          <w:rFonts w:ascii="Arial" w:eastAsiaTheme="minorHAnsi" w:hAnsi="Arial" w:cs="Arial"/>
          <w:sz w:val="22"/>
          <w:szCs w:val="22"/>
        </w:rPr>
        <w:t xml:space="preserve"> Excess seawater nutrients, enlarged algal symbiont densities and bleaching sensitive reef locations: 1. Identifying thresholds of concern for the Great Barrier Reef, Austr</w:t>
      </w:r>
      <w:r>
        <w:rPr>
          <w:rFonts w:ascii="Arial" w:eastAsiaTheme="minorHAnsi" w:hAnsi="Arial" w:cs="Arial"/>
          <w:sz w:val="22"/>
          <w:szCs w:val="22"/>
        </w:rPr>
        <w:t>alia. Marine Pollution Bulletin</w:t>
      </w:r>
      <w:r w:rsidR="000350F4">
        <w:rPr>
          <w:rFonts w:ascii="Arial" w:eastAsiaTheme="minorHAnsi" w:hAnsi="Arial" w:cs="Arial"/>
          <w:sz w:val="22"/>
          <w:szCs w:val="22"/>
        </w:rPr>
        <w:t xml:space="preserve"> </w:t>
      </w:r>
      <w:hyperlink r:id="rId72" w:history="1">
        <w:r w:rsidR="000350F4" w:rsidRPr="000350F4">
          <w:rPr>
            <w:rStyle w:val="Hyperlink"/>
            <w:rFonts w:ascii="Arial" w:eastAsiaTheme="minorHAnsi" w:hAnsi="Arial" w:cs="Arial"/>
            <w:sz w:val="22"/>
            <w:szCs w:val="22"/>
          </w:rPr>
          <w:t>http://dx.doi.org/10.1016/j.marpolbul.2016.04.054</w:t>
        </w:r>
      </w:hyperlink>
    </w:p>
    <w:p w14:paraId="11EA93C7" w14:textId="77777777" w:rsidR="009F400E" w:rsidRPr="00E53765" w:rsidRDefault="009F400E" w:rsidP="003708B0">
      <w:pPr>
        <w:ind w:hanging="284"/>
        <w:rPr>
          <w:lang w:eastAsia="en-AU"/>
        </w:rPr>
      </w:pPr>
      <w:r w:rsidRPr="00E53765">
        <w:rPr>
          <w:lang w:eastAsia="en-AU"/>
        </w:rPr>
        <w:t>Wooldridge S, Done T (2004) Learning to predict large-scale coral bleaching from past events: A Bayesian approach using remotely sensed data, in-situ data, and environmental proxies. Coral Reefs 23:96–108</w:t>
      </w:r>
    </w:p>
    <w:p w14:paraId="11EA93C8" w14:textId="77777777" w:rsidR="00BD5570" w:rsidRPr="00E53765" w:rsidRDefault="00BD5570" w:rsidP="003708B0">
      <w:pPr>
        <w:ind w:hanging="284"/>
        <w:rPr>
          <w:lang w:eastAsia="en-AU"/>
        </w:rPr>
      </w:pPr>
      <w:r w:rsidRPr="00E53765">
        <w:rPr>
          <w:lang w:eastAsia="en-AU"/>
        </w:rPr>
        <w:t>Wooldridge S, Brodie JE (2015) Environmental triggers for primary outbreaks of crown-of-thorns starfish on the Great Barrier Reef, Australia</w:t>
      </w:r>
      <w:r w:rsidR="000B42CD" w:rsidRPr="00E53765">
        <w:rPr>
          <w:lang w:eastAsia="en-AU"/>
        </w:rPr>
        <w:t>. Marine Pollution Bulletin. http://dx.doi.org/10.1016/j.marpollbul.2015.08.049</w:t>
      </w:r>
    </w:p>
    <w:p w14:paraId="11EA93C9" w14:textId="77777777" w:rsidR="009E3F08" w:rsidRPr="00E53765" w:rsidRDefault="009E3F08" w:rsidP="003708B0">
      <w:pPr>
        <w:ind w:hanging="284"/>
      </w:pPr>
    </w:p>
    <w:p w14:paraId="11EA93CA" w14:textId="77777777" w:rsidR="007E5B6D" w:rsidRPr="00E53765" w:rsidRDefault="007E5B6D" w:rsidP="003708B0">
      <w:pPr>
        <w:ind w:hanging="284"/>
      </w:pPr>
      <w:r w:rsidRPr="00E53765">
        <w:br w:type="page"/>
      </w:r>
    </w:p>
    <w:bookmarkEnd w:id="337"/>
    <w:bookmarkEnd w:id="338"/>
    <w:p w14:paraId="11EA93CB" w14:textId="77777777" w:rsidR="006D709F" w:rsidRPr="00F439FB" w:rsidRDefault="006D709F">
      <w:pPr>
        <w:rPr>
          <w:b/>
          <w:color w:val="4F81BD" w:themeColor="accent1"/>
          <w:kern w:val="28"/>
          <w:sz w:val="36"/>
        </w:rPr>
      </w:pPr>
    </w:p>
    <w:p w14:paraId="11EA93CC" w14:textId="77777777" w:rsidR="009E3F08" w:rsidRPr="00F439FB" w:rsidRDefault="009E3F08" w:rsidP="009E3F08">
      <w:pPr>
        <w:spacing w:after="5280"/>
        <w:rPr>
          <w:b/>
          <w:color w:val="4F81BD" w:themeColor="accent1"/>
          <w:kern w:val="28"/>
          <w:sz w:val="36"/>
        </w:rPr>
      </w:pPr>
    </w:p>
    <w:p w14:paraId="11EA93CD" w14:textId="77777777" w:rsidR="008A1A24" w:rsidRDefault="008A1A24" w:rsidP="00B05739">
      <w:pPr>
        <w:pStyle w:val="Heading1"/>
      </w:pPr>
      <w:bookmarkStart w:id="339" w:name="_Toc374701392"/>
      <w:bookmarkStart w:id="340" w:name="_Toc437424461"/>
      <w:bookmarkStart w:id="341" w:name="_Toc437424585"/>
      <w:bookmarkStart w:id="342" w:name="_Toc437432514"/>
      <w:bookmarkStart w:id="343" w:name="_Toc437432587"/>
      <w:bookmarkStart w:id="344" w:name="_Toc493153360"/>
      <w:bookmarkEnd w:id="297"/>
      <w:r w:rsidRPr="00F439FB">
        <w:t xml:space="preserve">Appendix </w:t>
      </w:r>
      <w:r w:rsidR="000D268E" w:rsidRPr="00F439FB">
        <w:t>1</w:t>
      </w:r>
      <w:r w:rsidRPr="00F439FB">
        <w:t>: Additional Informatio</w:t>
      </w:r>
      <w:bookmarkEnd w:id="339"/>
      <w:bookmarkEnd w:id="340"/>
      <w:bookmarkEnd w:id="341"/>
      <w:bookmarkEnd w:id="342"/>
      <w:bookmarkEnd w:id="343"/>
      <w:r w:rsidR="0063376B" w:rsidRPr="00F439FB">
        <w:t>n</w:t>
      </w:r>
      <w:bookmarkEnd w:id="344"/>
    </w:p>
    <w:p w14:paraId="11EA93CE" w14:textId="77777777" w:rsidR="009F052E" w:rsidRDefault="009F052E" w:rsidP="006F0445"/>
    <w:p w14:paraId="11EA93CF" w14:textId="77777777" w:rsidR="006F0445" w:rsidRDefault="006F0445">
      <w:pPr>
        <w:jc w:val="left"/>
      </w:pPr>
      <w:r>
        <w:br w:type="page"/>
      </w:r>
    </w:p>
    <w:p w14:paraId="1880C652" w14:textId="4A53F8B0" w:rsidR="00E6123B" w:rsidRDefault="00583793" w:rsidP="00583793">
      <w:pPr>
        <w:pStyle w:val="Caption"/>
      </w:pPr>
      <w:bookmarkStart w:id="345" w:name="_Ref491159462"/>
      <w:bookmarkStart w:id="346" w:name="_Ref469727648"/>
      <w:bookmarkStart w:id="347" w:name="_Toc437424423"/>
      <w:bookmarkStart w:id="348" w:name="_Toc437424547"/>
      <w:bookmarkStart w:id="349" w:name="_Toc437432478"/>
      <w:bookmarkStart w:id="350" w:name="_Toc437432551"/>
      <w:bookmarkStart w:id="351" w:name="_Toc437598175"/>
      <w:bookmarkStart w:id="352" w:name="_Toc471373377"/>
      <w:r>
        <w:t xml:space="preserve">Table A1. </w:t>
      </w:r>
      <w:r>
        <w:fldChar w:fldCharType="begin"/>
      </w:r>
      <w:r>
        <w:instrText xml:space="preserve"> SEQ Table_A1. \* ARABIC </w:instrText>
      </w:r>
      <w:r>
        <w:fldChar w:fldCharType="separate"/>
      </w:r>
      <w:r w:rsidR="00D806F2">
        <w:rPr>
          <w:noProof/>
        </w:rPr>
        <w:t>1</w:t>
      </w:r>
      <w:r>
        <w:fldChar w:fldCharType="end"/>
      </w:r>
      <w:bookmarkEnd w:id="345"/>
      <w:r>
        <w:t xml:space="preserve"> </w:t>
      </w:r>
      <w:r w:rsidRPr="0037150C">
        <w:t>Thresholds for proportion of macroalgae in the algae communities</w:t>
      </w:r>
    </w:p>
    <w:tbl>
      <w:tblPr>
        <w:tblStyle w:val="TableGrid"/>
        <w:tblW w:w="0" w:type="auto"/>
        <w:tblInd w:w="108" w:type="dxa"/>
        <w:tblLook w:val="04A0" w:firstRow="1" w:lastRow="0" w:firstColumn="1" w:lastColumn="0" w:noHBand="0" w:noVBand="1"/>
      </w:tblPr>
      <w:tblGrid>
        <w:gridCol w:w="1486"/>
        <w:gridCol w:w="694"/>
        <w:gridCol w:w="694"/>
        <w:gridCol w:w="694"/>
        <w:gridCol w:w="701"/>
        <w:gridCol w:w="267"/>
        <w:gridCol w:w="1560"/>
        <w:gridCol w:w="708"/>
        <w:gridCol w:w="709"/>
        <w:gridCol w:w="709"/>
        <w:gridCol w:w="709"/>
      </w:tblGrid>
      <w:tr w:rsidR="00A175A4" w14:paraId="11EA93D8" w14:textId="77777777" w:rsidTr="005B6EC7">
        <w:trPr>
          <w:cantSplit/>
          <w:trHeight w:hRule="exact" w:val="284"/>
        </w:trPr>
        <w:tc>
          <w:tcPr>
            <w:tcW w:w="1486" w:type="dxa"/>
            <w:vMerge w:val="restart"/>
            <w:tcBorders>
              <w:top w:val="single" w:sz="4" w:space="0" w:color="auto"/>
              <w:left w:val="single" w:sz="4" w:space="0" w:color="auto"/>
              <w:bottom w:val="single" w:sz="4" w:space="0" w:color="auto"/>
              <w:right w:val="single" w:sz="4" w:space="0" w:color="auto"/>
            </w:tcBorders>
            <w:noWrap/>
            <w:vAlign w:val="center"/>
            <w:hideMark/>
          </w:tcPr>
          <w:bookmarkEnd w:id="346"/>
          <w:bookmarkEnd w:id="347"/>
          <w:bookmarkEnd w:id="348"/>
          <w:bookmarkEnd w:id="349"/>
          <w:bookmarkEnd w:id="350"/>
          <w:bookmarkEnd w:id="351"/>
          <w:bookmarkEnd w:id="352"/>
          <w:p w14:paraId="11EA93D1" w14:textId="77777777" w:rsidR="00A175A4" w:rsidRPr="00E53765" w:rsidRDefault="00A175A4" w:rsidP="00A175A4">
            <w:pPr>
              <w:jc w:val="center"/>
              <w:rPr>
                <w:rFonts w:ascii="Arial Narrow" w:hAnsi="Arial Narrow"/>
                <w:color w:val="000000"/>
                <w:lang w:eastAsia="zh-CN"/>
              </w:rPr>
            </w:pPr>
            <w:r w:rsidRPr="00E53765">
              <w:rPr>
                <w:rFonts w:ascii="Arial Narrow" w:hAnsi="Arial Narrow"/>
                <w:color w:val="000000"/>
              </w:rPr>
              <w:t>Reef</w:t>
            </w:r>
          </w:p>
        </w:tc>
        <w:tc>
          <w:tcPr>
            <w:tcW w:w="1388" w:type="dxa"/>
            <w:gridSpan w:val="2"/>
            <w:tcBorders>
              <w:top w:val="single" w:sz="4" w:space="0" w:color="auto"/>
              <w:left w:val="single" w:sz="4" w:space="0" w:color="auto"/>
              <w:bottom w:val="single" w:sz="4" w:space="0" w:color="auto"/>
              <w:right w:val="single" w:sz="4" w:space="0" w:color="auto"/>
            </w:tcBorders>
            <w:noWrap/>
            <w:vAlign w:val="center"/>
            <w:hideMark/>
          </w:tcPr>
          <w:p w14:paraId="11EA93D2" w14:textId="5D035C6E" w:rsidR="00A175A4" w:rsidRPr="00E53765" w:rsidRDefault="00AA72A3" w:rsidP="00A175A4">
            <w:pPr>
              <w:jc w:val="center"/>
              <w:rPr>
                <w:rFonts w:ascii="Arial Narrow" w:hAnsi="Arial Narrow"/>
                <w:color w:val="000000"/>
                <w:lang w:eastAsia="zh-CN"/>
              </w:rPr>
            </w:pPr>
            <w:r>
              <w:rPr>
                <w:rFonts w:ascii="Arial Narrow" w:hAnsi="Arial Narrow"/>
                <w:color w:val="000000"/>
              </w:rPr>
              <w:t>2 m</w:t>
            </w:r>
            <w:r w:rsidR="00A175A4" w:rsidRPr="00E53765">
              <w:rPr>
                <w:rFonts w:ascii="Arial Narrow" w:hAnsi="Arial Narrow"/>
                <w:color w:val="000000"/>
              </w:rPr>
              <w:t xml:space="preserve"> Depth</w:t>
            </w:r>
          </w:p>
        </w:tc>
        <w:tc>
          <w:tcPr>
            <w:tcW w:w="1395" w:type="dxa"/>
            <w:gridSpan w:val="2"/>
            <w:tcBorders>
              <w:top w:val="single" w:sz="4" w:space="0" w:color="auto"/>
              <w:left w:val="single" w:sz="4" w:space="0" w:color="auto"/>
              <w:bottom w:val="single" w:sz="4" w:space="0" w:color="auto"/>
              <w:right w:val="single" w:sz="4" w:space="0" w:color="auto"/>
            </w:tcBorders>
            <w:noWrap/>
            <w:vAlign w:val="center"/>
            <w:hideMark/>
          </w:tcPr>
          <w:p w14:paraId="11EA93D3" w14:textId="14BC8F9D" w:rsidR="00A175A4" w:rsidRPr="00E53765" w:rsidRDefault="00AA72A3" w:rsidP="00A175A4">
            <w:pPr>
              <w:jc w:val="center"/>
              <w:rPr>
                <w:rFonts w:ascii="Arial Narrow" w:hAnsi="Arial Narrow"/>
                <w:color w:val="000000"/>
                <w:lang w:eastAsia="zh-CN"/>
              </w:rPr>
            </w:pPr>
            <w:r>
              <w:rPr>
                <w:rFonts w:ascii="Arial Narrow" w:hAnsi="Arial Narrow"/>
                <w:color w:val="000000"/>
              </w:rPr>
              <w:t>5 m</w:t>
            </w:r>
            <w:r w:rsidR="00A175A4" w:rsidRPr="00E53765">
              <w:rPr>
                <w:rFonts w:ascii="Arial Narrow" w:hAnsi="Arial Narrow"/>
                <w:color w:val="000000"/>
              </w:rPr>
              <w:t xml:space="preserve"> Depth</w:t>
            </w:r>
          </w:p>
        </w:tc>
        <w:tc>
          <w:tcPr>
            <w:tcW w:w="267" w:type="dxa"/>
            <w:tcBorders>
              <w:top w:val="single" w:sz="4" w:space="0" w:color="auto"/>
              <w:left w:val="single" w:sz="4" w:space="0" w:color="auto"/>
              <w:bottom w:val="nil"/>
              <w:right w:val="single" w:sz="4" w:space="0" w:color="auto"/>
            </w:tcBorders>
            <w:noWrap/>
            <w:vAlign w:val="center"/>
          </w:tcPr>
          <w:p w14:paraId="11EA93D4" w14:textId="77777777" w:rsidR="00A175A4" w:rsidRPr="00E53765" w:rsidRDefault="00A175A4" w:rsidP="00A175A4">
            <w:pPr>
              <w:jc w:val="center"/>
              <w:rPr>
                <w:rFonts w:ascii="Arial Narrow" w:hAnsi="Arial Narrow"/>
                <w:color w:val="000000"/>
                <w:lang w:eastAsia="zh-CN"/>
              </w:rPr>
            </w:pPr>
          </w:p>
        </w:tc>
        <w:tc>
          <w:tcPr>
            <w:tcW w:w="1560" w:type="dxa"/>
            <w:vMerge w:val="restart"/>
            <w:tcBorders>
              <w:top w:val="single" w:sz="4" w:space="0" w:color="auto"/>
              <w:left w:val="single" w:sz="4" w:space="0" w:color="auto"/>
              <w:bottom w:val="single" w:sz="4" w:space="0" w:color="auto"/>
              <w:right w:val="single" w:sz="4" w:space="0" w:color="auto"/>
            </w:tcBorders>
            <w:noWrap/>
            <w:vAlign w:val="center"/>
            <w:hideMark/>
          </w:tcPr>
          <w:p w14:paraId="11EA93D5" w14:textId="77777777" w:rsidR="00A175A4" w:rsidRPr="00E53765" w:rsidRDefault="00A175A4" w:rsidP="00A175A4">
            <w:pPr>
              <w:jc w:val="center"/>
              <w:rPr>
                <w:rFonts w:ascii="Arial Narrow" w:hAnsi="Arial Narrow"/>
                <w:color w:val="000000"/>
                <w:lang w:eastAsia="zh-CN"/>
              </w:rPr>
            </w:pPr>
            <w:r w:rsidRPr="00E53765">
              <w:rPr>
                <w:rFonts w:ascii="Arial Narrow" w:hAnsi="Arial Narrow"/>
                <w:color w:val="000000"/>
              </w:rPr>
              <w:t>Reef</w:t>
            </w:r>
          </w:p>
        </w:tc>
        <w:tc>
          <w:tcPr>
            <w:tcW w:w="1417" w:type="dxa"/>
            <w:gridSpan w:val="2"/>
            <w:tcBorders>
              <w:top w:val="single" w:sz="4" w:space="0" w:color="auto"/>
              <w:left w:val="single" w:sz="4" w:space="0" w:color="auto"/>
              <w:bottom w:val="single" w:sz="4" w:space="0" w:color="auto"/>
              <w:right w:val="single" w:sz="4" w:space="0" w:color="auto"/>
            </w:tcBorders>
            <w:noWrap/>
            <w:vAlign w:val="center"/>
            <w:hideMark/>
          </w:tcPr>
          <w:p w14:paraId="11EA93D6" w14:textId="7A7E7369" w:rsidR="00A175A4" w:rsidRPr="00E53765" w:rsidRDefault="00AA72A3" w:rsidP="00A175A4">
            <w:pPr>
              <w:jc w:val="center"/>
              <w:rPr>
                <w:rFonts w:ascii="Arial Narrow" w:hAnsi="Arial Narrow"/>
                <w:color w:val="000000"/>
                <w:lang w:eastAsia="zh-CN"/>
              </w:rPr>
            </w:pPr>
            <w:r>
              <w:rPr>
                <w:rFonts w:ascii="Arial Narrow" w:hAnsi="Arial Narrow"/>
                <w:color w:val="000000"/>
              </w:rPr>
              <w:t>2 m</w:t>
            </w:r>
            <w:r w:rsidR="00A175A4" w:rsidRPr="00E53765">
              <w:rPr>
                <w:rFonts w:ascii="Arial Narrow" w:hAnsi="Arial Narrow"/>
                <w:color w:val="000000"/>
              </w:rPr>
              <w:t xml:space="preserve"> Depth</w:t>
            </w:r>
          </w:p>
        </w:tc>
        <w:tc>
          <w:tcPr>
            <w:tcW w:w="1418" w:type="dxa"/>
            <w:gridSpan w:val="2"/>
            <w:tcBorders>
              <w:top w:val="single" w:sz="4" w:space="0" w:color="auto"/>
              <w:left w:val="single" w:sz="4" w:space="0" w:color="auto"/>
              <w:bottom w:val="single" w:sz="4" w:space="0" w:color="auto"/>
              <w:right w:val="single" w:sz="4" w:space="0" w:color="auto"/>
            </w:tcBorders>
            <w:noWrap/>
            <w:vAlign w:val="center"/>
            <w:hideMark/>
          </w:tcPr>
          <w:p w14:paraId="11EA93D7" w14:textId="0642AF3D" w:rsidR="00A175A4" w:rsidRPr="00E53765" w:rsidRDefault="00AA72A3" w:rsidP="00A175A4">
            <w:pPr>
              <w:jc w:val="center"/>
              <w:rPr>
                <w:rFonts w:ascii="Arial Narrow" w:hAnsi="Arial Narrow"/>
                <w:color w:val="000000"/>
                <w:lang w:eastAsia="zh-CN"/>
              </w:rPr>
            </w:pPr>
            <w:r>
              <w:rPr>
                <w:rFonts w:ascii="Arial Narrow" w:hAnsi="Arial Narrow"/>
                <w:color w:val="000000"/>
              </w:rPr>
              <w:t>5 m</w:t>
            </w:r>
            <w:r w:rsidR="00A175A4" w:rsidRPr="00E53765">
              <w:rPr>
                <w:rFonts w:ascii="Arial Narrow" w:hAnsi="Arial Narrow"/>
                <w:color w:val="000000"/>
              </w:rPr>
              <w:t xml:space="preserve"> Depth</w:t>
            </w:r>
          </w:p>
        </w:tc>
      </w:tr>
      <w:tr w:rsidR="00A175A4" w14:paraId="11EA93E4" w14:textId="77777777" w:rsidTr="005B6EC7">
        <w:trPr>
          <w:cantSplit/>
          <w:trHeight w:hRule="exact" w:val="851"/>
        </w:trPr>
        <w:tc>
          <w:tcPr>
            <w:tcW w:w="1486" w:type="dxa"/>
            <w:vMerge/>
            <w:tcBorders>
              <w:top w:val="single" w:sz="4" w:space="0" w:color="auto"/>
              <w:left w:val="single" w:sz="4" w:space="0" w:color="auto"/>
              <w:bottom w:val="single" w:sz="4" w:space="0" w:color="auto"/>
              <w:right w:val="single" w:sz="4" w:space="0" w:color="auto"/>
            </w:tcBorders>
            <w:vAlign w:val="center"/>
            <w:hideMark/>
          </w:tcPr>
          <w:p w14:paraId="11EA93D9" w14:textId="77777777" w:rsidR="00A175A4" w:rsidRPr="00E53765" w:rsidRDefault="00A175A4" w:rsidP="00A175A4">
            <w:pPr>
              <w:rPr>
                <w:rFonts w:ascii="Arial Narrow" w:eastAsia="SimSun" w:hAnsi="Arial Narrow"/>
                <w:color w:val="000000"/>
                <w:lang w:val="en-US" w:eastAsia="zh-CN"/>
              </w:rPr>
            </w:pPr>
          </w:p>
        </w:tc>
        <w:tc>
          <w:tcPr>
            <w:tcW w:w="694" w:type="dxa"/>
            <w:tcBorders>
              <w:top w:val="single" w:sz="4" w:space="0" w:color="auto"/>
              <w:left w:val="single" w:sz="4" w:space="0" w:color="auto"/>
              <w:bottom w:val="single" w:sz="4" w:space="0" w:color="auto"/>
              <w:right w:val="single" w:sz="4" w:space="0" w:color="auto"/>
            </w:tcBorders>
            <w:noWrap/>
            <w:textDirection w:val="btLr"/>
            <w:hideMark/>
          </w:tcPr>
          <w:p w14:paraId="11EA93DA" w14:textId="77777777" w:rsidR="00A175A4" w:rsidRPr="00E53765" w:rsidRDefault="00A175A4" w:rsidP="00A175A4">
            <w:pPr>
              <w:ind w:left="113" w:right="113"/>
              <w:rPr>
                <w:rFonts w:ascii="Arial Narrow" w:hAnsi="Arial Narrow"/>
                <w:color w:val="000000"/>
                <w:lang w:eastAsia="zh-CN"/>
              </w:rPr>
            </w:pPr>
            <w:r w:rsidRPr="00E53765">
              <w:rPr>
                <w:rFonts w:ascii="Arial Narrow" w:hAnsi="Arial Narrow"/>
                <w:color w:val="000000"/>
              </w:rPr>
              <w:t>Upper</w:t>
            </w:r>
          </w:p>
        </w:tc>
        <w:tc>
          <w:tcPr>
            <w:tcW w:w="694" w:type="dxa"/>
            <w:tcBorders>
              <w:top w:val="single" w:sz="4" w:space="0" w:color="auto"/>
              <w:left w:val="single" w:sz="4" w:space="0" w:color="auto"/>
              <w:bottom w:val="single" w:sz="4" w:space="0" w:color="auto"/>
              <w:right w:val="single" w:sz="4" w:space="0" w:color="auto"/>
            </w:tcBorders>
            <w:noWrap/>
            <w:textDirection w:val="btLr"/>
            <w:hideMark/>
          </w:tcPr>
          <w:p w14:paraId="11EA93DB" w14:textId="77777777" w:rsidR="00A175A4" w:rsidRPr="00E53765" w:rsidRDefault="00A175A4" w:rsidP="00A175A4">
            <w:pPr>
              <w:ind w:left="113" w:right="113"/>
              <w:rPr>
                <w:rFonts w:ascii="Arial Narrow" w:hAnsi="Arial Narrow"/>
                <w:color w:val="000000"/>
                <w:lang w:eastAsia="zh-CN"/>
              </w:rPr>
            </w:pPr>
            <w:r w:rsidRPr="00E53765">
              <w:rPr>
                <w:rFonts w:ascii="Arial Narrow" w:hAnsi="Arial Narrow"/>
                <w:color w:val="000000"/>
              </w:rPr>
              <w:t>Lower</w:t>
            </w:r>
          </w:p>
        </w:tc>
        <w:tc>
          <w:tcPr>
            <w:tcW w:w="694" w:type="dxa"/>
            <w:tcBorders>
              <w:top w:val="single" w:sz="4" w:space="0" w:color="auto"/>
              <w:left w:val="single" w:sz="4" w:space="0" w:color="auto"/>
              <w:bottom w:val="single" w:sz="4" w:space="0" w:color="auto"/>
              <w:right w:val="single" w:sz="4" w:space="0" w:color="auto"/>
            </w:tcBorders>
            <w:noWrap/>
            <w:textDirection w:val="btLr"/>
            <w:hideMark/>
          </w:tcPr>
          <w:p w14:paraId="11EA93DC" w14:textId="77777777" w:rsidR="00A175A4" w:rsidRPr="00E53765" w:rsidRDefault="00A175A4" w:rsidP="00A175A4">
            <w:pPr>
              <w:ind w:left="113" w:right="113"/>
              <w:rPr>
                <w:rFonts w:ascii="Arial Narrow" w:hAnsi="Arial Narrow"/>
                <w:color w:val="000000"/>
                <w:lang w:eastAsia="zh-CN"/>
              </w:rPr>
            </w:pPr>
            <w:r w:rsidRPr="00E53765">
              <w:rPr>
                <w:rFonts w:ascii="Arial Narrow" w:hAnsi="Arial Narrow"/>
                <w:color w:val="000000"/>
              </w:rPr>
              <w:t>Upper</w:t>
            </w:r>
          </w:p>
        </w:tc>
        <w:tc>
          <w:tcPr>
            <w:tcW w:w="701" w:type="dxa"/>
            <w:tcBorders>
              <w:top w:val="single" w:sz="4" w:space="0" w:color="auto"/>
              <w:left w:val="single" w:sz="4" w:space="0" w:color="auto"/>
              <w:bottom w:val="single" w:sz="4" w:space="0" w:color="auto"/>
              <w:right w:val="single" w:sz="4" w:space="0" w:color="auto"/>
            </w:tcBorders>
            <w:noWrap/>
            <w:textDirection w:val="btLr"/>
            <w:hideMark/>
          </w:tcPr>
          <w:p w14:paraId="11EA93DD" w14:textId="77777777" w:rsidR="00A175A4" w:rsidRPr="00E53765" w:rsidRDefault="00A175A4" w:rsidP="00A175A4">
            <w:pPr>
              <w:ind w:left="113" w:right="113"/>
              <w:rPr>
                <w:rFonts w:ascii="Arial Narrow" w:hAnsi="Arial Narrow"/>
                <w:color w:val="000000"/>
                <w:lang w:eastAsia="zh-CN"/>
              </w:rPr>
            </w:pPr>
            <w:r w:rsidRPr="00E53765">
              <w:rPr>
                <w:rFonts w:ascii="Arial Narrow" w:hAnsi="Arial Narrow"/>
                <w:color w:val="000000"/>
              </w:rPr>
              <w:t>Lower</w:t>
            </w:r>
          </w:p>
        </w:tc>
        <w:tc>
          <w:tcPr>
            <w:tcW w:w="267" w:type="dxa"/>
            <w:tcBorders>
              <w:top w:val="nil"/>
              <w:left w:val="single" w:sz="4" w:space="0" w:color="auto"/>
              <w:bottom w:val="nil"/>
              <w:right w:val="single" w:sz="4" w:space="0" w:color="auto"/>
            </w:tcBorders>
            <w:noWrap/>
            <w:hideMark/>
          </w:tcPr>
          <w:p w14:paraId="11EA93DE" w14:textId="77777777" w:rsidR="00A175A4" w:rsidRPr="00E53765" w:rsidRDefault="00A175A4" w:rsidP="00A175A4">
            <w:pPr>
              <w:rPr>
                <w:rFonts w:ascii="Arial Narrow" w:hAnsi="Arial Narrow"/>
                <w:lang w:eastAsia="zh-CN"/>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14:paraId="11EA93DF" w14:textId="77777777" w:rsidR="00A175A4" w:rsidRPr="00E53765" w:rsidRDefault="00A175A4" w:rsidP="00A175A4">
            <w:pPr>
              <w:rPr>
                <w:rFonts w:ascii="Arial Narrow" w:eastAsia="SimSun" w:hAnsi="Arial Narrow"/>
                <w:color w:val="000000"/>
                <w:lang w:val="en-US" w:eastAsia="zh-CN"/>
              </w:rPr>
            </w:pPr>
          </w:p>
        </w:tc>
        <w:tc>
          <w:tcPr>
            <w:tcW w:w="708" w:type="dxa"/>
            <w:tcBorders>
              <w:top w:val="single" w:sz="4" w:space="0" w:color="auto"/>
              <w:left w:val="single" w:sz="4" w:space="0" w:color="auto"/>
              <w:bottom w:val="single" w:sz="4" w:space="0" w:color="auto"/>
              <w:right w:val="single" w:sz="4" w:space="0" w:color="auto"/>
            </w:tcBorders>
            <w:noWrap/>
            <w:textDirection w:val="btLr"/>
            <w:hideMark/>
          </w:tcPr>
          <w:p w14:paraId="11EA93E0" w14:textId="77777777" w:rsidR="00A175A4" w:rsidRPr="00E53765" w:rsidRDefault="00A175A4" w:rsidP="00A175A4">
            <w:pPr>
              <w:ind w:left="113" w:right="113"/>
              <w:rPr>
                <w:rFonts w:ascii="Arial Narrow" w:hAnsi="Arial Narrow"/>
                <w:color w:val="000000"/>
                <w:lang w:eastAsia="zh-CN"/>
              </w:rPr>
            </w:pPr>
            <w:r w:rsidRPr="00E53765">
              <w:rPr>
                <w:rFonts w:ascii="Arial Narrow" w:hAnsi="Arial Narrow"/>
                <w:color w:val="000000"/>
              </w:rPr>
              <w:t>Upper</w:t>
            </w:r>
          </w:p>
        </w:tc>
        <w:tc>
          <w:tcPr>
            <w:tcW w:w="709" w:type="dxa"/>
            <w:tcBorders>
              <w:top w:val="single" w:sz="4" w:space="0" w:color="auto"/>
              <w:left w:val="single" w:sz="4" w:space="0" w:color="auto"/>
              <w:bottom w:val="single" w:sz="4" w:space="0" w:color="auto"/>
              <w:right w:val="single" w:sz="4" w:space="0" w:color="auto"/>
            </w:tcBorders>
            <w:noWrap/>
            <w:textDirection w:val="btLr"/>
            <w:hideMark/>
          </w:tcPr>
          <w:p w14:paraId="11EA93E1" w14:textId="77777777" w:rsidR="00A175A4" w:rsidRPr="00E53765" w:rsidRDefault="00A175A4" w:rsidP="00A175A4">
            <w:pPr>
              <w:ind w:left="113" w:right="113"/>
              <w:rPr>
                <w:rFonts w:ascii="Arial Narrow" w:hAnsi="Arial Narrow"/>
                <w:color w:val="000000"/>
                <w:lang w:eastAsia="zh-CN"/>
              </w:rPr>
            </w:pPr>
            <w:r w:rsidRPr="00E53765">
              <w:rPr>
                <w:rFonts w:ascii="Arial Narrow" w:hAnsi="Arial Narrow"/>
                <w:color w:val="000000"/>
              </w:rPr>
              <w:t>Lower</w:t>
            </w:r>
          </w:p>
        </w:tc>
        <w:tc>
          <w:tcPr>
            <w:tcW w:w="709" w:type="dxa"/>
            <w:tcBorders>
              <w:top w:val="single" w:sz="4" w:space="0" w:color="auto"/>
              <w:left w:val="single" w:sz="4" w:space="0" w:color="auto"/>
              <w:bottom w:val="single" w:sz="4" w:space="0" w:color="auto"/>
              <w:right w:val="single" w:sz="4" w:space="0" w:color="auto"/>
            </w:tcBorders>
            <w:noWrap/>
            <w:textDirection w:val="btLr"/>
            <w:hideMark/>
          </w:tcPr>
          <w:p w14:paraId="11EA93E2" w14:textId="77777777" w:rsidR="00A175A4" w:rsidRPr="00E53765" w:rsidRDefault="00A175A4" w:rsidP="00A175A4">
            <w:pPr>
              <w:ind w:left="113" w:right="113"/>
              <w:rPr>
                <w:rFonts w:ascii="Arial Narrow" w:hAnsi="Arial Narrow"/>
                <w:color w:val="000000"/>
                <w:lang w:eastAsia="zh-CN"/>
              </w:rPr>
            </w:pPr>
            <w:r w:rsidRPr="00E53765">
              <w:rPr>
                <w:rFonts w:ascii="Arial Narrow" w:hAnsi="Arial Narrow"/>
                <w:color w:val="000000"/>
              </w:rPr>
              <w:t>Upper</w:t>
            </w:r>
          </w:p>
        </w:tc>
        <w:tc>
          <w:tcPr>
            <w:tcW w:w="709" w:type="dxa"/>
            <w:tcBorders>
              <w:top w:val="single" w:sz="4" w:space="0" w:color="auto"/>
              <w:left w:val="single" w:sz="4" w:space="0" w:color="auto"/>
              <w:bottom w:val="single" w:sz="4" w:space="0" w:color="auto"/>
              <w:right w:val="single" w:sz="4" w:space="0" w:color="auto"/>
            </w:tcBorders>
            <w:noWrap/>
            <w:textDirection w:val="btLr"/>
            <w:hideMark/>
          </w:tcPr>
          <w:p w14:paraId="11EA93E3" w14:textId="77777777" w:rsidR="00A175A4" w:rsidRPr="00E53765" w:rsidRDefault="00A175A4" w:rsidP="00A175A4">
            <w:pPr>
              <w:ind w:left="113" w:right="113"/>
              <w:rPr>
                <w:rFonts w:ascii="Arial Narrow" w:hAnsi="Arial Narrow"/>
                <w:color w:val="000000"/>
                <w:lang w:eastAsia="zh-CN"/>
              </w:rPr>
            </w:pPr>
            <w:r w:rsidRPr="00E53765">
              <w:rPr>
                <w:rFonts w:ascii="Arial Narrow" w:hAnsi="Arial Narrow"/>
                <w:color w:val="000000"/>
              </w:rPr>
              <w:t>Lower</w:t>
            </w:r>
          </w:p>
        </w:tc>
      </w:tr>
      <w:tr w:rsidR="00A175A4" w14:paraId="11EA93F0" w14:textId="77777777" w:rsidTr="005B6EC7">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3E5"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Barnards</w:t>
            </w:r>
          </w:p>
        </w:tc>
        <w:tc>
          <w:tcPr>
            <w:tcW w:w="694" w:type="dxa"/>
            <w:tcBorders>
              <w:top w:val="single" w:sz="4" w:space="0" w:color="auto"/>
              <w:left w:val="single" w:sz="4" w:space="0" w:color="auto"/>
              <w:bottom w:val="single" w:sz="4" w:space="0" w:color="auto"/>
              <w:right w:val="single" w:sz="4" w:space="0" w:color="auto"/>
            </w:tcBorders>
            <w:noWrap/>
            <w:hideMark/>
          </w:tcPr>
          <w:p w14:paraId="11EA93E6"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23</w:t>
            </w:r>
          </w:p>
        </w:tc>
        <w:tc>
          <w:tcPr>
            <w:tcW w:w="694" w:type="dxa"/>
            <w:tcBorders>
              <w:top w:val="single" w:sz="4" w:space="0" w:color="auto"/>
              <w:left w:val="single" w:sz="4" w:space="0" w:color="auto"/>
              <w:bottom w:val="single" w:sz="4" w:space="0" w:color="auto"/>
              <w:right w:val="single" w:sz="4" w:space="0" w:color="auto"/>
            </w:tcBorders>
            <w:noWrap/>
            <w:hideMark/>
          </w:tcPr>
          <w:p w14:paraId="11EA93E7"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4.8</w:t>
            </w:r>
          </w:p>
        </w:tc>
        <w:tc>
          <w:tcPr>
            <w:tcW w:w="694" w:type="dxa"/>
            <w:tcBorders>
              <w:top w:val="single" w:sz="4" w:space="0" w:color="auto"/>
              <w:left w:val="single" w:sz="4" w:space="0" w:color="auto"/>
              <w:bottom w:val="single" w:sz="4" w:space="0" w:color="auto"/>
              <w:right w:val="single" w:sz="4" w:space="0" w:color="auto"/>
            </w:tcBorders>
            <w:noWrap/>
            <w:hideMark/>
          </w:tcPr>
          <w:p w14:paraId="11EA93E8"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20.8</w:t>
            </w:r>
          </w:p>
        </w:tc>
        <w:tc>
          <w:tcPr>
            <w:tcW w:w="701" w:type="dxa"/>
            <w:tcBorders>
              <w:top w:val="single" w:sz="4" w:space="0" w:color="auto"/>
              <w:left w:val="single" w:sz="4" w:space="0" w:color="auto"/>
              <w:bottom w:val="single" w:sz="4" w:space="0" w:color="auto"/>
              <w:right w:val="single" w:sz="4" w:space="0" w:color="auto"/>
            </w:tcBorders>
            <w:noWrap/>
            <w:hideMark/>
          </w:tcPr>
          <w:p w14:paraId="11EA93E9"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1.7</w:t>
            </w:r>
          </w:p>
        </w:tc>
        <w:tc>
          <w:tcPr>
            <w:tcW w:w="267" w:type="dxa"/>
            <w:tcBorders>
              <w:top w:val="nil"/>
              <w:left w:val="single" w:sz="4" w:space="0" w:color="auto"/>
              <w:bottom w:val="nil"/>
              <w:right w:val="single" w:sz="4" w:space="0" w:color="auto"/>
            </w:tcBorders>
            <w:noWrap/>
            <w:hideMark/>
          </w:tcPr>
          <w:p w14:paraId="11EA93EA" w14:textId="77777777" w:rsidR="00A175A4" w:rsidRPr="00E53765" w:rsidRDefault="00A175A4" w:rsidP="00A175A4">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hideMark/>
          </w:tcPr>
          <w:p w14:paraId="11EA93EB"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Keppels South</w:t>
            </w:r>
          </w:p>
        </w:tc>
        <w:tc>
          <w:tcPr>
            <w:tcW w:w="708" w:type="dxa"/>
            <w:tcBorders>
              <w:top w:val="single" w:sz="4" w:space="0" w:color="auto"/>
              <w:left w:val="single" w:sz="4" w:space="0" w:color="auto"/>
              <w:bottom w:val="single" w:sz="4" w:space="0" w:color="auto"/>
              <w:right w:val="single" w:sz="4" w:space="0" w:color="auto"/>
            </w:tcBorders>
            <w:noWrap/>
            <w:hideMark/>
          </w:tcPr>
          <w:p w14:paraId="11EA93EC"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23</w:t>
            </w:r>
          </w:p>
        </w:tc>
        <w:tc>
          <w:tcPr>
            <w:tcW w:w="709" w:type="dxa"/>
            <w:tcBorders>
              <w:top w:val="single" w:sz="4" w:space="0" w:color="auto"/>
              <w:left w:val="single" w:sz="4" w:space="0" w:color="auto"/>
              <w:bottom w:val="single" w:sz="4" w:space="0" w:color="auto"/>
              <w:right w:val="single" w:sz="4" w:space="0" w:color="auto"/>
            </w:tcBorders>
            <w:noWrap/>
            <w:hideMark/>
          </w:tcPr>
          <w:p w14:paraId="11EA93ED"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3.9</w:t>
            </w:r>
          </w:p>
        </w:tc>
        <w:tc>
          <w:tcPr>
            <w:tcW w:w="709" w:type="dxa"/>
            <w:tcBorders>
              <w:top w:val="single" w:sz="4" w:space="0" w:color="auto"/>
              <w:left w:val="single" w:sz="4" w:space="0" w:color="auto"/>
              <w:bottom w:val="single" w:sz="4" w:space="0" w:color="auto"/>
              <w:right w:val="single" w:sz="4" w:space="0" w:color="auto"/>
            </w:tcBorders>
            <w:noWrap/>
            <w:hideMark/>
          </w:tcPr>
          <w:p w14:paraId="11EA93EE"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24</w:t>
            </w:r>
          </w:p>
        </w:tc>
        <w:tc>
          <w:tcPr>
            <w:tcW w:w="709" w:type="dxa"/>
            <w:tcBorders>
              <w:top w:val="single" w:sz="4" w:space="0" w:color="auto"/>
              <w:left w:val="single" w:sz="4" w:space="0" w:color="auto"/>
              <w:bottom w:val="single" w:sz="4" w:space="0" w:color="auto"/>
              <w:right w:val="single" w:sz="4" w:space="0" w:color="auto"/>
            </w:tcBorders>
            <w:noWrap/>
            <w:hideMark/>
          </w:tcPr>
          <w:p w14:paraId="11EA93EF"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1.7</w:t>
            </w:r>
          </w:p>
        </w:tc>
      </w:tr>
      <w:tr w:rsidR="00A175A4" w14:paraId="11EA93FC" w14:textId="77777777" w:rsidTr="005B6EC7">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3F1"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Barren</w:t>
            </w:r>
          </w:p>
        </w:tc>
        <w:tc>
          <w:tcPr>
            <w:tcW w:w="694" w:type="dxa"/>
            <w:tcBorders>
              <w:top w:val="single" w:sz="4" w:space="0" w:color="auto"/>
              <w:left w:val="single" w:sz="4" w:space="0" w:color="auto"/>
              <w:bottom w:val="single" w:sz="4" w:space="0" w:color="auto"/>
              <w:right w:val="single" w:sz="4" w:space="0" w:color="auto"/>
            </w:tcBorders>
            <w:noWrap/>
            <w:hideMark/>
          </w:tcPr>
          <w:p w14:paraId="11EA93F2"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13</w:t>
            </w:r>
          </w:p>
        </w:tc>
        <w:tc>
          <w:tcPr>
            <w:tcW w:w="694" w:type="dxa"/>
            <w:tcBorders>
              <w:top w:val="single" w:sz="4" w:space="0" w:color="auto"/>
              <w:left w:val="single" w:sz="4" w:space="0" w:color="auto"/>
              <w:bottom w:val="single" w:sz="4" w:space="0" w:color="auto"/>
              <w:right w:val="single" w:sz="4" w:space="0" w:color="auto"/>
            </w:tcBorders>
            <w:noWrap/>
            <w:hideMark/>
          </w:tcPr>
          <w:p w14:paraId="11EA93F3"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3.7</w:t>
            </w:r>
          </w:p>
        </w:tc>
        <w:tc>
          <w:tcPr>
            <w:tcW w:w="694" w:type="dxa"/>
            <w:tcBorders>
              <w:top w:val="single" w:sz="4" w:space="0" w:color="auto"/>
              <w:left w:val="single" w:sz="4" w:space="0" w:color="auto"/>
              <w:bottom w:val="single" w:sz="4" w:space="0" w:color="auto"/>
              <w:right w:val="single" w:sz="4" w:space="0" w:color="auto"/>
            </w:tcBorders>
            <w:noWrap/>
            <w:hideMark/>
          </w:tcPr>
          <w:p w14:paraId="11EA93F4"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12.6</w:t>
            </w:r>
          </w:p>
        </w:tc>
        <w:tc>
          <w:tcPr>
            <w:tcW w:w="701" w:type="dxa"/>
            <w:tcBorders>
              <w:top w:val="single" w:sz="4" w:space="0" w:color="auto"/>
              <w:left w:val="single" w:sz="4" w:space="0" w:color="auto"/>
              <w:bottom w:val="single" w:sz="4" w:space="0" w:color="auto"/>
              <w:right w:val="single" w:sz="4" w:space="0" w:color="auto"/>
            </w:tcBorders>
            <w:noWrap/>
            <w:hideMark/>
          </w:tcPr>
          <w:p w14:paraId="11EA93F5"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1.6</w:t>
            </w:r>
          </w:p>
        </w:tc>
        <w:tc>
          <w:tcPr>
            <w:tcW w:w="267" w:type="dxa"/>
            <w:tcBorders>
              <w:top w:val="nil"/>
              <w:left w:val="single" w:sz="4" w:space="0" w:color="auto"/>
              <w:bottom w:val="nil"/>
              <w:right w:val="single" w:sz="4" w:space="0" w:color="auto"/>
            </w:tcBorders>
            <w:noWrap/>
            <w:hideMark/>
          </w:tcPr>
          <w:p w14:paraId="11EA93F6" w14:textId="77777777" w:rsidR="00A175A4" w:rsidRPr="00E53765" w:rsidRDefault="00A175A4" w:rsidP="00A175A4">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hideMark/>
          </w:tcPr>
          <w:p w14:paraId="11EA93F7"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King</w:t>
            </w:r>
          </w:p>
        </w:tc>
        <w:tc>
          <w:tcPr>
            <w:tcW w:w="708" w:type="dxa"/>
            <w:tcBorders>
              <w:top w:val="single" w:sz="4" w:space="0" w:color="auto"/>
              <w:left w:val="single" w:sz="4" w:space="0" w:color="auto"/>
              <w:bottom w:val="single" w:sz="4" w:space="0" w:color="auto"/>
              <w:right w:val="single" w:sz="4" w:space="0" w:color="auto"/>
            </w:tcBorders>
            <w:noWrap/>
            <w:hideMark/>
          </w:tcPr>
          <w:p w14:paraId="11EA93F8"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23</w:t>
            </w:r>
          </w:p>
        </w:tc>
        <w:tc>
          <w:tcPr>
            <w:tcW w:w="709" w:type="dxa"/>
            <w:tcBorders>
              <w:top w:val="single" w:sz="4" w:space="0" w:color="auto"/>
              <w:left w:val="single" w:sz="4" w:space="0" w:color="auto"/>
              <w:bottom w:val="single" w:sz="4" w:space="0" w:color="auto"/>
              <w:right w:val="single" w:sz="4" w:space="0" w:color="auto"/>
            </w:tcBorders>
            <w:noWrap/>
            <w:hideMark/>
          </w:tcPr>
          <w:p w14:paraId="11EA93F9"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6.2</w:t>
            </w:r>
          </w:p>
        </w:tc>
        <w:tc>
          <w:tcPr>
            <w:tcW w:w="709" w:type="dxa"/>
            <w:tcBorders>
              <w:top w:val="single" w:sz="4" w:space="0" w:color="auto"/>
              <w:left w:val="single" w:sz="4" w:space="0" w:color="auto"/>
              <w:bottom w:val="single" w:sz="4" w:space="0" w:color="auto"/>
              <w:right w:val="single" w:sz="4" w:space="0" w:color="auto"/>
            </w:tcBorders>
            <w:noWrap/>
            <w:hideMark/>
          </w:tcPr>
          <w:p w14:paraId="11EA93FA"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24.8</w:t>
            </w:r>
          </w:p>
        </w:tc>
        <w:tc>
          <w:tcPr>
            <w:tcW w:w="709" w:type="dxa"/>
            <w:tcBorders>
              <w:top w:val="single" w:sz="4" w:space="0" w:color="auto"/>
              <w:left w:val="single" w:sz="4" w:space="0" w:color="auto"/>
              <w:bottom w:val="single" w:sz="4" w:space="0" w:color="auto"/>
              <w:right w:val="single" w:sz="4" w:space="0" w:color="auto"/>
            </w:tcBorders>
            <w:noWrap/>
            <w:hideMark/>
          </w:tcPr>
          <w:p w14:paraId="11EA93FB" w14:textId="77777777" w:rsidR="00A175A4" w:rsidRPr="00E53765" w:rsidRDefault="00A175A4" w:rsidP="00A175A4">
            <w:pPr>
              <w:rPr>
                <w:rFonts w:ascii="Arial Narrow" w:hAnsi="Arial Narrow"/>
                <w:color w:val="000000"/>
                <w:lang w:eastAsia="zh-CN"/>
              </w:rPr>
            </w:pPr>
            <w:r w:rsidRPr="00E53765">
              <w:rPr>
                <w:rFonts w:ascii="Arial Narrow" w:hAnsi="Arial Narrow"/>
                <w:color w:val="000000"/>
              </w:rPr>
              <w:t>1.8</w:t>
            </w:r>
          </w:p>
        </w:tc>
      </w:tr>
      <w:tr w:rsidR="00E6123B" w14:paraId="5293B70B" w14:textId="77777777" w:rsidTr="005B6EC7">
        <w:trPr>
          <w:trHeight w:hRule="exact" w:val="255"/>
        </w:trPr>
        <w:tc>
          <w:tcPr>
            <w:tcW w:w="1486" w:type="dxa"/>
            <w:tcBorders>
              <w:top w:val="single" w:sz="4" w:space="0" w:color="auto"/>
              <w:left w:val="single" w:sz="4" w:space="0" w:color="auto"/>
              <w:bottom w:val="single" w:sz="4" w:space="0" w:color="auto"/>
              <w:right w:val="single" w:sz="4" w:space="0" w:color="auto"/>
            </w:tcBorders>
            <w:noWrap/>
          </w:tcPr>
          <w:p w14:paraId="112A71C8" w14:textId="07E20B19" w:rsidR="00E6123B" w:rsidRPr="00E53765" w:rsidRDefault="00E6123B" w:rsidP="00E6123B">
            <w:pPr>
              <w:rPr>
                <w:rFonts w:ascii="Arial Narrow" w:hAnsi="Arial Narrow"/>
                <w:color w:val="000000"/>
              </w:rPr>
            </w:pPr>
            <w:r>
              <w:rPr>
                <w:rFonts w:ascii="Arial Narrow" w:hAnsi="Arial Narrow"/>
                <w:color w:val="000000"/>
              </w:rPr>
              <w:t>Bedarra</w:t>
            </w:r>
          </w:p>
        </w:tc>
        <w:tc>
          <w:tcPr>
            <w:tcW w:w="694" w:type="dxa"/>
            <w:tcBorders>
              <w:top w:val="single" w:sz="4" w:space="0" w:color="auto"/>
              <w:left w:val="single" w:sz="4" w:space="0" w:color="auto"/>
              <w:bottom w:val="single" w:sz="4" w:space="0" w:color="auto"/>
              <w:right w:val="single" w:sz="4" w:space="0" w:color="auto"/>
            </w:tcBorders>
            <w:noWrap/>
          </w:tcPr>
          <w:p w14:paraId="245BB10B" w14:textId="6C75B32B" w:rsidR="00E6123B" w:rsidRPr="00E53765" w:rsidRDefault="00E6123B" w:rsidP="00E6123B">
            <w:pPr>
              <w:rPr>
                <w:rFonts w:ascii="Arial Narrow" w:hAnsi="Arial Narrow"/>
                <w:lang w:eastAsia="zh-CN"/>
              </w:rPr>
            </w:pPr>
            <w:r w:rsidRPr="00E53765">
              <w:rPr>
                <w:rFonts w:ascii="Arial Narrow" w:hAnsi="Arial Narrow"/>
                <w:color w:val="000000"/>
              </w:rPr>
              <w:t>23</w:t>
            </w:r>
          </w:p>
        </w:tc>
        <w:tc>
          <w:tcPr>
            <w:tcW w:w="694" w:type="dxa"/>
            <w:tcBorders>
              <w:top w:val="single" w:sz="4" w:space="0" w:color="auto"/>
              <w:left w:val="single" w:sz="4" w:space="0" w:color="auto"/>
              <w:bottom w:val="single" w:sz="4" w:space="0" w:color="auto"/>
              <w:right w:val="single" w:sz="4" w:space="0" w:color="auto"/>
            </w:tcBorders>
            <w:noWrap/>
          </w:tcPr>
          <w:p w14:paraId="6CA3ACFD" w14:textId="7A675CCC" w:rsidR="00E6123B" w:rsidRPr="00E53765" w:rsidRDefault="00E6123B" w:rsidP="00E6123B">
            <w:pPr>
              <w:rPr>
                <w:rFonts w:ascii="Arial Narrow" w:hAnsi="Arial Narrow"/>
                <w:lang w:eastAsia="zh-CN"/>
              </w:rPr>
            </w:pPr>
            <w:r w:rsidRPr="00E53765">
              <w:rPr>
                <w:rFonts w:ascii="Arial Narrow" w:hAnsi="Arial Narrow"/>
                <w:color w:val="000000"/>
              </w:rPr>
              <w:t>5.3</w:t>
            </w:r>
          </w:p>
        </w:tc>
        <w:tc>
          <w:tcPr>
            <w:tcW w:w="694" w:type="dxa"/>
            <w:tcBorders>
              <w:top w:val="single" w:sz="4" w:space="0" w:color="auto"/>
              <w:left w:val="single" w:sz="4" w:space="0" w:color="auto"/>
              <w:bottom w:val="single" w:sz="4" w:space="0" w:color="auto"/>
              <w:right w:val="single" w:sz="4" w:space="0" w:color="auto"/>
            </w:tcBorders>
            <w:noWrap/>
          </w:tcPr>
          <w:p w14:paraId="5E305660" w14:textId="6A5FF8C4" w:rsidR="00E6123B" w:rsidRPr="00E53765" w:rsidRDefault="00E6123B" w:rsidP="00E6123B">
            <w:pPr>
              <w:rPr>
                <w:rFonts w:ascii="Arial Narrow" w:hAnsi="Arial Narrow"/>
                <w:color w:val="000000"/>
              </w:rPr>
            </w:pPr>
            <w:r w:rsidRPr="00E53765">
              <w:rPr>
                <w:rFonts w:ascii="Arial Narrow" w:hAnsi="Arial Narrow"/>
                <w:color w:val="000000"/>
              </w:rPr>
              <w:t>15.6</w:t>
            </w:r>
          </w:p>
        </w:tc>
        <w:tc>
          <w:tcPr>
            <w:tcW w:w="701" w:type="dxa"/>
            <w:tcBorders>
              <w:top w:val="single" w:sz="4" w:space="0" w:color="auto"/>
              <w:left w:val="single" w:sz="4" w:space="0" w:color="auto"/>
              <w:bottom w:val="single" w:sz="4" w:space="0" w:color="auto"/>
              <w:right w:val="single" w:sz="4" w:space="0" w:color="auto"/>
            </w:tcBorders>
            <w:noWrap/>
          </w:tcPr>
          <w:p w14:paraId="7F6E9370" w14:textId="7ED75E60" w:rsidR="00E6123B" w:rsidRPr="00E53765" w:rsidRDefault="00E6123B" w:rsidP="00E6123B">
            <w:pPr>
              <w:rPr>
                <w:rFonts w:ascii="Arial Narrow" w:hAnsi="Arial Narrow"/>
                <w:color w:val="000000"/>
              </w:rPr>
            </w:pPr>
            <w:r w:rsidRPr="00E53765">
              <w:rPr>
                <w:rFonts w:ascii="Arial Narrow" w:hAnsi="Arial Narrow"/>
                <w:color w:val="000000"/>
              </w:rPr>
              <w:t>1.9</w:t>
            </w:r>
          </w:p>
        </w:tc>
        <w:tc>
          <w:tcPr>
            <w:tcW w:w="267" w:type="dxa"/>
            <w:tcBorders>
              <w:top w:val="nil"/>
              <w:left w:val="single" w:sz="4" w:space="0" w:color="auto"/>
              <w:bottom w:val="nil"/>
              <w:right w:val="single" w:sz="4" w:space="0" w:color="auto"/>
            </w:tcBorders>
            <w:noWrap/>
          </w:tcPr>
          <w:p w14:paraId="501B2579"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3C79817A" w14:textId="5CFC8A89" w:rsidR="00E6123B" w:rsidRPr="00E53765" w:rsidRDefault="00E6123B" w:rsidP="00E6123B">
            <w:pPr>
              <w:rPr>
                <w:rFonts w:ascii="Arial Narrow" w:hAnsi="Arial Narrow"/>
                <w:color w:val="000000"/>
              </w:rPr>
            </w:pPr>
            <w:r w:rsidRPr="00E53765">
              <w:rPr>
                <w:rFonts w:ascii="Arial Narrow" w:hAnsi="Arial Narrow"/>
                <w:color w:val="000000"/>
              </w:rPr>
              <w:t>Lady Elliot</w:t>
            </w:r>
          </w:p>
        </w:tc>
        <w:tc>
          <w:tcPr>
            <w:tcW w:w="708" w:type="dxa"/>
            <w:tcBorders>
              <w:top w:val="single" w:sz="4" w:space="0" w:color="auto"/>
              <w:left w:val="single" w:sz="4" w:space="0" w:color="auto"/>
              <w:bottom w:val="single" w:sz="4" w:space="0" w:color="auto"/>
              <w:right w:val="single" w:sz="4" w:space="0" w:color="auto"/>
            </w:tcBorders>
            <w:noWrap/>
          </w:tcPr>
          <w:p w14:paraId="1C68FC17" w14:textId="5F5B9105" w:rsidR="00E6123B" w:rsidRPr="00E53765" w:rsidRDefault="00E6123B" w:rsidP="00E6123B">
            <w:pPr>
              <w:rPr>
                <w:rFonts w:ascii="Arial Narrow" w:hAnsi="Arial Narrow"/>
                <w:color w:val="000000"/>
              </w:rPr>
            </w:pPr>
            <w:r w:rsidRPr="00E53765">
              <w:rPr>
                <w:rFonts w:ascii="Arial Narrow" w:hAnsi="Arial Narrow"/>
                <w:color w:val="000000"/>
              </w:rPr>
              <w:t>23</w:t>
            </w:r>
          </w:p>
        </w:tc>
        <w:tc>
          <w:tcPr>
            <w:tcW w:w="709" w:type="dxa"/>
            <w:tcBorders>
              <w:top w:val="single" w:sz="4" w:space="0" w:color="auto"/>
              <w:left w:val="single" w:sz="4" w:space="0" w:color="auto"/>
              <w:bottom w:val="single" w:sz="4" w:space="0" w:color="auto"/>
              <w:right w:val="single" w:sz="4" w:space="0" w:color="auto"/>
            </w:tcBorders>
            <w:noWrap/>
          </w:tcPr>
          <w:p w14:paraId="029BBEDF" w14:textId="56D75231" w:rsidR="00E6123B" w:rsidRPr="00E53765" w:rsidRDefault="00E6123B" w:rsidP="00E6123B">
            <w:pPr>
              <w:rPr>
                <w:rFonts w:ascii="Arial Narrow" w:hAnsi="Arial Narrow"/>
                <w:color w:val="000000"/>
              </w:rPr>
            </w:pPr>
            <w:r w:rsidRPr="00E53765">
              <w:rPr>
                <w:rFonts w:ascii="Arial Narrow" w:hAnsi="Arial Narrow"/>
                <w:color w:val="000000"/>
              </w:rPr>
              <w:t>6.1</w:t>
            </w:r>
          </w:p>
        </w:tc>
        <w:tc>
          <w:tcPr>
            <w:tcW w:w="709" w:type="dxa"/>
            <w:tcBorders>
              <w:top w:val="single" w:sz="4" w:space="0" w:color="auto"/>
              <w:left w:val="single" w:sz="4" w:space="0" w:color="auto"/>
              <w:bottom w:val="single" w:sz="4" w:space="0" w:color="auto"/>
              <w:right w:val="single" w:sz="4" w:space="0" w:color="auto"/>
            </w:tcBorders>
            <w:noWrap/>
          </w:tcPr>
          <w:p w14:paraId="2BF6338D" w14:textId="1D7918CA" w:rsidR="00E6123B" w:rsidRPr="00E53765" w:rsidRDefault="00E6123B" w:rsidP="00E6123B">
            <w:pPr>
              <w:rPr>
                <w:rFonts w:ascii="Arial Narrow" w:hAnsi="Arial Narrow"/>
                <w:color w:val="000000"/>
              </w:rPr>
            </w:pPr>
            <w:r w:rsidRPr="00E53765">
              <w:rPr>
                <w:rFonts w:ascii="Arial Narrow" w:hAnsi="Arial Narrow"/>
                <w:color w:val="000000"/>
              </w:rPr>
              <w:t>15.3</w:t>
            </w:r>
          </w:p>
        </w:tc>
        <w:tc>
          <w:tcPr>
            <w:tcW w:w="709" w:type="dxa"/>
            <w:tcBorders>
              <w:top w:val="single" w:sz="4" w:space="0" w:color="auto"/>
              <w:left w:val="single" w:sz="4" w:space="0" w:color="auto"/>
              <w:bottom w:val="single" w:sz="4" w:space="0" w:color="auto"/>
              <w:right w:val="single" w:sz="4" w:space="0" w:color="auto"/>
            </w:tcBorders>
            <w:noWrap/>
          </w:tcPr>
          <w:p w14:paraId="1F246718" w14:textId="49B8C1F1" w:rsidR="00E6123B" w:rsidRPr="00E53765" w:rsidRDefault="00E6123B" w:rsidP="00E6123B">
            <w:pPr>
              <w:rPr>
                <w:rFonts w:ascii="Arial Narrow" w:hAnsi="Arial Narrow"/>
                <w:color w:val="000000"/>
              </w:rPr>
            </w:pPr>
            <w:r w:rsidRPr="00E53765">
              <w:rPr>
                <w:rFonts w:ascii="Arial Narrow" w:hAnsi="Arial Narrow"/>
                <w:color w:val="000000"/>
              </w:rPr>
              <w:t>1.9</w:t>
            </w:r>
          </w:p>
        </w:tc>
      </w:tr>
      <w:tr w:rsidR="00E6123B" w14:paraId="11EA9408"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3FD"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Border</w:t>
            </w:r>
          </w:p>
        </w:tc>
        <w:tc>
          <w:tcPr>
            <w:tcW w:w="694" w:type="dxa"/>
            <w:tcBorders>
              <w:top w:val="single" w:sz="4" w:space="0" w:color="auto"/>
              <w:left w:val="single" w:sz="4" w:space="0" w:color="auto"/>
              <w:bottom w:val="single" w:sz="4" w:space="0" w:color="auto"/>
              <w:right w:val="single" w:sz="4" w:space="0" w:color="auto"/>
            </w:tcBorders>
            <w:noWrap/>
            <w:hideMark/>
          </w:tcPr>
          <w:p w14:paraId="11EA93FE" w14:textId="77777777" w:rsidR="00E6123B" w:rsidRPr="00E53765" w:rsidRDefault="00E6123B" w:rsidP="00E6123B">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11EA93FF" w14:textId="77777777" w:rsidR="00E6123B" w:rsidRPr="00E53765" w:rsidRDefault="00E6123B" w:rsidP="00E6123B">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11EA9400"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8.2</w:t>
            </w:r>
          </w:p>
        </w:tc>
        <w:tc>
          <w:tcPr>
            <w:tcW w:w="701" w:type="dxa"/>
            <w:tcBorders>
              <w:top w:val="single" w:sz="4" w:space="0" w:color="auto"/>
              <w:left w:val="single" w:sz="4" w:space="0" w:color="auto"/>
              <w:bottom w:val="single" w:sz="4" w:space="0" w:color="auto"/>
              <w:right w:val="single" w:sz="4" w:space="0" w:color="auto"/>
            </w:tcBorders>
            <w:noWrap/>
            <w:hideMark/>
          </w:tcPr>
          <w:p w14:paraId="11EA9401"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1.4</w:t>
            </w:r>
          </w:p>
        </w:tc>
        <w:tc>
          <w:tcPr>
            <w:tcW w:w="267" w:type="dxa"/>
            <w:tcBorders>
              <w:top w:val="nil"/>
              <w:left w:val="single" w:sz="4" w:space="0" w:color="auto"/>
              <w:bottom w:val="nil"/>
              <w:right w:val="single" w:sz="4" w:space="0" w:color="auto"/>
            </w:tcBorders>
            <w:noWrap/>
            <w:hideMark/>
          </w:tcPr>
          <w:p w14:paraId="11EA9402"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03" w14:textId="4FF51C1B" w:rsidR="00E6123B" w:rsidRPr="00E53765" w:rsidRDefault="00E6123B" w:rsidP="00E6123B">
            <w:pPr>
              <w:rPr>
                <w:rFonts w:ascii="Arial Narrow" w:hAnsi="Arial Narrow"/>
                <w:color w:val="000000"/>
                <w:lang w:eastAsia="zh-CN"/>
              </w:rPr>
            </w:pPr>
            <w:r w:rsidRPr="00E53765">
              <w:rPr>
                <w:rFonts w:ascii="Arial Narrow" w:hAnsi="Arial Narrow"/>
                <w:color w:val="000000"/>
              </w:rPr>
              <w:t>Langford</w:t>
            </w:r>
          </w:p>
        </w:tc>
        <w:tc>
          <w:tcPr>
            <w:tcW w:w="708" w:type="dxa"/>
            <w:tcBorders>
              <w:top w:val="single" w:sz="4" w:space="0" w:color="auto"/>
              <w:left w:val="single" w:sz="4" w:space="0" w:color="auto"/>
              <w:bottom w:val="single" w:sz="4" w:space="0" w:color="auto"/>
              <w:right w:val="single" w:sz="4" w:space="0" w:color="auto"/>
            </w:tcBorders>
            <w:noWrap/>
          </w:tcPr>
          <w:p w14:paraId="11EA9404" w14:textId="1677E1B6" w:rsidR="00E6123B" w:rsidRPr="00E53765" w:rsidRDefault="00E6123B" w:rsidP="00E6123B">
            <w:pPr>
              <w:rPr>
                <w:rFonts w:ascii="Arial Narrow" w:hAnsi="Arial Narrow"/>
                <w:color w:val="000000"/>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11EA9405" w14:textId="0E921D3A" w:rsidR="00E6123B" w:rsidRPr="00E53765" w:rsidRDefault="00E6123B" w:rsidP="00E6123B">
            <w:pPr>
              <w:rPr>
                <w:rFonts w:ascii="Arial Narrow" w:hAnsi="Arial Narrow"/>
                <w:color w:val="000000"/>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11EA9406" w14:textId="094424AF" w:rsidR="00E6123B" w:rsidRPr="00E53765" w:rsidRDefault="00E6123B" w:rsidP="00E6123B">
            <w:pPr>
              <w:rPr>
                <w:rFonts w:ascii="Arial Narrow" w:hAnsi="Arial Narrow"/>
                <w:color w:val="000000"/>
                <w:lang w:eastAsia="zh-CN"/>
              </w:rPr>
            </w:pPr>
            <w:r w:rsidRPr="00E53765">
              <w:rPr>
                <w:rFonts w:ascii="Arial Narrow" w:hAnsi="Arial Narrow"/>
                <w:color w:val="000000"/>
              </w:rPr>
              <w:t>7.9</w:t>
            </w:r>
          </w:p>
        </w:tc>
        <w:tc>
          <w:tcPr>
            <w:tcW w:w="709" w:type="dxa"/>
            <w:tcBorders>
              <w:top w:val="single" w:sz="4" w:space="0" w:color="auto"/>
              <w:left w:val="single" w:sz="4" w:space="0" w:color="auto"/>
              <w:bottom w:val="single" w:sz="4" w:space="0" w:color="auto"/>
              <w:right w:val="single" w:sz="4" w:space="0" w:color="auto"/>
            </w:tcBorders>
            <w:noWrap/>
          </w:tcPr>
          <w:p w14:paraId="11EA9407" w14:textId="163FFE21" w:rsidR="00E6123B" w:rsidRPr="00E53765" w:rsidRDefault="00E6123B" w:rsidP="00E6123B">
            <w:pPr>
              <w:rPr>
                <w:rFonts w:ascii="Arial Narrow" w:hAnsi="Arial Narrow"/>
                <w:color w:val="000000"/>
                <w:lang w:eastAsia="zh-CN"/>
              </w:rPr>
            </w:pPr>
            <w:r w:rsidRPr="00E53765">
              <w:rPr>
                <w:rFonts w:ascii="Arial Narrow" w:hAnsi="Arial Narrow"/>
                <w:color w:val="000000"/>
              </w:rPr>
              <w:t>1.4</w:t>
            </w:r>
          </w:p>
        </w:tc>
      </w:tr>
      <w:tr w:rsidR="00E6123B" w14:paraId="11EA9414"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09"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Daydream</w:t>
            </w:r>
          </w:p>
        </w:tc>
        <w:tc>
          <w:tcPr>
            <w:tcW w:w="694" w:type="dxa"/>
            <w:tcBorders>
              <w:top w:val="single" w:sz="4" w:space="0" w:color="auto"/>
              <w:left w:val="single" w:sz="4" w:space="0" w:color="auto"/>
              <w:bottom w:val="single" w:sz="4" w:space="0" w:color="auto"/>
              <w:right w:val="single" w:sz="4" w:space="0" w:color="auto"/>
            </w:tcBorders>
            <w:noWrap/>
            <w:hideMark/>
          </w:tcPr>
          <w:p w14:paraId="11EA940A"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13.5</w:t>
            </w:r>
          </w:p>
        </w:tc>
        <w:tc>
          <w:tcPr>
            <w:tcW w:w="694" w:type="dxa"/>
            <w:tcBorders>
              <w:top w:val="single" w:sz="4" w:space="0" w:color="auto"/>
              <w:left w:val="single" w:sz="4" w:space="0" w:color="auto"/>
              <w:bottom w:val="single" w:sz="4" w:space="0" w:color="auto"/>
              <w:right w:val="single" w:sz="4" w:space="0" w:color="auto"/>
            </w:tcBorders>
            <w:noWrap/>
            <w:hideMark/>
          </w:tcPr>
          <w:p w14:paraId="11EA940B"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3.5</w:t>
            </w:r>
          </w:p>
        </w:tc>
        <w:tc>
          <w:tcPr>
            <w:tcW w:w="694" w:type="dxa"/>
            <w:tcBorders>
              <w:top w:val="single" w:sz="4" w:space="0" w:color="auto"/>
              <w:left w:val="single" w:sz="4" w:space="0" w:color="auto"/>
              <w:bottom w:val="single" w:sz="4" w:space="0" w:color="auto"/>
              <w:right w:val="single" w:sz="4" w:space="0" w:color="auto"/>
            </w:tcBorders>
            <w:noWrap/>
            <w:hideMark/>
          </w:tcPr>
          <w:p w14:paraId="11EA940C"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10.4</w:t>
            </w:r>
          </w:p>
        </w:tc>
        <w:tc>
          <w:tcPr>
            <w:tcW w:w="701" w:type="dxa"/>
            <w:tcBorders>
              <w:top w:val="single" w:sz="4" w:space="0" w:color="auto"/>
              <w:left w:val="single" w:sz="4" w:space="0" w:color="auto"/>
              <w:bottom w:val="single" w:sz="4" w:space="0" w:color="auto"/>
              <w:right w:val="single" w:sz="4" w:space="0" w:color="auto"/>
            </w:tcBorders>
            <w:noWrap/>
            <w:hideMark/>
          </w:tcPr>
          <w:p w14:paraId="11EA940D"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1.5</w:t>
            </w:r>
          </w:p>
        </w:tc>
        <w:tc>
          <w:tcPr>
            <w:tcW w:w="267" w:type="dxa"/>
            <w:tcBorders>
              <w:top w:val="nil"/>
              <w:left w:val="single" w:sz="4" w:space="0" w:color="auto"/>
              <w:bottom w:val="nil"/>
              <w:right w:val="single" w:sz="4" w:space="0" w:color="auto"/>
            </w:tcBorders>
            <w:noWrap/>
            <w:hideMark/>
          </w:tcPr>
          <w:p w14:paraId="11EA940E"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0F" w14:textId="30050671" w:rsidR="00E6123B" w:rsidRPr="00E53765" w:rsidRDefault="00E6123B" w:rsidP="00E6123B">
            <w:pPr>
              <w:rPr>
                <w:rFonts w:ascii="Arial Narrow" w:hAnsi="Arial Narrow"/>
                <w:color w:val="000000"/>
                <w:lang w:eastAsia="zh-CN"/>
              </w:rPr>
            </w:pPr>
            <w:r w:rsidRPr="00E53765">
              <w:rPr>
                <w:rFonts w:ascii="Arial Narrow" w:hAnsi="Arial Narrow"/>
                <w:color w:val="000000"/>
              </w:rPr>
              <w:t>Low Isles</w:t>
            </w:r>
          </w:p>
        </w:tc>
        <w:tc>
          <w:tcPr>
            <w:tcW w:w="708" w:type="dxa"/>
            <w:tcBorders>
              <w:top w:val="single" w:sz="4" w:space="0" w:color="auto"/>
              <w:left w:val="single" w:sz="4" w:space="0" w:color="auto"/>
              <w:bottom w:val="single" w:sz="4" w:space="0" w:color="auto"/>
              <w:right w:val="single" w:sz="4" w:space="0" w:color="auto"/>
            </w:tcBorders>
            <w:noWrap/>
          </w:tcPr>
          <w:p w14:paraId="11EA9410" w14:textId="77777777" w:rsidR="00E6123B" w:rsidRPr="00E53765" w:rsidRDefault="00E6123B" w:rsidP="00E6123B">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11EA9411" w14:textId="77777777" w:rsidR="00E6123B" w:rsidRPr="00E53765" w:rsidRDefault="00E6123B" w:rsidP="00E6123B">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11EA9412" w14:textId="4BD4D758" w:rsidR="00E6123B" w:rsidRPr="00E53765" w:rsidRDefault="00E6123B" w:rsidP="00E6123B">
            <w:pPr>
              <w:rPr>
                <w:rFonts w:ascii="Arial Narrow" w:hAnsi="Arial Narrow"/>
                <w:color w:val="000000"/>
                <w:lang w:eastAsia="zh-CN"/>
              </w:rPr>
            </w:pPr>
            <w:r w:rsidRPr="00E53765">
              <w:rPr>
                <w:rFonts w:ascii="Arial Narrow" w:hAnsi="Arial Narrow"/>
                <w:color w:val="000000"/>
              </w:rPr>
              <w:t>8.9</w:t>
            </w:r>
          </w:p>
        </w:tc>
        <w:tc>
          <w:tcPr>
            <w:tcW w:w="709" w:type="dxa"/>
            <w:tcBorders>
              <w:top w:val="single" w:sz="4" w:space="0" w:color="auto"/>
              <w:left w:val="single" w:sz="4" w:space="0" w:color="auto"/>
              <w:bottom w:val="single" w:sz="4" w:space="0" w:color="auto"/>
              <w:right w:val="single" w:sz="4" w:space="0" w:color="auto"/>
            </w:tcBorders>
            <w:noWrap/>
          </w:tcPr>
          <w:p w14:paraId="11EA9413" w14:textId="3F5630F2" w:rsidR="00E6123B" w:rsidRPr="00E53765" w:rsidRDefault="00E6123B" w:rsidP="00E6123B">
            <w:pPr>
              <w:rPr>
                <w:rFonts w:ascii="Arial Narrow" w:hAnsi="Arial Narrow"/>
                <w:color w:val="000000"/>
                <w:lang w:eastAsia="zh-CN"/>
              </w:rPr>
            </w:pPr>
            <w:r w:rsidRPr="00E53765">
              <w:rPr>
                <w:rFonts w:ascii="Arial Narrow" w:hAnsi="Arial Narrow"/>
                <w:color w:val="000000"/>
              </w:rPr>
              <w:t>1.4</w:t>
            </w:r>
          </w:p>
        </w:tc>
      </w:tr>
      <w:tr w:rsidR="00E6123B" w14:paraId="11EA9420"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15"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Dent</w:t>
            </w:r>
          </w:p>
        </w:tc>
        <w:tc>
          <w:tcPr>
            <w:tcW w:w="694" w:type="dxa"/>
            <w:tcBorders>
              <w:top w:val="single" w:sz="4" w:space="0" w:color="auto"/>
              <w:left w:val="single" w:sz="4" w:space="0" w:color="auto"/>
              <w:bottom w:val="single" w:sz="4" w:space="0" w:color="auto"/>
              <w:right w:val="single" w:sz="4" w:space="0" w:color="auto"/>
            </w:tcBorders>
            <w:noWrap/>
            <w:hideMark/>
          </w:tcPr>
          <w:p w14:paraId="11EA9416"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11.6</w:t>
            </w:r>
          </w:p>
        </w:tc>
        <w:tc>
          <w:tcPr>
            <w:tcW w:w="694" w:type="dxa"/>
            <w:tcBorders>
              <w:top w:val="single" w:sz="4" w:space="0" w:color="auto"/>
              <w:left w:val="single" w:sz="4" w:space="0" w:color="auto"/>
              <w:bottom w:val="single" w:sz="4" w:space="0" w:color="auto"/>
              <w:right w:val="single" w:sz="4" w:space="0" w:color="auto"/>
            </w:tcBorders>
            <w:noWrap/>
            <w:hideMark/>
          </w:tcPr>
          <w:p w14:paraId="11EA9417"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3.5</w:t>
            </w:r>
          </w:p>
        </w:tc>
        <w:tc>
          <w:tcPr>
            <w:tcW w:w="694" w:type="dxa"/>
            <w:tcBorders>
              <w:top w:val="single" w:sz="4" w:space="0" w:color="auto"/>
              <w:left w:val="single" w:sz="4" w:space="0" w:color="auto"/>
              <w:bottom w:val="single" w:sz="4" w:space="0" w:color="auto"/>
              <w:right w:val="single" w:sz="4" w:space="0" w:color="auto"/>
            </w:tcBorders>
            <w:noWrap/>
            <w:hideMark/>
          </w:tcPr>
          <w:p w14:paraId="11EA9418"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10.2</w:t>
            </w:r>
          </w:p>
        </w:tc>
        <w:tc>
          <w:tcPr>
            <w:tcW w:w="701" w:type="dxa"/>
            <w:tcBorders>
              <w:top w:val="single" w:sz="4" w:space="0" w:color="auto"/>
              <w:left w:val="single" w:sz="4" w:space="0" w:color="auto"/>
              <w:bottom w:val="single" w:sz="4" w:space="0" w:color="auto"/>
              <w:right w:val="single" w:sz="4" w:space="0" w:color="auto"/>
            </w:tcBorders>
            <w:noWrap/>
            <w:hideMark/>
          </w:tcPr>
          <w:p w14:paraId="11EA9419"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1.5</w:t>
            </w:r>
          </w:p>
        </w:tc>
        <w:tc>
          <w:tcPr>
            <w:tcW w:w="267" w:type="dxa"/>
            <w:tcBorders>
              <w:top w:val="nil"/>
              <w:left w:val="single" w:sz="4" w:space="0" w:color="auto"/>
              <w:bottom w:val="nil"/>
              <w:right w:val="single" w:sz="4" w:space="0" w:color="auto"/>
            </w:tcBorders>
            <w:noWrap/>
            <w:hideMark/>
          </w:tcPr>
          <w:p w14:paraId="11EA941A"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1B" w14:textId="68A095EB" w:rsidR="00E6123B" w:rsidRPr="00E53765" w:rsidRDefault="00E6123B" w:rsidP="00E6123B">
            <w:pPr>
              <w:rPr>
                <w:rFonts w:ascii="Arial Narrow" w:hAnsi="Arial Narrow"/>
                <w:color w:val="000000"/>
                <w:lang w:eastAsia="zh-CN"/>
              </w:rPr>
            </w:pPr>
            <w:r w:rsidRPr="00E53765">
              <w:rPr>
                <w:rFonts w:ascii="Arial Narrow" w:hAnsi="Arial Narrow"/>
                <w:color w:val="000000"/>
              </w:rPr>
              <w:t>Magnetic</w:t>
            </w:r>
          </w:p>
        </w:tc>
        <w:tc>
          <w:tcPr>
            <w:tcW w:w="708" w:type="dxa"/>
            <w:tcBorders>
              <w:top w:val="single" w:sz="4" w:space="0" w:color="auto"/>
              <w:left w:val="single" w:sz="4" w:space="0" w:color="auto"/>
              <w:bottom w:val="single" w:sz="4" w:space="0" w:color="auto"/>
              <w:right w:val="single" w:sz="4" w:space="0" w:color="auto"/>
            </w:tcBorders>
            <w:noWrap/>
          </w:tcPr>
          <w:p w14:paraId="11EA941C" w14:textId="73A448B0" w:rsidR="00E6123B" w:rsidRPr="00E53765" w:rsidRDefault="00E6123B" w:rsidP="00E6123B">
            <w:pPr>
              <w:rPr>
                <w:rFonts w:ascii="Arial Narrow" w:hAnsi="Arial Narrow"/>
                <w:lang w:eastAsia="zh-CN"/>
              </w:rPr>
            </w:pPr>
            <w:r w:rsidRPr="00E53765">
              <w:rPr>
                <w:rFonts w:ascii="Arial Narrow" w:hAnsi="Arial Narrow"/>
                <w:color w:val="000000"/>
              </w:rPr>
              <w:t>23</w:t>
            </w:r>
          </w:p>
        </w:tc>
        <w:tc>
          <w:tcPr>
            <w:tcW w:w="709" w:type="dxa"/>
            <w:tcBorders>
              <w:top w:val="single" w:sz="4" w:space="0" w:color="auto"/>
              <w:left w:val="single" w:sz="4" w:space="0" w:color="auto"/>
              <w:bottom w:val="single" w:sz="4" w:space="0" w:color="auto"/>
              <w:right w:val="single" w:sz="4" w:space="0" w:color="auto"/>
            </w:tcBorders>
            <w:noWrap/>
          </w:tcPr>
          <w:p w14:paraId="11EA941D" w14:textId="00856C7F" w:rsidR="00E6123B" w:rsidRPr="00E53765" w:rsidRDefault="00E6123B" w:rsidP="00E6123B">
            <w:pPr>
              <w:rPr>
                <w:rFonts w:ascii="Arial Narrow" w:hAnsi="Arial Narrow"/>
                <w:lang w:eastAsia="zh-CN"/>
              </w:rPr>
            </w:pPr>
            <w:r w:rsidRPr="00E53765">
              <w:rPr>
                <w:rFonts w:ascii="Arial Narrow" w:hAnsi="Arial Narrow"/>
                <w:color w:val="000000"/>
              </w:rPr>
              <w:t>6.4</w:t>
            </w:r>
          </w:p>
        </w:tc>
        <w:tc>
          <w:tcPr>
            <w:tcW w:w="709" w:type="dxa"/>
            <w:tcBorders>
              <w:top w:val="single" w:sz="4" w:space="0" w:color="auto"/>
              <w:left w:val="single" w:sz="4" w:space="0" w:color="auto"/>
              <w:bottom w:val="single" w:sz="4" w:space="0" w:color="auto"/>
              <w:right w:val="single" w:sz="4" w:space="0" w:color="auto"/>
            </w:tcBorders>
            <w:noWrap/>
          </w:tcPr>
          <w:p w14:paraId="11EA941E" w14:textId="199FEEA0" w:rsidR="00E6123B" w:rsidRPr="00E53765" w:rsidRDefault="00E6123B" w:rsidP="00E6123B">
            <w:pPr>
              <w:rPr>
                <w:rFonts w:ascii="Arial Narrow" w:hAnsi="Arial Narrow"/>
                <w:color w:val="000000"/>
                <w:lang w:eastAsia="zh-CN"/>
              </w:rPr>
            </w:pPr>
            <w:r w:rsidRPr="00E53765">
              <w:rPr>
                <w:rFonts w:ascii="Arial Narrow" w:hAnsi="Arial Narrow"/>
                <w:color w:val="000000"/>
              </w:rPr>
              <w:t>19</w:t>
            </w:r>
          </w:p>
        </w:tc>
        <w:tc>
          <w:tcPr>
            <w:tcW w:w="709" w:type="dxa"/>
            <w:tcBorders>
              <w:top w:val="single" w:sz="4" w:space="0" w:color="auto"/>
              <w:left w:val="single" w:sz="4" w:space="0" w:color="auto"/>
              <w:bottom w:val="single" w:sz="4" w:space="0" w:color="auto"/>
              <w:right w:val="single" w:sz="4" w:space="0" w:color="auto"/>
            </w:tcBorders>
            <w:noWrap/>
          </w:tcPr>
          <w:p w14:paraId="11EA941F" w14:textId="2792233B" w:rsidR="00E6123B" w:rsidRPr="00E53765" w:rsidRDefault="00E6123B" w:rsidP="00E6123B">
            <w:pPr>
              <w:rPr>
                <w:rFonts w:ascii="Arial Narrow" w:hAnsi="Arial Narrow"/>
                <w:color w:val="000000"/>
                <w:lang w:eastAsia="zh-CN"/>
              </w:rPr>
            </w:pPr>
            <w:r w:rsidRPr="00E53765">
              <w:rPr>
                <w:rFonts w:ascii="Arial Narrow" w:hAnsi="Arial Narrow"/>
                <w:color w:val="000000"/>
              </w:rPr>
              <w:t>2</w:t>
            </w:r>
          </w:p>
        </w:tc>
      </w:tr>
      <w:tr w:rsidR="00E6123B" w14:paraId="11EA942C"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21"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Double Cone</w:t>
            </w:r>
          </w:p>
        </w:tc>
        <w:tc>
          <w:tcPr>
            <w:tcW w:w="694" w:type="dxa"/>
            <w:tcBorders>
              <w:top w:val="single" w:sz="4" w:space="0" w:color="auto"/>
              <w:left w:val="single" w:sz="4" w:space="0" w:color="auto"/>
              <w:bottom w:val="single" w:sz="4" w:space="0" w:color="auto"/>
              <w:right w:val="single" w:sz="4" w:space="0" w:color="auto"/>
            </w:tcBorders>
            <w:noWrap/>
            <w:hideMark/>
          </w:tcPr>
          <w:p w14:paraId="11EA9422"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8.9</w:t>
            </w:r>
          </w:p>
        </w:tc>
        <w:tc>
          <w:tcPr>
            <w:tcW w:w="694" w:type="dxa"/>
            <w:tcBorders>
              <w:top w:val="single" w:sz="4" w:space="0" w:color="auto"/>
              <w:left w:val="single" w:sz="4" w:space="0" w:color="auto"/>
              <w:bottom w:val="single" w:sz="4" w:space="0" w:color="auto"/>
              <w:right w:val="single" w:sz="4" w:space="0" w:color="auto"/>
            </w:tcBorders>
            <w:noWrap/>
            <w:hideMark/>
          </w:tcPr>
          <w:p w14:paraId="11EA9423"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3.4</w:t>
            </w:r>
          </w:p>
        </w:tc>
        <w:tc>
          <w:tcPr>
            <w:tcW w:w="694" w:type="dxa"/>
            <w:tcBorders>
              <w:top w:val="single" w:sz="4" w:space="0" w:color="auto"/>
              <w:left w:val="single" w:sz="4" w:space="0" w:color="auto"/>
              <w:bottom w:val="single" w:sz="4" w:space="0" w:color="auto"/>
              <w:right w:val="single" w:sz="4" w:space="0" w:color="auto"/>
            </w:tcBorders>
            <w:noWrap/>
            <w:hideMark/>
          </w:tcPr>
          <w:p w14:paraId="11EA9424"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7.6</w:t>
            </w:r>
          </w:p>
        </w:tc>
        <w:tc>
          <w:tcPr>
            <w:tcW w:w="701" w:type="dxa"/>
            <w:tcBorders>
              <w:top w:val="single" w:sz="4" w:space="0" w:color="auto"/>
              <w:left w:val="single" w:sz="4" w:space="0" w:color="auto"/>
              <w:bottom w:val="single" w:sz="4" w:space="0" w:color="auto"/>
              <w:right w:val="single" w:sz="4" w:space="0" w:color="auto"/>
            </w:tcBorders>
            <w:noWrap/>
            <w:hideMark/>
          </w:tcPr>
          <w:p w14:paraId="11EA9425"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1.4</w:t>
            </w:r>
          </w:p>
        </w:tc>
        <w:tc>
          <w:tcPr>
            <w:tcW w:w="267" w:type="dxa"/>
            <w:tcBorders>
              <w:top w:val="nil"/>
              <w:left w:val="single" w:sz="4" w:space="0" w:color="auto"/>
              <w:bottom w:val="nil"/>
              <w:right w:val="single" w:sz="4" w:space="0" w:color="auto"/>
            </w:tcBorders>
            <w:noWrap/>
            <w:hideMark/>
          </w:tcPr>
          <w:p w14:paraId="11EA9426"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27" w14:textId="2C5E48C4" w:rsidR="00E6123B" w:rsidRPr="00E53765" w:rsidRDefault="00E6123B" w:rsidP="00E6123B">
            <w:pPr>
              <w:rPr>
                <w:rFonts w:ascii="Arial Narrow" w:hAnsi="Arial Narrow"/>
                <w:color w:val="000000"/>
                <w:lang w:eastAsia="zh-CN"/>
              </w:rPr>
            </w:pPr>
            <w:r w:rsidRPr="00E53765">
              <w:rPr>
                <w:rFonts w:ascii="Arial Narrow" w:hAnsi="Arial Narrow"/>
                <w:color w:val="000000"/>
              </w:rPr>
              <w:t>Middle Rf</w:t>
            </w:r>
          </w:p>
        </w:tc>
        <w:tc>
          <w:tcPr>
            <w:tcW w:w="708" w:type="dxa"/>
            <w:tcBorders>
              <w:top w:val="single" w:sz="4" w:space="0" w:color="auto"/>
              <w:left w:val="single" w:sz="4" w:space="0" w:color="auto"/>
              <w:bottom w:val="single" w:sz="4" w:space="0" w:color="auto"/>
              <w:right w:val="single" w:sz="4" w:space="0" w:color="auto"/>
            </w:tcBorders>
            <w:noWrap/>
          </w:tcPr>
          <w:p w14:paraId="11EA9428" w14:textId="381A5D7C" w:rsidR="00E6123B" w:rsidRPr="00E53765" w:rsidRDefault="00E6123B" w:rsidP="00E6123B">
            <w:pPr>
              <w:rPr>
                <w:rFonts w:ascii="Arial Narrow" w:hAnsi="Arial Narrow"/>
                <w:color w:val="000000"/>
                <w:lang w:eastAsia="zh-CN"/>
              </w:rPr>
            </w:pPr>
            <w:r w:rsidRPr="00E53765">
              <w:rPr>
                <w:rFonts w:ascii="Arial Narrow" w:hAnsi="Arial Narrow"/>
                <w:color w:val="000000"/>
              </w:rPr>
              <w:t>21.9</w:t>
            </w:r>
          </w:p>
        </w:tc>
        <w:tc>
          <w:tcPr>
            <w:tcW w:w="709" w:type="dxa"/>
            <w:tcBorders>
              <w:top w:val="single" w:sz="4" w:space="0" w:color="auto"/>
              <w:left w:val="single" w:sz="4" w:space="0" w:color="auto"/>
              <w:bottom w:val="single" w:sz="4" w:space="0" w:color="auto"/>
              <w:right w:val="single" w:sz="4" w:space="0" w:color="auto"/>
            </w:tcBorders>
            <w:noWrap/>
          </w:tcPr>
          <w:p w14:paraId="11EA9429" w14:textId="66812ACF" w:rsidR="00E6123B" w:rsidRPr="00E53765" w:rsidRDefault="00E6123B" w:rsidP="00E6123B">
            <w:pPr>
              <w:rPr>
                <w:rFonts w:ascii="Arial Narrow" w:hAnsi="Arial Narrow"/>
                <w:color w:val="000000"/>
                <w:lang w:eastAsia="zh-CN"/>
              </w:rPr>
            </w:pPr>
            <w:r w:rsidRPr="00E53765">
              <w:rPr>
                <w:rFonts w:ascii="Arial Narrow" w:hAnsi="Arial Narrow"/>
                <w:color w:val="000000"/>
              </w:rPr>
              <w:t>5.5</w:t>
            </w:r>
          </w:p>
        </w:tc>
        <w:tc>
          <w:tcPr>
            <w:tcW w:w="709" w:type="dxa"/>
            <w:tcBorders>
              <w:top w:val="single" w:sz="4" w:space="0" w:color="auto"/>
              <w:left w:val="single" w:sz="4" w:space="0" w:color="auto"/>
              <w:bottom w:val="single" w:sz="4" w:space="0" w:color="auto"/>
              <w:right w:val="single" w:sz="4" w:space="0" w:color="auto"/>
            </w:tcBorders>
            <w:noWrap/>
          </w:tcPr>
          <w:p w14:paraId="11EA942A" w14:textId="54E0C4BB" w:rsidR="00E6123B" w:rsidRPr="00E53765" w:rsidRDefault="00E6123B" w:rsidP="00E6123B">
            <w:pPr>
              <w:rPr>
                <w:rFonts w:ascii="Arial Narrow" w:hAnsi="Arial Narrow"/>
                <w:color w:val="000000"/>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11EA942B" w14:textId="4D7D2427" w:rsidR="00E6123B" w:rsidRPr="00E53765" w:rsidRDefault="00E6123B" w:rsidP="00E6123B">
            <w:pPr>
              <w:rPr>
                <w:rFonts w:ascii="Arial Narrow" w:hAnsi="Arial Narrow"/>
                <w:color w:val="000000"/>
                <w:lang w:eastAsia="zh-CN"/>
              </w:rPr>
            </w:pPr>
          </w:p>
        </w:tc>
      </w:tr>
      <w:tr w:rsidR="00E6123B" w14:paraId="11EA9438"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2D"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Dunk North</w:t>
            </w:r>
          </w:p>
        </w:tc>
        <w:tc>
          <w:tcPr>
            <w:tcW w:w="694" w:type="dxa"/>
            <w:tcBorders>
              <w:top w:val="single" w:sz="4" w:space="0" w:color="auto"/>
              <w:left w:val="single" w:sz="4" w:space="0" w:color="auto"/>
              <w:bottom w:val="single" w:sz="4" w:space="0" w:color="auto"/>
              <w:right w:val="single" w:sz="4" w:space="0" w:color="auto"/>
            </w:tcBorders>
            <w:noWrap/>
            <w:hideMark/>
          </w:tcPr>
          <w:p w14:paraId="11EA942E"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23</w:t>
            </w:r>
          </w:p>
        </w:tc>
        <w:tc>
          <w:tcPr>
            <w:tcW w:w="694" w:type="dxa"/>
            <w:tcBorders>
              <w:top w:val="single" w:sz="4" w:space="0" w:color="auto"/>
              <w:left w:val="single" w:sz="4" w:space="0" w:color="auto"/>
              <w:bottom w:val="single" w:sz="4" w:space="0" w:color="auto"/>
              <w:right w:val="single" w:sz="4" w:space="0" w:color="auto"/>
            </w:tcBorders>
            <w:noWrap/>
            <w:hideMark/>
          </w:tcPr>
          <w:p w14:paraId="11EA942F"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4.6</w:t>
            </w:r>
          </w:p>
        </w:tc>
        <w:tc>
          <w:tcPr>
            <w:tcW w:w="694" w:type="dxa"/>
            <w:tcBorders>
              <w:top w:val="single" w:sz="4" w:space="0" w:color="auto"/>
              <w:left w:val="single" w:sz="4" w:space="0" w:color="auto"/>
              <w:bottom w:val="single" w:sz="4" w:space="0" w:color="auto"/>
              <w:right w:val="single" w:sz="4" w:space="0" w:color="auto"/>
            </w:tcBorders>
            <w:noWrap/>
            <w:hideMark/>
          </w:tcPr>
          <w:p w14:paraId="11EA9430"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13.5</w:t>
            </w:r>
          </w:p>
        </w:tc>
        <w:tc>
          <w:tcPr>
            <w:tcW w:w="701" w:type="dxa"/>
            <w:tcBorders>
              <w:top w:val="single" w:sz="4" w:space="0" w:color="auto"/>
              <w:left w:val="single" w:sz="4" w:space="0" w:color="auto"/>
              <w:bottom w:val="single" w:sz="4" w:space="0" w:color="auto"/>
              <w:right w:val="single" w:sz="4" w:space="0" w:color="auto"/>
            </w:tcBorders>
            <w:noWrap/>
            <w:hideMark/>
          </w:tcPr>
          <w:p w14:paraId="11EA9431"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1.7</w:t>
            </w:r>
          </w:p>
        </w:tc>
        <w:tc>
          <w:tcPr>
            <w:tcW w:w="267" w:type="dxa"/>
            <w:tcBorders>
              <w:top w:val="nil"/>
              <w:left w:val="single" w:sz="4" w:space="0" w:color="auto"/>
              <w:bottom w:val="nil"/>
              <w:right w:val="single" w:sz="4" w:space="0" w:color="auto"/>
            </w:tcBorders>
            <w:noWrap/>
            <w:hideMark/>
          </w:tcPr>
          <w:p w14:paraId="11EA9432"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33" w14:textId="045437BF" w:rsidR="00E6123B" w:rsidRPr="00E53765" w:rsidRDefault="00E6123B" w:rsidP="00E6123B">
            <w:pPr>
              <w:rPr>
                <w:rFonts w:ascii="Arial Narrow" w:hAnsi="Arial Narrow"/>
                <w:color w:val="000000"/>
                <w:lang w:eastAsia="zh-CN"/>
              </w:rPr>
            </w:pPr>
            <w:r w:rsidRPr="00E53765">
              <w:rPr>
                <w:rFonts w:ascii="Arial Narrow" w:hAnsi="Arial Narrow"/>
                <w:color w:val="000000"/>
              </w:rPr>
              <w:t>Middle</w:t>
            </w:r>
          </w:p>
        </w:tc>
        <w:tc>
          <w:tcPr>
            <w:tcW w:w="708" w:type="dxa"/>
            <w:tcBorders>
              <w:top w:val="single" w:sz="4" w:space="0" w:color="auto"/>
              <w:left w:val="single" w:sz="4" w:space="0" w:color="auto"/>
              <w:bottom w:val="single" w:sz="4" w:space="0" w:color="auto"/>
              <w:right w:val="single" w:sz="4" w:space="0" w:color="auto"/>
            </w:tcBorders>
            <w:noWrap/>
          </w:tcPr>
          <w:p w14:paraId="11EA9434" w14:textId="2DEB471F" w:rsidR="00E6123B" w:rsidRPr="00E53765" w:rsidRDefault="00E6123B" w:rsidP="00E6123B">
            <w:pPr>
              <w:rPr>
                <w:rFonts w:ascii="Arial Narrow" w:hAnsi="Arial Narrow"/>
                <w:color w:val="000000"/>
                <w:lang w:eastAsia="zh-CN"/>
              </w:rPr>
            </w:pPr>
            <w:r w:rsidRPr="00E53765">
              <w:rPr>
                <w:rFonts w:ascii="Arial Narrow" w:hAnsi="Arial Narrow"/>
                <w:color w:val="000000"/>
              </w:rPr>
              <w:t>23</w:t>
            </w:r>
          </w:p>
        </w:tc>
        <w:tc>
          <w:tcPr>
            <w:tcW w:w="709" w:type="dxa"/>
            <w:tcBorders>
              <w:top w:val="single" w:sz="4" w:space="0" w:color="auto"/>
              <w:left w:val="single" w:sz="4" w:space="0" w:color="auto"/>
              <w:bottom w:val="single" w:sz="4" w:space="0" w:color="auto"/>
              <w:right w:val="single" w:sz="4" w:space="0" w:color="auto"/>
            </w:tcBorders>
            <w:noWrap/>
          </w:tcPr>
          <w:p w14:paraId="11EA9435" w14:textId="36143499" w:rsidR="00E6123B" w:rsidRPr="00E53765" w:rsidRDefault="00E6123B" w:rsidP="00E6123B">
            <w:pPr>
              <w:rPr>
                <w:rFonts w:ascii="Arial Narrow" w:hAnsi="Arial Narrow"/>
                <w:color w:val="000000"/>
                <w:lang w:eastAsia="zh-CN"/>
              </w:rPr>
            </w:pPr>
            <w:r w:rsidRPr="00E53765">
              <w:rPr>
                <w:rFonts w:ascii="Arial Narrow" w:hAnsi="Arial Narrow"/>
                <w:color w:val="000000"/>
              </w:rPr>
              <w:t>5.2</w:t>
            </w:r>
          </w:p>
        </w:tc>
        <w:tc>
          <w:tcPr>
            <w:tcW w:w="709" w:type="dxa"/>
            <w:tcBorders>
              <w:top w:val="single" w:sz="4" w:space="0" w:color="auto"/>
              <w:left w:val="single" w:sz="4" w:space="0" w:color="auto"/>
              <w:bottom w:val="single" w:sz="4" w:space="0" w:color="auto"/>
              <w:right w:val="single" w:sz="4" w:space="0" w:color="auto"/>
            </w:tcBorders>
            <w:noWrap/>
          </w:tcPr>
          <w:p w14:paraId="11EA9436" w14:textId="40329E3C" w:rsidR="00E6123B" w:rsidRPr="00E53765" w:rsidRDefault="00E6123B" w:rsidP="00E6123B">
            <w:pPr>
              <w:rPr>
                <w:rFonts w:ascii="Arial Narrow" w:hAnsi="Arial Narrow"/>
                <w:lang w:eastAsia="zh-CN"/>
              </w:rPr>
            </w:pPr>
            <w:r w:rsidRPr="00E53765">
              <w:rPr>
                <w:rFonts w:ascii="Arial Narrow" w:hAnsi="Arial Narrow"/>
                <w:color w:val="000000"/>
              </w:rPr>
              <w:t>23</w:t>
            </w:r>
          </w:p>
        </w:tc>
        <w:tc>
          <w:tcPr>
            <w:tcW w:w="709" w:type="dxa"/>
            <w:tcBorders>
              <w:top w:val="single" w:sz="4" w:space="0" w:color="auto"/>
              <w:left w:val="single" w:sz="4" w:space="0" w:color="auto"/>
              <w:bottom w:val="single" w:sz="4" w:space="0" w:color="auto"/>
              <w:right w:val="single" w:sz="4" w:space="0" w:color="auto"/>
            </w:tcBorders>
            <w:noWrap/>
          </w:tcPr>
          <w:p w14:paraId="11EA9437" w14:textId="70ED36AA" w:rsidR="00E6123B" w:rsidRPr="00E53765" w:rsidRDefault="00E6123B" w:rsidP="00E6123B">
            <w:pPr>
              <w:rPr>
                <w:rFonts w:ascii="Arial Narrow" w:hAnsi="Arial Narrow"/>
                <w:lang w:eastAsia="zh-CN"/>
              </w:rPr>
            </w:pPr>
            <w:r w:rsidRPr="00E53765">
              <w:rPr>
                <w:rFonts w:ascii="Arial Narrow" w:hAnsi="Arial Narrow"/>
                <w:color w:val="000000"/>
              </w:rPr>
              <w:t>1.8</w:t>
            </w:r>
          </w:p>
        </w:tc>
      </w:tr>
      <w:tr w:rsidR="00E6123B" w14:paraId="11EA9444"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39"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Dunk South</w:t>
            </w:r>
          </w:p>
        </w:tc>
        <w:tc>
          <w:tcPr>
            <w:tcW w:w="694" w:type="dxa"/>
            <w:tcBorders>
              <w:top w:val="single" w:sz="4" w:space="0" w:color="auto"/>
              <w:left w:val="single" w:sz="4" w:space="0" w:color="auto"/>
              <w:bottom w:val="single" w:sz="4" w:space="0" w:color="auto"/>
              <w:right w:val="single" w:sz="4" w:space="0" w:color="auto"/>
            </w:tcBorders>
            <w:noWrap/>
            <w:hideMark/>
          </w:tcPr>
          <w:p w14:paraId="11EA943A"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23</w:t>
            </w:r>
          </w:p>
        </w:tc>
        <w:tc>
          <w:tcPr>
            <w:tcW w:w="694" w:type="dxa"/>
            <w:tcBorders>
              <w:top w:val="single" w:sz="4" w:space="0" w:color="auto"/>
              <w:left w:val="single" w:sz="4" w:space="0" w:color="auto"/>
              <w:bottom w:val="single" w:sz="4" w:space="0" w:color="auto"/>
              <w:right w:val="single" w:sz="4" w:space="0" w:color="auto"/>
            </w:tcBorders>
            <w:noWrap/>
            <w:hideMark/>
          </w:tcPr>
          <w:p w14:paraId="11EA943B"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5.3</w:t>
            </w:r>
          </w:p>
        </w:tc>
        <w:tc>
          <w:tcPr>
            <w:tcW w:w="694" w:type="dxa"/>
            <w:tcBorders>
              <w:top w:val="single" w:sz="4" w:space="0" w:color="auto"/>
              <w:left w:val="single" w:sz="4" w:space="0" w:color="auto"/>
              <w:bottom w:val="single" w:sz="4" w:space="0" w:color="auto"/>
              <w:right w:val="single" w:sz="4" w:space="0" w:color="auto"/>
            </w:tcBorders>
            <w:noWrap/>
            <w:hideMark/>
          </w:tcPr>
          <w:p w14:paraId="11EA943C"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15.6</w:t>
            </w:r>
          </w:p>
        </w:tc>
        <w:tc>
          <w:tcPr>
            <w:tcW w:w="701" w:type="dxa"/>
            <w:tcBorders>
              <w:top w:val="single" w:sz="4" w:space="0" w:color="auto"/>
              <w:left w:val="single" w:sz="4" w:space="0" w:color="auto"/>
              <w:bottom w:val="single" w:sz="4" w:space="0" w:color="auto"/>
              <w:right w:val="single" w:sz="4" w:space="0" w:color="auto"/>
            </w:tcBorders>
            <w:noWrap/>
            <w:hideMark/>
          </w:tcPr>
          <w:p w14:paraId="11EA943D"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1.9</w:t>
            </w:r>
          </w:p>
        </w:tc>
        <w:tc>
          <w:tcPr>
            <w:tcW w:w="267" w:type="dxa"/>
            <w:tcBorders>
              <w:top w:val="nil"/>
              <w:left w:val="single" w:sz="4" w:space="0" w:color="auto"/>
              <w:bottom w:val="nil"/>
              <w:right w:val="single" w:sz="4" w:space="0" w:color="auto"/>
            </w:tcBorders>
            <w:noWrap/>
            <w:hideMark/>
          </w:tcPr>
          <w:p w14:paraId="11EA943E"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3F" w14:textId="575713EA" w:rsidR="00E6123B" w:rsidRPr="00E53765" w:rsidRDefault="00E6123B" w:rsidP="00E6123B">
            <w:pPr>
              <w:rPr>
                <w:rFonts w:ascii="Arial Narrow" w:hAnsi="Arial Narrow"/>
                <w:color w:val="000000"/>
                <w:lang w:eastAsia="zh-CN"/>
              </w:rPr>
            </w:pPr>
            <w:r w:rsidRPr="00E53765">
              <w:rPr>
                <w:rFonts w:ascii="Arial Narrow" w:hAnsi="Arial Narrow"/>
                <w:color w:val="000000"/>
              </w:rPr>
              <w:t>North Keppel</w:t>
            </w:r>
          </w:p>
        </w:tc>
        <w:tc>
          <w:tcPr>
            <w:tcW w:w="708" w:type="dxa"/>
            <w:tcBorders>
              <w:top w:val="single" w:sz="4" w:space="0" w:color="auto"/>
              <w:left w:val="single" w:sz="4" w:space="0" w:color="auto"/>
              <w:bottom w:val="single" w:sz="4" w:space="0" w:color="auto"/>
              <w:right w:val="single" w:sz="4" w:space="0" w:color="auto"/>
            </w:tcBorders>
            <w:noWrap/>
          </w:tcPr>
          <w:p w14:paraId="11EA9440" w14:textId="42A3D119" w:rsidR="00E6123B" w:rsidRPr="00E53765" w:rsidRDefault="00E6123B" w:rsidP="00E6123B">
            <w:pPr>
              <w:rPr>
                <w:rFonts w:ascii="Arial Narrow" w:hAnsi="Arial Narrow"/>
                <w:color w:val="000000"/>
                <w:lang w:eastAsia="zh-CN"/>
              </w:rPr>
            </w:pPr>
            <w:r w:rsidRPr="00E53765">
              <w:rPr>
                <w:rFonts w:ascii="Arial Narrow" w:hAnsi="Arial Narrow"/>
                <w:color w:val="000000"/>
              </w:rPr>
              <w:t>23</w:t>
            </w:r>
          </w:p>
        </w:tc>
        <w:tc>
          <w:tcPr>
            <w:tcW w:w="709" w:type="dxa"/>
            <w:tcBorders>
              <w:top w:val="single" w:sz="4" w:space="0" w:color="auto"/>
              <w:left w:val="single" w:sz="4" w:space="0" w:color="auto"/>
              <w:bottom w:val="single" w:sz="4" w:space="0" w:color="auto"/>
              <w:right w:val="single" w:sz="4" w:space="0" w:color="auto"/>
            </w:tcBorders>
            <w:noWrap/>
          </w:tcPr>
          <w:p w14:paraId="11EA9441" w14:textId="219984CD" w:rsidR="00E6123B" w:rsidRPr="00E53765" w:rsidRDefault="00E6123B" w:rsidP="00E6123B">
            <w:pPr>
              <w:rPr>
                <w:rFonts w:ascii="Arial Narrow" w:hAnsi="Arial Narrow"/>
                <w:color w:val="000000"/>
                <w:lang w:eastAsia="zh-CN"/>
              </w:rPr>
            </w:pPr>
            <w:r w:rsidRPr="00E53765">
              <w:rPr>
                <w:rFonts w:ascii="Arial Narrow" w:hAnsi="Arial Narrow"/>
                <w:color w:val="000000"/>
              </w:rPr>
              <w:t>5.1</w:t>
            </w:r>
          </w:p>
        </w:tc>
        <w:tc>
          <w:tcPr>
            <w:tcW w:w="709" w:type="dxa"/>
            <w:tcBorders>
              <w:top w:val="single" w:sz="4" w:space="0" w:color="auto"/>
              <w:left w:val="single" w:sz="4" w:space="0" w:color="auto"/>
              <w:bottom w:val="single" w:sz="4" w:space="0" w:color="auto"/>
              <w:right w:val="single" w:sz="4" w:space="0" w:color="auto"/>
            </w:tcBorders>
            <w:noWrap/>
          </w:tcPr>
          <w:p w14:paraId="11EA9442" w14:textId="19886259" w:rsidR="00E6123B" w:rsidRPr="00E53765" w:rsidRDefault="00E6123B" w:rsidP="00E6123B">
            <w:pPr>
              <w:rPr>
                <w:rFonts w:ascii="Arial Narrow" w:hAnsi="Arial Narrow"/>
                <w:color w:val="000000"/>
                <w:lang w:eastAsia="zh-CN"/>
              </w:rPr>
            </w:pPr>
            <w:r w:rsidRPr="00E53765">
              <w:rPr>
                <w:rFonts w:ascii="Arial Narrow" w:hAnsi="Arial Narrow"/>
                <w:color w:val="000000"/>
              </w:rPr>
              <w:t>22.6</w:t>
            </w:r>
          </w:p>
        </w:tc>
        <w:tc>
          <w:tcPr>
            <w:tcW w:w="709" w:type="dxa"/>
            <w:tcBorders>
              <w:top w:val="single" w:sz="4" w:space="0" w:color="auto"/>
              <w:left w:val="single" w:sz="4" w:space="0" w:color="auto"/>
              <w:bottom w:val="single" w:sz="4" w:space="0" w:color="auto"/>
              <w:right w:val="single" w:sz="4" w:space="0" w:color="auto"/>
            </w:tcBorders>
            <w:noWrap/>
          </w:tcPr>
          <w:p w14:paraId="11EA9443" w14:textId="2031BAD0" w:rsidR="00E6123B" w:rsidRPr="00E53765" w:rsidRDefault="00E6123B" w:rsidP="00E6123B">
            <w:pPr>
              <w:rPr>
                <w:rFonts w:ascii="Arial Narrow" w:hAnsi="Arial Narrow"/>
                <w:color w:val="000000"/>
                <w:lang w:eastAsia="zh-CN"/>
              </w:rPr>
            </w:pPr>
            <w:r w:rsidRPr="00E53765">
              <w:rPr>
                <w:rFonts w:ascii="Arial Narrow" w:hAnsi="Arial Narrow"/>
                <w:color w:val="000000"/>
              </w:rPr>
              <w:t>1.8</w:t>
            </w:r>
          </w:p>
        </w:tc>
      </w:tr>
      <w:tr w:rsidR="00E6123B" w14:paraId="11EA9450"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45"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Fitzroy East</w:t>
            </w:r>
          </w:p>
        </w:tc>
        <w:tc>
          <w:tcPr>
            <w:tcW w:w="694" w:type="dxa"/>
            <w:tcBorders>
              <w:top w:val="single" w:sz="4" w:space="0" w:color="auto"/>
              <w:left w:val="single" w:sz="4" w:space="0" w:color="auto"/>
              <w:bottom w:val="single" w:sz="4" w:space="0" w:color="auto"/>
              <w:right w:val="single" w:sz="4" w:space="0" w:color="auto"/>
            </w:tcBorders>
            <w:noWrap/>
            <w:hideMark/>
          </w:tcPr>
          <w:p w14:paraId="11EA9446"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11.7</w:t>
            </w:r>
          </w:p>
        </w:tc>
        <w:tc>
          <w:tcPr>
            <w:tcW w:w="694" w:type="dxa"/>
            <w:tcBorders>
              <w:top w:val="single" w:sz="4" w:space="0" w:color="auto"/>
              <w:left w:val="single" w:sz="4" w:space="0" w:color="auto"/>
              <w:bottom w:val="single" w:sz="4" w:space="0" w:color="auto"/>
              <w:right w:val="single" w:sz="4" w:space="0" w:color="auto"/>
            </w:tcBorders>
            <w:noWrap/>
            <w:hideMark/>
          </w:tcPr>
          <w:p w14:paraId="11EA9447"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3.5</w:t>
            </w:r>
          </w:p>
        </w:tc>
        <w:tc>
          <w:tcPr>
            <w:tcW w:w="694" w:type="dxa"/>
            <w:tcBorders>
              <w:top w:val="single" w:sz="4" w:space="0" w:color="auto"/>
              <w:left w:val="single" w:sz="4" w:space="0" w:color="auto"/>
              <w:bottom w:val="single" w:sz="4" w:space="0" w:color="auto"/>
              <w:right w:val="single" w:sz="4" w:space="0" w:color="auto"/>
            </w:tcBorders>
            <w:noWrap/>
            <w:hideMark/>
          </w:tcPr>
          <w:p w14:paraId="11EA9448"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10</w:t>
            </w:r>
          </w:p>
        </w:tc>
        <w:tc>
          <w:tcPr>
            <w:tcW w:w="701" w:type="dxa"/>
            <w:tcBorders>
              <w:top w:val="single" w:sz="4" w:space="0" w:color="auto"/>
              <w:left w:val="single" w:sz="4" w:space="0" w:color="auto"/>
              <w:bottom w:val="single" w:sz="4" w:space="0" w:color="auto"/>
              <w:right w:val="single" w:sz="4" w:space="0" w:color="auto"/>
            </w:tcBorders>
            <w:noWrap/>
            <w:hideMark/>
          </w:tcPr>
          <w:p w14:paraId="11EA9449"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1.5</w:t>
            </w:r>
          </w:p>
        </w:tc>
        <w:tc>
          <w:tcPr>
            <w:tcW w:w="267" w:type="dxa"/>
            <w:tcBorders>
              <w:top w:val="nil"/>
              <w:left w:val="single" w:sz="4" w:space="0" w:color="auto"/>
              <w:bottom w:val="nil"/>
              <w:right w:val="single" w:sz="4" w:space="0" w:color="auto"/>
            </w:tcBorders>
            <w:noWrap/>
            <w:hideMark/>
          </w:tcPr>
          <w:p w14:paraId="11EA944A"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4B" w14:textId="2ED8862B" w:rsidR="00E6123B" w:rsidRPr="00E53765" w:rsidRDefault="00E6123B" w:rsidP="00E6123B">
            <w:pPr>
              <w:rPr>
                <w:rFonts w:ascii="Arial Narrow" w:hAnsi="Arial Narrow"/>
                <w:color w:val="000000"/>
                <w:lang w:eastAsia="zh-CN"/>
              </w:rPr>
            </w:pPr>
            <w:r w:rsidRPr="00E53765">
              <w:rPr>
                <w:rFonts w:ascii="Arial Narrow" w:hAnsi="Arial Narrow"/>
                <w:color w:val="000000"/>
              </w:rPr>
              <w:t>Palms East</w:t>
            </w:r>
          </w:p>
        </w:tc>
        <w:tc>
          <w:tcPr>
            <w:tcW w:w="708" w:type="dxa"/>
            <w:tcBorders>
              <w:top w:val="single" w:sz="4" w:space="0" w:color="auto"/>
              <w:left w:val="single" w:sz="4" w:space="0" w:color="auto"/>
              <w:bottom w:val="single" w:sz="4" w:space="0" w:color="auto"/>
              <w:right w:val="single" w:sz="4" w:space="0" w:color="auto"/>
            </w:tcBorders>
            <w:noWrap/>
          </w:tcPr>
          <w:p w14:paraId="11EA944C" w14:textId="439FF9D6" w:rsidR="00E6123B" w:rsidRPr="00E53765" w:rsidRDefault="00E6123B" w:rsidP="00E6123B">
            <w:pPr>
              <w:rPr>
                <w:rFonts w:ascii="Arial Narrow" w:hAnsi="Arial Narrow"/>
                <w:color w:val="000000"/>
                <w:lang w:eastAsia="zh-CN"/>
              </w:rPr>
            </w:pPr>
            <w:r w:rsidRPr="00E53765">
              <w:rPr>
                <w:rFonts w:ascii="Arial Narrow" w:hAnsi="Arial Narrow"/>
                <w:color w:val="000000"/>
              </w:rPr>
              <w:t>12.2</w:t>
            </w:r>
          </w:p>
        </w:tc>
        <w:tc>
          <w:tcPr>
            <w:tcW w:w="709" w:type="dxa"/>
            <w:tcBorders>
              <w:top w:val="single" w:sz="4" w:space="0" w:color="auto"/>
              <w:left w:val="single" w:sz="4" w:space="0" w:color="auto"/>
              <w:bottom w:val="single" w:sz="4" w:space="0" w:color="auto"/>
              <w:right w:val="single" w:sz="4" w:space="0" w:color="auto"/>
            </w:tcBorders>
            <w:noWrap/>
          </w:tcPr>
          <w:p w14:paraId="11EA944D" w14:textId="6B4054E4" w:rsidR="00E6123B" w:rsidRPr="00E53765" w:rsidRDefault="00E6123B" w:rsidP="00E6123B">
            <w:pPr>
              <w:rPr>
                <w:rFonts w:ascii="Arial Narrow" w:hAnsi="Arial Narrow"/>
                <w:color w:val="000000"/>
                <w:lang w:eastAsia="zh-CN"/>
              </w:rPr>
            </w:pPr>
            <w:r w:rsidRPr="00E53765">
              <w:rPr>
                <w:rFonts w:ascii="Arial Narrow" w:hAnsi="Arial Narrow"/>
                <w:color w:val="000000"/>
              </w:rPr>
              <w:t>3.6</w:t>
            </w:r>
          </w:p>
        </w:tc>
        <w:tc>
          <w:tcPr>
            <w:tcW w:w="709" w:type="dxa"/>
            <w:tcBorders>
              <w:top w:val="single" w:sz="4" w:space="0" w:color="auto"/>
              <w:left w:val="single" w:sz="4" w:space="0" w:color="auto"/>
              <w:bottom w:val="single" w:sz="4" w:space="0" w:color="auto"/>
              <w:right w:val="single" w:sz="4" w:space="0" w:color="auto"/>
            </w:tcBorders>
            <w:noWrap/>
          </w:tcPr>
          <w:p w14:paraId="11EA944E" w14:textId="1E0599FA" w:rsidR="00E6123B" w:rsidRPr="00E53765" w:rsidRDefault="00E6123B" w:rsidP="00E6123B">
            <w:pPr>
              <w:rPr>
                <w:rFonts w:ascii="Arial Narrow" w:hAnsi="Arial Narrow"/>
                <w:color w:val="000000"/>
                <w:lang w:eastAsia="zh-CN"/>
              </w:rPr>
            </w:pPr>
            <w:r w:rsidRPr="00E53765">
              <w:rPr>
                <w:rFonts w:ascii="Arial Narrow" w:hAnsi="Arial Narrow"/>
                <w:color w:val="000000"/>
              </w:rPr>
              <w:t>10.5</w:t>
            </w:r>
          </w:p>
        </w:tc>
        <w:tc>
          <w:tcPr>
            <w:tcW w:w="709" w:type="dxa"/>
            <w:tcBorders>
              <w:top w:val="single" w:sz="4" w:space="0" w:color="auto"/>
              <w:left w:val="single" w:sz="4" w:space="0" w:color="auto"/>
              <w:bottom w:val="single" w:sz="4" w:space="0" w:color="auto"/>
              <w:right w:val="single" w:sz="4" w:space="0" w:color="auto"/>
            </w:tcBorders>
            <w:noWrap/>
          </w:tcPr>
          <w:p w14:paraId="11EA944F" w14:textId="57F0DC11" w:rsidR="00E6123B" w:rsidRPr="00E53765" w:rsidRDefault="00E6123B" w:rsidP="00E6123B">
            <w:pPr>
              <w:rPr>
                <w:rFonts w:ascii="Arial Narrow" w:hAnsi="Arial Narrow"/>
                <w:color w:val="000000"/>
                <w:lang w:eastAsia="zh-CN"/>
              </w:rPr>
            </w:pPr>
            <w:r w:rsidRPr="00E53765">
              <w:rPr>
                <w:rFonts w:ascii="Arial Narrow" w:hAnsi="Arial Narrow"/>
                <w:color w:val="000000"/>
              </w:rPr>
              <w:t>1.5</w:t>
            </w:r>
          </w:p>
        </w:tc>
      </w:tr>
      <w:tr w:rsidR="00E6123B" w14:paraId="11EA945C"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51"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Fitzroy West</w:t>
            </w:r>
          </w:p>
        </w:tc>
        <w:tc>
          <w:tcPr>
            <w:tcW w:w="694" w:type="dxa"/>
            <w:tcBorders>
              <w:top w:val="single" w:sz="4" w:space="0" w:color="auto"/>
              <w:left w:val="single" w:sz="4" w:space="0" w:color="auto"/>
              <w:bottom w:val="single" w:sz="4" w:space="0" w:color="auto"/>
              <w:right w:val="single" w:sz="4" w:space="0" w:color="auto"/>
            </w:tcBorders>
            <w:noWrap/>
            <w:hideMark/>
          </w:tcPr>
          <w:p w14:paraId="11EA9452"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12.5</w:t>
            </w:r>
          </w:p>
        </w:tc>
        <w:tc>
          <w:tcPr>
            <w:tcW w:w="694" w:type="dxa"/>
            <w:tcBorders>
              <w:top w:val="single" w:sz="4" w:space="0" w:color="auto"/>
              <w:left w:val="single" w:sz="4" w:space="0" w:color="auto"/>
              <w:bottom w:val="single" w:sz="4" w:space="0" w:color="auto"/>
              <w:right w:val="single" w:sz="4" w:space="0" w:color="auto"/>
            </w:tcBorders>
            <w:noWrap/>
            <w:hideMark/>
          </w:tcPr>
          <w:p w14:paraId="11EA9453"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3.3</w:t>
            </w:r>
          </w:p>
        </w:tc>
        <w:tc>
          <w:tcPr>
            <w:tcW w:w="694" w:type="dxa"/>
            <w:tcBorders>
              <w:top w:val="single" w:sz="4" w:space="0" w:color="auto"/>
              <w:left w:val="single" w:sz="4" w:space="0" w:color="auto"/>
              <w:bottom w:val="single" w:sz="4" w:space="0" w:color="auto"/>
              <w:right w:val="single" w:sz="4" w:space="0" w:color="auto"/>
            </w:tcBorders>
            <w:noWrap/>
            <w:hideMark/>
          </w:tcPr>
          <w:p w14:paraId="11EA9454"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13.3</w:t>
            </w:r>
          </w:p>
        </w:tc>
        <w:tc>
          <w:tcPr>
            <w:tcW w:w="701" w:type="dxa"/>
            <w:tcBorders>
              <w:top w:val="single" w:sz="4" w:space="0" w:color="auto"/>
              <w:left w:val="single" w:sz="4" w:space="0" w:color="auto"/>
              <w:bottom w:val="single" w:sz="4" w:space="0" w:color="auto"/>
              <w:right w:val="single" w:sz="4" w:space="0" w:color="auto"/>
            </w:tcBorders>
            <w:noWrap/>
            <w:hideMark/>
          </w:tcPr>
          <w:p w14:paraId="11EA9455"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1.5</w:t>
            </w:r>
          </w:p>
        </w:tc>
        <w:tc>
          <w:tcPr>
            <w:tcW w:w="267" w:type="dxa"/>
            <w:tcBorders>
              <w:top w:val="nil"/>
              <w:left w:val="single" w:sz="4" w:space="0" w:color="auto"/>
              <w:bottom w:val="nil"/>
              <w:right w:val="single" w:sz="4" w:space="0" w:color="auto"/>
            </w:tcBorders>
            <w:noWrap/>
            <w:hideMark/>
          </w:tcPr>
          <w:p w14:paraId="11EA9456"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57" w14:textId="4E37669F" w:rsidR="00E6123B" w:rsidRPr="00E53765" w:rsidRDefault="00E6123B" w:rsidP="00E6123B">
            <w:pPr>
              <w:rPr>
                <w:rFonts w:ascii="Arial Narrow" w:hAnsi="Arial Narrow"/>
                <w:color w:val="000000"/>
                <w:lang w:eastAsia="zh-CN"/>
              </w:rPr>
            </w:pPr>
            <w:r w:rsidRPr="00E53765">
              <w:rPr>
                <w:rFonts w:ascii="Arial Narrow" w:hAnsi="Arial Narrow"/>
                <w:color w:val="000000"/>
              </w:rPr>
              <w:t>Palms West</w:t>
            </w:r>
          </w:p>
        </w:tc>
        <w:tc>
          <w:tcPr>
            <w:tcW w:w="708" w:type="dxa"/>
            <w:tcBorders>
              <w:top w:val="single" w:sz="4" w:space="0" w:color="auto"/>
              <w:left w:val="single" w:sz="4" w:space="0" w:color="auto"/>
              <w:bottom w:val="single" w:sz="4" w:space="0" w:color="auto"/>
              <w:right w:val="single" w:sz="4" w:space="0" w:color="auto"/>
            </w:tcBorders>
            <w:noWrap/>
          </w:tcPr>
          <w:p w14:paraId="11EA9458" w14:textId="3E68B190" w:rsidR="00E6123B" w:rsidRPr="00E53765" w:rsidRDefault="00E6123B" w:rsidP="00E6123B">
            <w:pPr>
              <w:rPr>
                <w:rFonts w:ascii="Arial Narrow" w:hAnsi="Arial Narrow"/>
                <w:color w:val="000000"/>
                <w:lang w:eastAsia="zh-CN"/>
              </w:rPr>
            </w:pPr>
            <w:r w:rsidRPr="00E53765">
              <w:rPr>
                <w:rFonts w:ascii="Arial Narrow" w:hAnsi="Arial Narrow"/>
                <w:color w:val="000000"/>
              </w:rPr>
              <w:t>12.8</w:t>
            </w:r>
          </w:p>
        </w:tc>
        <w:tc>
          <w:tcPr>
            <w:tcW w:w="709" w:type="dxa"/>
            <w:tcBorders>
              <w:top w:val="single" w:sz="4" w:space="0" w:color="auto"/>
              <w:left w:val="single" w:sz="4" w:space="0" w:color="auto"/>
              <w:bottom w:val="single" w:sz="4" w:space="0" w:color="auto"/>
              <w:right w:val="single" w:sz="4" w:space="0" w:color="auto"/>
            </w:tcBorders>
            <w:noWrap/>
          </w:tcPr>
          <w:p w14:paraId="11EA9459" w14:textId="5170A5F2" w:rsidR="00E6123B" w:rsidRPr="00E53765" w:rsidRDefault="00E6123B" w:rsidP="00E6123B">
            <w:pPr>
              <w:rPr>
                <w:rFonts w:ascii="Arial Narrow" w:hAnsi="Arial Narrow"/>
                <w:color w:val="000000"/>
                <w:lang w:eastAsia="zh-CN"/>
              </w:rPr>
            </w:pPr>
            <w:r w:rsidRPr="00E53765">
              <w:rPr>
                <w:rFonts w:ascii="Arial Narrow" w:hAnsi="Arial Narrow"/>
                <w:color w:val="000000"/>
              </w:rPr>
              <w:t>3.4</w:t>
            </w:r>
          </w:p>
        </w:tc>
        <w:tc>
          <w:tcPr>
            <w:tcW w:w="709" w:type="dxa"/>
            <w:tcBorders>
              <w:top w:val="single" w:sz="4" w:space="0" w:color="auto"/>
              <w:left w:val="single" w:sz="4" w:space="0" w:color="auto"/>
              <w:bottom w:val="single" w:sz="4" w:space="0" w:color="auto"/>
              <w:right w:val="single" w:sz="4" w:space="0" w:color="auto"/>
            </w:tcBorders>
            <w:noWrap/>
          </w:tcPr>
          <w:p w14:paraId="11EA945A" w14:textId="699B1D70" w:rsidR="00E6123B" w:rsidRPr="00E53765" w:rsidRDefault="00E6123B" w:rsidP="00E6123B">
            <w:pPr>
              <w:rPr>
                <w:rFonts w:ascii="Arial Narrow" w:hAnsi="Arial Narrow"/>
                <w:color w:val="000000"/>
                <w:lang w:eastAsia="zh-CN"/>
              </w:rPr>
            </w:pPr>
            <w:r w:rsidRPr="00E53765">
              <w:rPr>
                <w:rFonts w:ascii="Arial Narrow" w:hAnsi="Arial Narrow"/>
                <w:color w:val="000000"/>
              </w:rPr>
              <w:t>17.5</w:t>
            </w:r>
          </w:p>
        </w:tc>
        <w:tc>
          <w:tcPr>
            <w:tcW w:w="709" w:type="dxa"/>
            <w:tcBorders>
              <w:top w:val="single" w:sz="4" w:space="0" w:color="auto"/>
              <w:left w:val="single" w:sz="4" w:space="0" w:color="auto"/>
              <w:bottom w:val="single" w:sz="4" w:space="0" w:color="auto"/>
              <w:right w:val="single" w:sz="4" w:space="0" w:color="auto"/>
            </w:tcBorders>
            <w:noWrap/>
          </w:tcPr>
          <w:p w14:paraId="11EA945B" w14:textId="7EC53A6F" w:rsidR="00E6123B" w:rsidRPr="00E53765" w:rsidRDefault="00E6123B" w:rsidP="00E6123B">
            <w:pPr>
              <w:rPr>
                <w:rFonts w:ascii="Arial Narrow" w:hAnsi="Arial Narrow"/>
                <w:color w:val="000000"/>
                <w:lang w:eastAsia="zh-CN"/>
              </w:rPr>
            </w:pPr>
            <w:r w:rsidRPr="00E53765">
              <w:rPr>
                <w:rFonts w:ascii="Arial Narrow" w:hAnsi="Arial Narrow"/>
                <w:color w:val="000000"/>
              </w:rPr>
              <w:t>1.5</w:t>
            </w:r>
          </w:p>
        </w:tc>
      </w:tr>
      <w:tr w:rsidR="00E6123B" w14:paraId="11EA9468"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5D"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Franklands East</w:t>
            </w:r>
          </w:p>
        </w:tc>
        <w:tc>
          <w:tcPr>
            <w:tcW w:w="694" w:type="dxa"/>
            <w:tcBorders>
              <w:top w:val="single" w:sz="4" w:space="0" w:color="auto"/>
              <w:left w:val="single" w:sz="4" w:space="0" w:color="auto"/>
              <w:bottom w:val="single" w:sz="4" w:space="0" w:color="auto"/>
              <w:right w:val="single" w:sz="4" w:space="0" w:color="auto"/>
            </w:tcBorders>
            <w:noWrap/>
            <w:hideMark/>
          </w:tcPr>
          <w:p w14:paraId="11EA945E"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12.2</w:t>
            </w:r>
          </w:p>
        </w:tc>
        <w:tc>
          <w:tcPr>
            <w:tcW w:w="694" w:type="dxa"/>
            <w:tcBorders>
              <w:top w:val="single" w:sz="4" w:space="0" w:color="auto"/>
              <w:left w:val="single" w:sz="4" w:space="0" w:color="auto"/>
              <w:bottom w:val="single" w:sz="4" w:space="0" w:color="auto"/>
              <w:right w:val="single" w:sz="4" w:space="0" w:color="auto"/>
            </w:tcBorders>
            <w:noWrap/>
            <w:hideMark/>
          </w:tcPr>
          <w:p w14:paraId="11EA945F"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3.4</w:t>
            </w:r>
          </w:p>
        </w:tc>
        <w:tc>
          <w:tcPr>
            <w:tcW w:w="694" w:type="dxa"/>
            <w:tcBorders>
              <w:top w:val="single" w:sz="4" w:space="0" w:color="auto"/>
              <w:left w:val="single" w:sz="4" w:space="0" w:color="auto"/>
              <w:bottom w:val="single" w:sz="4" w:space="0" w:color="auto"/>
              <w:right w:val="single" w:sz="4" w:space="0" w:color="auto"/>
            </w:tcBorders>
            <w:noWrap/>
            <w:hideMark/>
          </w:tcPr>
          <w:p w14:paraId="11EA9460"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10.5</w:t>
            </w:r>
          </w:p>
        </w:tc>
        <w:tc>
          <w:tcPr>
            <w:tcW w:w="701" w:type="dxa"/>
            <w:tcBorders>
              <w:top w:val="single" w:sz="4" w:space="0" w:color="auto"/>
              <w:left w:val="single" w:sz="4" w:space="0" w:color="auto"/>
              <w:bottom w:val="single" w:sz="4" w:space="0" w:color="auto"/>
              <w:right w:val="single" w:sz="4" w:space="0" w:color="auto"/>
            </w:tcBorders>
            <w:noWrap/>
            <w:hideMark/>
          </w:tcPr>
          <w:p w14:paraId="11EA9461"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1.5</w:t>
            </w:r>
          </w:p>
        </w:tc>
        <w:tc>
          <w:tcPr>
            <w:tcW w:w="267" w:type="dxa"/>
            <w:tcBorders>
              <w:top w:val="nil"/>
              <w:left w:val="single" w:sz="4" w:space="0" w:color="auto"/>
              <w:bottom w:val="nil"/>
              <w:right w:val="single" w:sz="4" w:space="0" w:color="auto"/>
            </w:tcBorders>
            <w:noWrap/>
            <w:hideMark/>
          </w:tcPr>
          <w:p w14:paraId="11EA9462"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63" w14:textId="6F5FB1FA" w:rsidR="00E6123B" w:rsidRPr="00E53765" w:rsidRDefault="00E6123B" w:rsidP="00E6123B">
            <w:pPr>
              <w:rPr>
                <w:rFonts w:ascii="Arial Narrow" w:hAnsi="Arial Narrow"/>
                <w:color w:val="000000"/>
                <w:lang w:eastAsia="zh-CN"/>
              </w:rPr>
            </w:pPr>
            <w:r w:rsidRPr="00E53765">
              <w:rPr>
                <w:rFonts w:ascii="Arial Narrow" w:hAnsi="Arial Narrow"/>
                <w:color w:val="000000"/>
              </w:rPr>
              <w:t>Pandora North</w:t>
            </w:r>
          </w:p>
        </w:tc>
        <w:tc>
          <w:tcPr>
            <w:tcW w:w="708" w:type="dxa"/>
            <w:tcBorders>
              <w:top w:val="single" w:sz="4" w:space="0" w:color="auto"/>
              <w:left w:val="single" w:sz="4" w:space="0" w:color="auto"/>
              <w:bottom w:val="single" w:sz="4" w:space="0" w:color="auto"/>
              <w:right w:val="single" w:sz="4" w:space="0" w:color="auto"/>
            </w:tcBorders>
            <w:noWrap/>
          </w:tcPr>
          <w:p w14:paraId="11EA9464" w14:textId="2D2DB109" w:rsidR="00E6123B" w:rsidRPr="00E53765" w:rsidRDefault="00E6123B" w:rsidP="00E6123B">
            <w:pPr>
              <w:rPr>
                <w:rFonts w:ascii="Arial Narrow" w:hAnsi="Arial Narrow"/>
                <w:color w:val="000000"/>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11EA9465" w14:textId="14EB97DD" w:rsidR="00E6123B" w:rsidRPr="00E53765" w:rsidRDefault="00E6123B" w:rsidP="00E6123B">
            <w:pPr>
              <w:rPr>
                <w:rFonts w:ascii="Arial Narrow" w:hAnsi="Arial Narrow"/>
                <w:color w:val="000000"/>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11EA9466" w14:textId="453BB530" w:rsidR="00E6123B" w:rsidRPr="00E53765" w:rsidRDefault="00E6123B" w:rsidP="00E6123B">
            <w:pPr>
              <w:rPr>
                <w:rFonts w:ascii="Arial Narrow" w:hAnsi="Arial Narrow"/>
                <w:color w:val="000000"/>
                <w:lang w:eastAsia="zh-CN"/>
              </w:rPr>
            </w:pPr>
            <w:r w:rsidRPr="00E53765">
              <w:rPr>
                <w:rFonts w:ascii="Arial Narrow" w:hAnsi="Arial Narrow"/>
                <w:color w:val="000000"/>
              </w:rPr>
              <w:t>13.1</w:t>
            </w:r>
          </w:p>
        </w:tc>
        <w:tc>
          <w:tcPr>
            <w:tcW w:w="709" w:type="dxa"/>
            <w:tcBorders>
              <w:top w:val="single" w:sz="4" w:space="0" w:color="auto"/>
              <w:left w:val="single" w:sz="4" w:space="0" w:color="auto"/>
              <w:bottom w:val="single" w:sz="4" w:space="0" w:color="auto"/>
              <w:right w:val="single" w:sz="4" w:space="0" w:color="auto"/>
            </w:tcBorders>
            <w:noWrap/>
          </w:tcPr>
          <w:p w14:paraId="11EA9467" w14:textId="1EA2C589" w:rsidR="00E6123B" w:rsidRPr="00E53765" w:rsidRDefault="00E6123B" w:rsidP="00E6123B">
            <w:pPr>
              <w:rPr>
                <w:rFonts w:ascii="Arial Narrow" w:hAnsi="Arial Narrow"/>
                <w:color w:val="000000"/>
                <w:lang w:eastAsia="zh-CN"/>
              </w:rPr>
            </w:pPr>
            <w:r w:rsidRPr="00E53765">
              <w:rPr>
                <w:rFonts w:ascii="Arial Narrow" w:hAnsi="Arial Narrow"/>
                <w:color w:val="000000"/>
              </w:rPr>
              <w:t>1.6</w:t>
            </w:r>
          </w:p>
        </w:tc>
      </w:tr>
      <w:tr w:rsidR="00E6123B" w14:paraId="11EA9474"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69"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Franklands West</w:t>
            </w:r>
          </w:p>
        </w:tc>
        <w:tc>
          <w:tcPr>
            <w:tcW w:w="694" w:type="dxa"/>
            <w:tcBorders>
              <w:top w:val="single" w:sz="4" w:space="0" w:color="auto"/>
              <w:left w:val="single" w:sz="4" w:space="0" w:color="auto"/>
              <w:bottom w:val="single" w:sz="4" w:space="0" w:color="auto"/>
              <w:right w:val="single" w:sz="4" w:space="0" w:color="auto"/>
            </w:tcBorders>
            <w:noWrap/>
            <w:hideMark/>
          </w:tcPr>
          <w:p w14:paraId="11EA946A"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11.4</w:t>
            </w:r>
          </w:p>
        </w:tc>
        <w:tc>
          <w:tcPr>
            <w:tcW w:w="694" w:type="dxa"/>
            <w:tcBorders>
              <w:top w:val="single" w:sz="4" w:space="0" w:color="auto"/>
              <w:left w:val="single" w:sz="4" w:space="0" w:color="auto"/>
              <w:bottom w:val="single" w:sz="4" w:space="0" w:color="auto"/>
              <w:right w:val="single" w:sz="4" w:space="0" w:color="auto"/>
            </w:tcBorders>
            <w:noWrap/>
            <w:hideMark/>
          </w:tcPr>
          <w:p w14:paraId="11EA946B"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3.4</w:t>
            </w:r>
          </w:p>
        </w:tc>
        <w:tc>
          <w:tcPr>
            <w:tcW w:w="694" w:type="dxa"/>
            <w:tcBorders>
              <w:top w:val="single" w:sz="4" w:space="0" w:color="auto"/>
              <w:left w:val="single" w:sz="4" w:space="0" w:color="auto"/>
              <w:bottom w:val="single" w:sz="4" w:space="0" w:color="auto"/>
              <w:right w:val="single" w:sz="4" w:space="0" w:color="auto"/>
            </w:tcBorders>
            <w:noWrap/>
            <w:hideMark/>
          </w:tcPr>
          <w:p w14:paraId="11EA946C"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15.8</w:t>
            </w:r>
          </w:p>
        </w:tc>
        <w:tc>
          <w:tcPr>
            <w:tcW w:w="701" w:type="dxa"/>
            <w:tcBorders>
              <w:top w:val="single" w:sz="4" w:space="0" w:color="auto"/>
              <w:left w:val="single" w:sz="4" w:space="0" w:color="auto"/>
              <w:bottom w:val="single" w:sz="4" w:space="0" w:color="auto"/>
              <w:right w:val="single" w:sz="4" w:space="0" w:color="auto"/>
            </w:tcBorders>
            <w:noWrap/>
            <w:hideMark/>
          </w:tcPr>
          <w:p w14:paraId="11EA946D"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1.5</w:t>
            </w:r>
          </w:p>
        </w:tc>
        <w:tc>
          <w:tcPr>
            <w:tcW w:w="267" w:type="dxa"/>
            <w:tcBorders>
              <w:top w:val="nil"/>
              <w:left w:val="single" w:sz="4" w:space="0" w:color="auto"/>
              <w:bottom w:val="nil"/>
              <w:right w:val="single" w:sz="4" w:space="0" w:color="auto"/>
            </w:tcBorders>
            <w:noWrap/>
            <w:hideMark/>
          </w:tcPr>
          <w:p w14:paraId="11EA946E"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6F" w14:textId="6580DD1A" w:rsidR="00E6123B" w:rsidRPr="00E53765" w:rsidRDefault="00E6123B" w:rsidP="00E6123B">
            <w:pPr>
              <w:rPr>
                <w:rFonts w:ascii="Arial Narrow" w:hAnsi="Arial Narrow"/>
                <w:color w:val="000000"/>
                <w:lang w:eastAsia="zh-CN"/>
              </w:rPr>
            </w:pPr>
            <w:r w:rsidRPr="00E53765">
              <w:rPr>
                <w:rFonts w:ascii="Arial Narrow" w:hAnsi="Arial Narrow"/>
                <w:color w:val="000000"/>
              </w:rPr>
              <w:t>Pandora</w:t>
            </w:r>
          </w:p>
        </w:tc>
        <w:tc>
          <w:tcPr>
            <w:tcW w:w="708" w:type="dxa"/>
            <w:tcBorders>
              <w:top w:val="single" w:sz="4" w:space="0" w:color="auto"/>
              <w:left w:val="single" w:sz="4" w:space="0" w:color="auto"/>
              <w:bottom w:val="single" w:sz="4" w:space="0" w:color="auto"/>
              <w:right w:val="single" w:sz="4" w:space="0" w:color="auto"/>
            </w:tcBorders>
            <w:noWrap/>
          </w:tcPr>
          <w:p w14:paraId="11EA9470" w14:textId="1BAF2176" w:rsidR="00E6123B" w:rsidRPr="00E53765" w:rsidRDefault="00E6123B" w:rsidP="00E6123B">
            <w:pPr>
              <w:rPr>
                <w:rFonts w:ascii="Arial Narrow" w:hAnsi="Arial Narrow"/>
                <w:lang w:eastAsia="zh-CN"/>
              </w:rPr>
            </w:pPr>
            <w:r w:rsidRPr="00E53765">
              <w:rPr>
                <w:rFonts w:ascii="Arial Narrow" w:hAnsi="Arial Narrow"/>
                <w:color w:val="000000"/>
              </w:rPr>
              <w:t>23</w:t>
            </w:r>
          </w:p>
        </w:tc>
        <w:tc>
          <w:tcPr>
            <w:tcW w:w="709" w:type="dxa"/>
            <w:tcBorders>
              <w:top w:val="single" w:sz="4" w:space="0" w:color="auto"/>
              <w:left w:val="single" w:sz="4" w:space="0" w:color="auto"/>
              <w:bottom w:val="single" w:sz="4" w:space="0" w:color="auto"/>
              <w:right w:val="single" w:sz="4" w:space="0" w:color="auto"/>
            </w:tcBorders>
            <w:noWrap/>
          </w:tcPr>
          <w:p w14:paraId="11EA9471" w14:textId="28A37EBD" w:rsidR="00E6123B" w:rsidRPr="00E53765" w:rsidRDefault="00E6123B" w:rsidP="00E6123B">
            <w:pPr>
              <w:rPr>
                <w:rFonts w:ascii="Arial Narrow" w:hAnsi="Arial Narrow"/>
                <w:lang w:eastAsia="zh-CN"/>
              </w:rPr>
            </w:pPr>
            <w:r w:rsidRPr="00E53765">
              <w:rPr>
                <w:rFonts w:ascii="Arial Narrow" w:hAnsi="Arial Narrow"/>
                <w:color w:val="000000"/>
              </w:rPr>
              <w:t>4.7</w:t>
            </w:r>
          </w:p>
        </w:tc>
        <w:tc>
          <w:tcPr>
            <w:tcW w:w="709" w:type="dxa"/>
            <w:tcBorders>
              <w:top w:val="single" w:sz="4" w:space="0" w:color="auto"/>
              <w:left w:val="single" w:sz="4" w:space="0" w:color="auto"/>
              <w:bottom w:val="single" w:sz="4" w:space="0" w:color="auto"/>
              <w:right w:val="single" w:sz="4" w:space="0" w:color="auto"/>
            </w:tcBorders>
            <w:noWrap/>
          </w:tcPr>
          <w:p w14:paraId="11EA9472" w14:textId="2341EE75" w:rsidR="00E6123B" w:rsidRPr="00E53765" w:rsidRDefault="00E6123B" w:rsidP="00E6123B">
            <w:pPr>
              <w:rPr>
                <w:rFonts w:ascii="Arial Narrow" w:hAnsi="Arial Narrow"/>
                <w:color w:val="000000"/>
                <w:lang w:eastAsia="zh-CN"/>
              </w:rPr>
            </w:pPr>
            <w:r w:rsidRPr="00E53765">
              <w:rPr>
                <w:rFonts w:ascii="Arial Narrow" w:hAnsi="Arial Narrow"/>
                <w:color w:val="000000"/>
              </w:rPr>
              <w:t>16.2</w:t>
            </w:r>
          </w:p>
        </w:tc>
        <w:tc>
          <w:tcPr>
            <w:tcW w:w="709" w:type="dxa"/>
            <w:tcBorders>
              <w:top w:val="single" w:sz="4" w:space="0" w:color="auto"/>
              <w:left w:val="single" w:sz="4" w:space="0" w:color="auto"/>
              <w:bottom w:val="single" w:sz="4" w:space="0" w:color="auto"/>
              <w:right w:val="single" w:sz="4" w:space="0" w:color="auto"/>
            </w:tcBorders>
            <w:noWrap/>
          </w:tcPr>
          <w:p w14:paraId="11EA9473" w14:textId="3365B128" w:rsidR="00E6123B" w:rsidRPr="00E53765" w:rsidRDefault="00E6123B" w:rsidP="00E6123B">
            <w:pPr>
              <w:rPr>
                <w:rFonts w:ascii="Arial Narrow" w:hAnsi="Arial Narrow"/>
                <w:color w:val="000000"/>
                <w:lang w:eastAsia="zh-CN"/>
              </w:rPr>
            </w:pPr>
            <w:r w:rsidRPr="00E53765">
              <w:rPr>
                <w:rFonts w:ascii="Arial Narrow" w:hAnsi="Arial Narrow"/>
                <w:color w:val="000000"/>
              </w:rPr>
              <w:t>1.6</w:t>
            </w:r>
          </w:p>
        </w:tc>
      </w:tr>
      <w:tr w:rsidR="00E6123B" w14:paraId="11EA9480"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75"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Green</w:t>
            </w:r>
          </w:p>
        </w:tc>
        <w:tc>
          <w:tcPr>
            <w:tcW w:w="694" w:type="dxa"/>
            <w:tcBorders>
              <w:top w:val="single" w:sz="4" w:space="0" w:color="auto"/>
              <w:left w:val="single" w:sz="4" w:space="0" w:color="auto"/>
              <w:bottom w:val="single" w:sz="4" w:space="0" w:color="auto"/>
              <w:right w:val="single" w:sz="4" w:space="0" w:color="auto"/>
            </w:tcBorders>
            <w:noWrap/>
            <w:hideMark/>
          </w:tcPr>
          <w:p w14:paraId="11EA9476" w14:textId="77777777" w:rsidR="00E6123B" w:rsidRPr="00E53765" w:rsidRDefault="00E6123B" w:rsidP="00E6123B">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11EA9477" w14:textId="77777777" w:rsidR="00E6123B" w:rsidRPr="00E53765" w:rsidRDefault="00E6123B" w:rsidP="00E6123B">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11EA9478"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11.9</w:t>
            </w:r>
          </w:p>
        </w:tc>
        <w:tc>
          <w:tcPr>
            <w:tcW w:w="701" w:type="dxa"/>
            <w:tcBorders>
              <w:top w:val="single" w:sz="4" w:space="0" w:color="auto"/>
              <w:left w:val="single" w:sz="4" w:space="0" w:color="auto"/>
              <w:bottom w:val="single" w:sz="4" w:space="0" w:color="auto"/>
              <w:right w:val="single" w:sz="4" w:space="0" w:color="auto"/>
            </w:tcBorders>
            <w:noWrap/>
            <w:hideMark/>
          </w:tcPr>
          <w:p w14:paraId="11EA9479"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1.6</w:t>
            </w:r>
          </w:p>
        </w:tc>
        <w:tc>
          <w:tcPr>
            <w:tcW w:w="267" w:type="dxa"/>
            <w:tcBorders>
              <w:top w:val="nil"/>
              <w:left w:val="single" w:sz="4" w:space="0" w:color="auto"/>
              <w:bottom w:val="nil"/>
              <w:right w:val="single" w:sz="4" w:space="0" w:color="auto"/>
            </w:tcBorders>
            <w:noWrap/>
            <w:hideMark/>
          </w:tcPr>
          <w:p w14:paraId="11EA947A"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7B" w14:textId="5F4A1D47" w:rsidR="00E6123B" w:rsidRPr="00E53765" w:rsidRDefault="00E6123B" w:rsidP="00E6123B">
            <w:pPr>
              <w:rPr>
                <w:rFonts w:ascii="Arial Narrow" w:hAnsi="Arial Narrow"/>
                <w:color w:val="000000"/>
                <w:lang w:eastAsia="zh-CN"/>
              </w:rPr>
            </w:pPr>
            <w:r w:rsidRPr="00E53765">
              <w:rPr>
                <w:rFonts w:ascii="Arial Narrow" w:hAnsi="Arial Narrow"/>
                <w:color w:val="000000"/>
              </w:rPr>
              <w:t>Peak</w:t>
            </w:r>
          </w:p>
        </w:tc>
        <w:tc>
          <w:tcPr>
            <w:tcW w:w="708" w:type="dxa"/>
            <w:tcBorders>
              <w:top w:val="single" w:sz="4" w:space="0" w:color="auto"/>
              <w:left w:val="single" w:sz="4" w:space="0" w:color="auto"/>
              <w:bottom w:val="single" w:sz="4" w:space="0" w:color="auto"/>
              <w:right w:val="single" w:sz="4" w:space="0" w:color="auto"/>
            </w:tcBorders>
            <w:noWrap/>
          </w:tcPr>
          <w:p w14:paraId="11EA947C" w14:textId="39520D27" w:rsidR="00E6123B" w:rsidRPr="00E53765" w:rsidRDefault="00E6123B" w:rsidP="00E6123B">
            <w:pPr>
              <w:rPr>
                <w:rFonts w:ascii="Arial Narrow" w:hAnsi="Arial Narrow"/>
                <w:color w:val="000000"/>
                <w:lang w:eastAsia="zh-CN"/>
              </w:rPr>
            </w:pPr>
            <w:r w:rsidRPr="00E53765">
              <w:rPr>
                <w:rFonts w:ascii="Arial Narrow" w:hAnsi="Arial Narrow"/>
                <w:color w:val="000000"/>
              </w:rPr>
              <w:t>23</w:t>
            </w:r>
          </w:p>
        </w:tc>
        <w:tc>
          <w:tcPr>
            <w:tcW w:w="709" w:type="dxa"/>
            <w:tcBorders>
              <w:top w:val="single" w:sz="4" w:space="0" w:color="auto"/>
              <w:left w:val="single" w:sz="4" w:space="0" w:color="auto"/>
              <w:bottom w:val="single" w:sz="4" w:space="0" w:color="auto"/>
              <w:right w:val="single" w:sz="4" w:space="0" w:color="auto"/>
            </w:tcBorders>
            <w:noWrap/>
          </w:tcPr>
          <w:p w14:paraId="11EA947D" w14:textId="1BCF5B46" w:rsidR="00E6123B" w:rsidRPr="00E53765" w:rsidRDefault="00E6123B" w:rsidP="00E6123B">
            <w:pPr>
              <w:rPr>
                <w:rFonts w:ascii="Arial Narrow" w:hAnsi="Arial Narrow"/>
                <w:color w:val="000000"/>
                <w:lang w:eastAsia="zh-CN"/>
              </w:rPr>
            </w:pPr>
            <w:r w:rsidRPr="00E53765">
              <w:rPr>
                <w:rFonts w:ascii="Arial Narrow" w:hAnsi="Arial Narrow"/>
                <w:color w:val="000000"/>
              </w:rPr>
              <w:t>6.3</w:t>
            </w:r>
          </w:p>
        </w:tc>
        <w:tc>
          <w:tcPr>
            <w:tcW w:w="709" w:type="dxa"/>
            <w:tcBorders>
              <w:top w:val="single" w:sz="4" w:space="0" w:color="auto"/>
              <w:left w:val="single" w:sz="4" w:space="0" w:color="auto"/>
              <w:bottom w:val="single" w:sz="4" w:space="0" w:color="auto"/>
              <w:right w:val="single" w:sz="4" w:space="0" w:color="auto"/>
            </w:tcBorders>
            <w:noWrap/>
          </w:tcPr>
          <w:p w14:paraId="11EA947E" w14:textId="7CED588E" w:rsidR="00E6123B" w:rsidRPr="00E53765" w:rsidRDefault="00E6123B" w:rsidP="00E6123B">
            <w:pPr>
              <w:rPr>
                <w:rFonts w:ascii="Arial Narrow" w:hAnsi="Arial Narrow"/>
                <w:color w:val="000000"/>
                <w:lang w:eastAsia="zh-CN"/>
              </w:rPr>
            </w:pPr>
            <w:r w:rsidRPr="00E53765">
              <w:rPr>
                <w:rFonts w:ascii="Arial Narrow" w:hAnsi="Arial Narrow"/>
                <w:color w:val="000000"/>
              </w:rPr>
              <w:t>19.1</w:t>
            </w:r>
          </w:p>
        </w:tc>
        <w:tc>
          <w:tcPr>
            <w:tcW w:w="709" w:type="dxa"/>
            <w:tcBorders>
              <w:top w:val="single" w:sz="4" w:space="0" w:color="auto"/>
              <w:left w:val="single" w:sz="4" w:space="0" w:color="auto"/>
              <w:bottom w:val="single" w:sz="4" w:space="0" w:color="auto"/>
              <w:right w:val="single" w:sz="4" w:space="0" w:color="auto"/>
            </w:tcBorders>
            <w:noWrap/>
          </w:tcPr>
          <w:p w14:paraId="11EA947F" w14:textId="386B2E68" w:rsidR="00E6123B" w:rsidRPr="00E53765" w:rsidRDefault="00E6123B" w:rsidP="00E6123B">
            <w:pPr>
              <w:rPr>
                <w:rFonts w:ascii="Arial Narrow" w:hAnsi="Arial Narrow"/>
                <w:color w:val="000000"/>
                <w:lang w:eastAsia="zh-CN"/>
              </w:rPr>
            </w:pPr>
            <w:r w:rsidRPr="00E53765">
              <w:rPr>
                <w:rFonts w:ascii="Arial Narrow" w:hAnsi="Arial Narrow"/>
                <w:color w:val="000000"/>
              </w:rPr>
              <w:t>2</w:t>
            </w:r>
          </w:p>
        </w:tc>
      </w:tr>
      <w:tr w:rsidR="00E6123B" w14:paraId="11EA948C"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81"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Havannah North</w:t>
            </w:r>
          </w:p>
        </w:tc>
        <w:tc>
          <w:tcPr>
            <w:tcW w:w="694" w:type="dxa"/>
            <w:tcBorders>
              <w:top w:val="single" w:sz="4" w:space="0" w:color="auto"/>
              <w:left w:val="single" w:sz="4" w:space="0" w:color="auto"/>
              <w:bottom w:val="single" w:sz="4" w:space="0" w:color="auto"/>
              <w:right w:val="single" w:sz="4" w:space="0" w:color="auto"/>
            </w:tcBorders>
            <w:noWrap/>
            <w:hideMark/>
          </w:tcPr>
          <w:p w14:paraId="11EA9482" w14:textId="77777777" w:rsidR="00E6123B" w:rsidRPr="00E53765" w:rsidRDefault="00E6123B" w:rsidP="00E6123B">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11EA9483" w14:textId="77777777" w:rsidR="00E6123B" w:rsidRPr="00E53765" w:rsidRDefault="00E6123B" w:rsidP="00E6123B">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11EA9484"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21.7</w:t>
            </w:r>
          </w:p>
        </w:tc>
        <w:tc>
          <w:tcPr>
            <w:tcW w:w="701" w:type="dxa"/>
            <w:tcBorders>
              <w:top w:val="single" w:sz="4" w:space="0" w:color="auto"/>
              <w:left w:val="single" w:sz="4" w:space="0" w:color="auto"/>
              <w:bottom w:val="single" w:sz="4" w:space="0" w:color="auto"/>
              <w:right w:val="single" w:sz="4" w:space="0" w:color="auto"/>
            </w:tcBorders>
            <w:noWrap/>
            <w:hideMark/>
          </w:tcPr>
          <w:p w14:paraId="11EA9485"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1.5</w:t>
            </w:r>
          </w:p>
        </w:tc>
        <w:tc>
          <w:tcPr>
            <w:tcW w:w="267" w:type="dxa"/>
            <w:tcBorders>
              <w:top w:val="nil"/>
              <w:left w:val="single" w:sz="4" w:space="0" w:color="auto"/>
              <w:bottom w:val="single" w:sz="4" w:space="0" w:color="auto"/>
              <w:right w:val="single" w:sz="4" w:space="0" w:color="auto"/>
            </w:tcBorders>
            <w:noWrap/>
            <w:hideMark/>
          </w:tcPr>
          <w:p w14:paraId="11EA9486"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87" w14:textId="02E01823" w:rsidR="00E6123B" w:rsidRPr="00E53765" w:rsidRDefault="00E6123B" w:rsidP="00E6123B">
            <w:pPr>
              <w:rPr>
                <w:rFonts w:ascii="Arial Narrow" w:hAnsi="Arial Narrow"/>
                <w:color w:val="000000"/>
                <w:lang w:eastAsia="zh-CN"/>
              </w:rPr>
            </w:pPr>
            <w:r w:rsidRPr="00E53765">
              <w:rPr>
                <w:rFonts w:ascii="Arial Narrow" w:hAnsi="Arial Narrow"/>
                <w:color w:val="000000"/>
              </w:rPr>
              <w:t>Pelican</w:t>
            </w:r>
          </w:p>
        </w:tc>
        <w:tc>
          <w:tcPr>
            <w:tcW w:w="708" w:type="dxa"/>
            <w:tcBorders>
              <w:top w:val="single" w:sz="4" w:space="0" w:color="auto"/>
              <w:left w:val="single" w:sz="4" w:space="0" w:color="auto"/>
              <w:bottom w:val="single" w:sz="4" w:space="0" w:color="auto"/>
              <w:right w:val="single" w:sz="4" w:space="0" w:color="auto"/>
            </w:tcBorders>
            <w:noWrap/>
          </w:tcPr>
          <w:p w14:paraId="11EA9488" w14:textId="6A0AADB6" w:rsidR="00E6123B" w:rsidRPr="00E53765" w:rsidRDefault="00E6123B" w:rsidP="00E6123B">
            <w:pPr>
              <w:rPr>
                <w:rFonts w:ascii="Arial Narrow" w:hAnsi="Arial Narrow"/>
                <w:color w:val="000000"/>
                <w:lang w:eastAsia="zh-CN"/>
              </w:rPr>
            </w:pPr>
            <w:r w:rsidRPr="00E53765">
              <w:rPr>
                <w:rFonts w:ascii="Arial Narrow" w:hAnsi="Arial Narrow"/>
                <w:color w:val="000000"/>
              </w:rPr>
              <w:t>23</w:t>
            </w:r>
          </w:p>
        </w:tc>
        <w:tc>
          <w:tcPr>
            <w:tcW w:w="709" w:type="dxa"/>
            <w:tcBorders>
              <w:top w:val="single" w:sz="4" w:space="0" w:color="auto"/>
              <w:left w:val="single" w:sz="4" w:space="0" w:color="auto"/>
              <w:bottom w:val="single" w:sz="4" w:space="0" w:color="auto"/>
              <w:right w:val="single" w:sz="4" w:space="0" w:color="auto"/>
            </w:tcBorders>
            <w:noWrap/>
          </w:tcPr>
          <w:p w14:paraId="11EA9489" w14:textId="36B70566" w:rsidR="00E6123B" w:rsidRPr="00E53765" w:rsidRDefault="00E6123B" w:rsidP="00E6123B">
            <w:pPr>
              <w:rPr>
                <w:rFonts w:ascii="Arial Narrow" w:hAnsi="Arial Narrow"/>
                <w:color w:val="000000"/>
                <w:lang w:eastAsia="zh-CN"/>
              </w:rPr>
            </w:pPr>
            <w:r w:rsidRPr="00E53765">
              <w:rPr>
                <w:rFonts w:ascii="Arial Narrow" w:hAnsi="Arial Narrow"/>
                <w:color w:val="000000"/>
              </w:rPr>
              <w:t>6.4</w:t>
            </w:r>
          </w:p>
        </w:tc>
        <w:tc>
          <w:tcPr>
            <w:tcW w:w="709" w:type="dxa"/>
            <w:tcBorders>
              <w:top w:val="single" w:sz="4" w:space="0" w:color="auto"/>
              <w:left w:val="single" w:sz="4" w:space="0" w:color="auto"/>
              <w:bottom w:val="single" w:sz="4" w:space="0" w:color="auto"/>
              <w:right w:val="single" w:sz="4" w:space="0" w:color="auto"/>
            </w:tcBorders>
            <w:noWrap/>
          </w:tcPr>
          <w:p w14:paraId="11EA948A" w14:textId="2656E236" w:rsidR="00E6123B" w:rsidRPr="00E53765" w:rsidRDefault="00E6123B" w:rsidP="00E6123B">
            <w:pPr>
              <w:rPr>
                <w:rFonts w:ascii="Arial Narrow" w:hAnsi="Arial Narrow"/>
                <w:color w:val="000000"/>
                <w:lang w:eastAsia="zh-CN"/>
              </w:rPr>
            </w:pPr>
            <w:r w:rsidRPr="00E53765">
              <w:rPr>
                <w:rFonts w:ascii="Arial Narrow" w:hAnsi="Arial Narrow"/>
                <w:color w:val="000000"/>
              </w:rPr>
              <w:t>18.8</w:t>
            </w:r>
          </w:p>
        </w:tc>
        <w:tc>
          <w:tcPr>
            <w:tcW w:w="709" w:type="dxa"/>
            <w:tcBorders>
              <w:top w:val="single" w:sz="4" w:space="0" w:color="auto"/>
              <w:left w:val="single" w:sz="4" w:space="0" w:color="auto"/>
              <w:bottom w:val="single" w:sz="4" w:space="0" w:color="auto"/>
              <w:right w:val="single" w:sz="4" w:space="0" w:color="auto"/>
            </w:tcBorders>
            <w:noWrap/>
          </w:tcPr>
          <w:p w14:paraId="11EA948B" w14:textId="6E310862" w:rsidR="00E6123B" w:rsidRPr="00E53765" w:rsidRDefault="00E6123B" w:rsidP="00E6123B">
            <w:pPr>
              <w:rPr>
                <w:rFonts w:ascii="Arial Narrow" w:hAnsi="Arial Narrow"/>
                <w:color w:val="000000"/>
                <w:lang w:eastAsia="zh-CN"/>
              </w:rPr>
            </w:pPr>
            <w:r w:rsidRPr="00E53765">
              <w:rPr>
                <w:rFonts w:ascii="Arial Narrow" w:hAnsi="Arial Narrow"/>
                <w:color w:val="000000"/>
              </w:rPr>
              <w:t>2</w:t>
            </w:r>
          </w:p>
        </w:tc>
      </w:tr>
      <w:tr w:rsidR="00E6123B" w14:paraId="11EA9498"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8D"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Havannah</w:t>
            </w:r>
          </w:p>
        </w:tc>
        <w:tc>
          <w:tcPr>
            <w:tcW w:w="694" w:type="dxa"/>
            <w:tcBorders>
              <w:top w:val="single" w:sz="4" w:space="0" w:color="auto"/>
              <w:left w:val="single" w:sz="4" w:space="0" w:color="auto"/>
              <w:bottom w:val="single" w:sz="4" w:space="0" w:color="auto"/>
              <w:right w:val="single" w:sz="4" w:space="0" w:color="auto"/>
            </w:tcBorders>
            <w:noWrap/>
            <w:hideMark/>
          </w:tcPr>
          <w:p w14:paraId="11EA948E"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18.2</w:t>
            </w:r>
          </w:p>
        </w:tc>
        <w:tc>
          <w:tcPr>
            <w:tcW w:w="694" w:type="dxa"/>
            <w:tcBorders>
              <w:top w:val="single" w:sz="4" w:space="0" w:color="auto"/>
              <w:left w:val="single" w:sz="4" w:space="0" w:color="auto"/>
              <w:bottom w:val="single" w:sz="4" w:space="0" w:color="auto"/>
              <w:right w:val="single" w:sz="4" w:space="0" w:color="auto"/>
            </w:tcBorders>
            <w:noWrap/>
            <w:hideMark/>
          </w:tcPr>
          <w:p w14:paraId="11EA948F"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3.4</w:t>
            </w:r>
          </w:p>
        </w:tc>
        <w:tc>
          <w:tcPr>
            <w:tcW w:w="694" w:type="dxa"/>
            <w:tcBorders>
              <w:top w:val="single" w:sz="4" w:space="0" w:color="auto"/>
              <w:left w:val="single" w:sz="4" w:space="0" w:color="auto"/>
              <w:bottom w:val="single" w:sz="4" w:space="0" w:color="auto"/>
              <w:right w:val="single" w:sz="4" w:space="0" w:color="auto"/>
            </w:tcBorders>
            <w:noWrap/>
            <w:hideMark/>
          </w:tcPr>
          <w:p w14:paraId="11EA9490"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25</w:t>
            </w:r>
          </w:p>
        </w:tc>
        <w:tc>
          <w:tcPr>
            <w:tcW w:w="701" w:type="dxa"/>
            <w:tcBorders>
              <w:top w:val="single" w:sz="4" w:space="0" w:color="auto"/>
              <w:left w:val="single" w:sz="4" w:space="0" w:color="auto"/>
              <w:bottom w:val="single" w:sz="4" w:space="0" w:color="auto"/>
              <w:right w:val="single" w:sz="4" w:space="0" w:color="auto"/>
            </w:tcBorders>
            <w:noWrap/>
            <w:hideMark/>
          </w:tcPr>
          <w:p w14:paraId="11EA9491"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1.6</w:t>
            </w:r>
          </w:p>
        </w:tc>
        <w:tc>
          <w:tcPr>
            <w:tcW w:w="267" w:type="dxa"/>
            <w:tcBorders>
              <w:top w:val="single" w:sz="4" w:space="0" w:color="auto"/>
              <w:left w:val="single" w:sz="4" w:space="0" w:color="auto"/>
              <w:bottom w:val="nil"/>
              <w:right w:val="single" w:sz="4" w:space="0" w:color="auto"/>
            </w:tcBorders>
            <w:noWrap/>
            <w:hideMark/>
          </w:tcPr>
          <w:p w14:paraId="11EA9492"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93" w14:textId="6A1B7E7A" w:rsidR="00E6123B" w:rsidRPr="00E53765" w:rsidRDefault="00E6123B" w:rsidP="00E6123B">
            <w:pPr>
              <w:rPr>
                <w:rFonts w:ascii="Arial Narrow" w:hAnsi="Arial Narrow"/>
                <w:color w:val="000000"/>
                <w:lang w:eastAsia="zh-CN"/>
              </w:rPr>
            </w:pPr>
            <w:r w:rsidRPr="00E53765">
              <w:rPr>
                <w:rFonts w:ascii="Arial Narrow" w:hAnsi="Arial Narrow"/>
                <w:color w:val="000000"/>
              </w:rPr>
              <w:t>Pine</w:t>
            </w:r>
          </w:p>
        </w:tc>
        <w:tc>
          <w:tcPr>
            <w:tcW w:w="708" w:type="dxa"/>
            <w:tcBorders>
              <w:top w:val="single" w:sz="4" w:space="0" w:color="auto"/>
              <w:left w:val="single" w:sz="4" w:space="0" w:color="auto"/>
              <w:bottom w:val="single" w:sz="4" w:space="0" w:color="auto"/>
              <w:right w:val="single" w:sz="4" w:space="0" w:color="auto"/>
            </w:tcBorders>
            <w:noWrap/>
          </w:tcPr>
          <w:p w14:paraId="11EA9494" w14:textId="3BCFF74C" w:rsidR="00E6123B" w:rsidRPr="00E53765" w:rsidRDefault="00E6123B" w:rsidP="00E6123B">
            <w:pPr>
              <w:rPr>
                <w:rFonts w:ascii="Arial Narrow" w:hAnsi="Arial Narrow"/>
                <w:color w:val="000000"/>
                <w:lang w:eastAsia="zh-CN"/>
              </w:rPr>
            </w:pPr>
            <w:r w:rsidRPr="00E53765">
              <w:rPr>
                <w:rFonts w:ascii="Arial Narrow" w:hAnsi="Arial Narrow"/>
                <w:color w:val="000000"/>
              </w:rPr>
              <w:t>18.3</w:t>
            </w:r>
          </w:p>
        </w:tc>
        <w:tc>
          <w:tcPr>
            <w:tcW w:w="709" w:type="dxa"/>
            <w:tcBorders>
              <w:top w:val="single" w:sz="4" w:space="0" w:color="auto"/>
              <w:left w:val="single" w:sz="4" w:space="0" w:color="auto"/>
              <w:bottom w:val="single" w:sz="4" w:space="0" w:color="auto"/>
              <w:right w:val="single" w:sz="4" w:space="0" w:color="auto"/>
            </w:tcBorders>
            <w:noWrap/>
          </w:tcPr>
          <w:p w14:paraId="11EA9495" w14:textId="344EE472" w:rsidR="00E6123B" w:rsidRPr="00E53765" w:rsidRDefault="00E6123B" w:rsidP="00E6123B">
            <w:pPr>
              <w:rPr>
                <w:rFonts w:ascii="Arial Narrow" w:hAnsi="Arial Narrow"/>
                <w:color w:val="000000"/>
                <w:lang w:eastAsia="zh-CN"/>
              </w:rPr>
            </w:pPr>
            <w:r w:rsidRPr="00E53765">
              <w:rPr>
                <w:rFonts w:ascii="Arial Narrow" w:hAnsi="Arial Narrow"/>
                <w:color w:val="000000"/>
              </w:rPr>
              <w:t>4.4</w:t>
            </w:r>
          </w:p>
        </w:tc>
        <w:tc>
          <w:tcPr>
            <w:tcW w:w="709" w:type="dxa"/>
            <w:tcBorders>
              <w:top w:val="single" w:sz="4" w:space="0" w:color="auto"/>
              <w:left w:val="single" w:sz="4" w:space="0" w:color="auto"/>
              <w:bottom w:val="single" w:sz="4" w:space="0" w:color="auto"/>
              <w:right w:val="single" w:sz="4" w:space="0" w:color="auto"/>
            </w:tcBorders>
            <w:noWrap/>
          </w:tcPr>
          <w:p w14:paraId="11EA9496" w14:textId="519EA7FA" w:rsidR="00E6123B" w:rsidRPr="00E53765" w:rsidRDefault="00E6123B" w:rsidP="00E6123B">
            <w:pPr>
              <w:rPr>
                <w:rFonts w:ascii="Arial Narrow" w:hAnsi="Arial Narrow"/>
                <w:color w:val="000000"/>
                <w:lang w:eastAsia="zh-CN"/>
              </w:rPr>
            </w:pPr>
            <w:r w:rsidRPr="00E53765">
              <w:rPr>
                <w:rFonts w:ascii="Arial Narrow" w:hAnsi="Arial Narrow"/>
                <w:color w:val="000000"/>
              </w:rPr>
              <w:t>11.2</w:t>
            </w:r>
          </w:p>
        </w:tc>
        <w:tc>
          <w:tcPr>
            <w:tcW w:w="709" w:type="dxa"/>
            <w:tcBorders>
              <w:top w:val="single" w:sz="4" w:space="0" w:color="auto"/>
              <w:left w:val="single" w:sz="4" w:space="0" w:color="auto"/>
              <w:bottom w:val="single" w:sz="4" w:space="0" w:color="auto"/>
              <w:right w:val="single" w:sz="4" w:space="0" w:color="auto"/>
            </w:tcBorders>
            <w:noWrap/>
          </w:tcPr>
          <w:p w14:paraId="11EA9497" w14:textId="4E9F155C" w:rsidR="00E6123B" w:rsidRPr="00E53765" w:rsidRDefault="00E6123B" w:rsidP="00E6123B">
            <w:pPr>
              <w:rPr>
                <w:rFonts w:ascii="Arial Narrow" w:hAnsi="Arial Narrow"/>
                <w:color w:val="000000"/>
                <w:lang w:eastAsia="zh-CN"/>
              </w:rPr>
            </w:pPr>
            <w:r w:rsidRPr="00E53765">
              <w:rPr>
                <w:rFonts w:ascii="Arial Narrow" w:hAnsi="Arial Narrow"/>
                <w:color w:val="000000"/>
              </w:rPr>
              <w:t>1.6</w:t>
            </w:r>
          </w:p>
        </w:tc>
      </w:tr>
      <w:tr w:rsidR="00E6123B" w14:paraId="11EA94A4"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99"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Hayman</w:t>
            </w:r>
          </w:p>
        </w:tc>
        <w:tc>
          <w:tcPr>
            <w:tcW w:w="694" w:type="dxa"/>
            <w:tcBorders>
              <w:top w:val="single" w:sz="4" w:space="0" w:color="auto"/>
              <w:left w:val="single" w:sz="4" w:space="0" w:color="auto"/>
              <w:bottom w:val="single" w:sz="4" w:space="0" w:color="auto"/>
              <w:right w:val="single" w:sz="4" w:space="0" w:color="auto"/>
            </w:tcBorders>
            <w:noWrap/>
            <w:hideMark/>
          </w:tcPr>
          <w:p w14:paraId="11EA949A" w14:textId="77777777" w:rsidR="00E6123B" w:rsidRPr="00E53765" w:rsidRDefault="00E6123B" w:rsidP="00E6123B">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11EA949B" w14:textId="77777777" w:rsidR="00E6123B" w:rsidRPr="00E53765" w:rsidRDefault="00E6123B" w:rsidP="00E6123B">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11EA949C"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9.4</w:t>
            </w:r>
          </w:p>
        </w:tc>
        <w:tc>
          <w:tcPr>
            <w:tcW w:w="701" w:type="dxa"/>
            <w:tcBorders>
              <w:top w:val="single" w:sz="4" w:space="0" w:color="auto"/>
              <w:left w:val="single" w:sz="4" w:space="0" w:color="auto"/>
              <w:bottom w:val="single" w:sz="4" w:space="0" w:color="auto"/>
              <w:right w:val="single" w:sz="4" w:space="0" w:color="auto"/>
            </w:tcBorders>
            <w:noWrap/>
            <w:hideMark/>
          </w:tcPr>
          <w:p w14:paraId="11EA949D"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1.4</w:t>
            </w:r>
          </w:p>
        </w:tc>
        <w:tc>
          <w:tcPr>
            <w:tcW w:w="267" w:type="dxa"/>
            <w:tcBorders>
              <w:top w:val="nil"/>
              <w:left w:val="single" w:sz="4" w:space="0" w:color="auto"/>
              <w:bottom w:val="nil"/>
              <w:right w:val="single" w:sz="4" w:space="0" w:color="auto"/>
            </w:tcBorders>
            <w:noWrap/>
            <w:hideMark/>
          </w:tcPr>
          <w:p w14:paraId="11EA949E"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9F" w14:textId="480347B5" w:rsidR="00E6123B" w:rsidRPr="00E53765" w:rsidRDefault="00E6123B" w:rsidP="00E6123B">
            <w:pPr>
              <w:rPr>
                <w:rFonts w:ascii="Arial Narrow" w:hAnsi="Arial Narrow"/>
                <w:color w:val="000000"/>
                <w:lang w:eastAsia="zh-CN"/>
              </w:rPr>
            </w:pPr>
            <w:r w:rsidRPr="00E53765">
              <w:rPr>
                <w:rFonts w:ascii="Arial Narrow" w:hAnsi="Arial Narrow"/>
                <w:color w:val="000000"/>
              </w:rPr>
              <w:t>Seaforth</w:t>
            </w:r>
          </w:p>
        </w:tc>
        <w:tc>
          <w:tcPr>
            <w:tcW w:w="708" w:type="dxa"/>
            <w:tcBorders>
              <w:top w:val="single" w:sz="4" w:space="0" w:color="auto"/>
              <w:left w:val="single" w:sz="4" w:space="0" w:color="auto"/>
              <w:bottom w:val="single" w:sz="4" w:space="0" w:color="auto"/>
              <w:right w:val="single" w:sz="4" w:space="0" w:color="auto"/>
            </w:tcBorders>
            <w:noWrap/>
          </w:tcPr>
          <w:p w14:paraId="11EA94A0" w14:textId="40E2CA10" w:rsidR="00E6123B" w:rsidRPr="00E53765" w:rsidRDefault="00E6123B" w:rsidP="00E6123B">
            <w:pPr>
              <w:rPr>
                <w:rFonts w:ascii="Arial Narrow" w:hAnsi="Arial Narrow"/>
                <w:color w:val="000000"/>
                <w:lang w:eastAsia="zh-CN"/>
              </w:rPr>
            </w:pPr>
            <w:r w:rsidRPr="00E53765">
              <w:rPr>
                <w:rFonts w:ascii="Arial Narrow" w:hAnsi="Arial Narrow"/>
                <w:color w:val="000000"/>
              </w:rPr>
              <w:t>11.8</w:t>
            </w:r>
          </w:p>
        </w:tc>
        <w:tc>
          <w:tcPr>
            <w:tcW w:w="709" w:type="dxa"/>
            <w:tcBorders>
              <w:top w:val="single" w:sz="4" w:space="0" w:color="auto"/>
              <w:left w:val="single" w:sz="4" w:space="0" w:color="auto"/>
              <w:bottom w:val="single" w:sz="4" w:space="0" w:color="auto"/>
              <w:right w:val="single" w:sz="4" w:space="0" w:color="auto"/>
            </w:tcBorders>
            <w:noWrap/>
          </w:tcPr>
          <w:p w14:paraId="11EA94A1" w14:textId="576EA373" w:rsidR="00E6123B" w:rsidRPr="00E53765" w:rsidRDefault="00E6123B" w:rsidP="00E6123B">
            <w:pPr>
              <w:rPr>
                <w:rFonts w:ascii="Arial Narrow" w:hAnsi="Arial Narrow"/>
                <w:color w:val="000000"/>
                <w:lang w:eastAsia="zh-CN"/>
              </w:rPr>
            </w:pPr>
            <w:r w:rsidRPr="00E53765">
              <w:rPr>
                <w:rFonts w:ascii="Arial Narrow" w:hAnsi="Arial Narrow"/>
                <w:color w:val="000000"/>
              </w:rPr>
              <w:t>3.4</w:t>
            </w:r>
          </w:p>
        </w:tc>
        <w:tc>
          <w:tcPr>
            <w:tcW w:w="709" w:type="dxa"/>
            <w:tcBorders>
              <w:top w:val="single" w:sz="4" w:space="0" w:color="auto"/>
              <w:left w:val="single" w:sz="4" w:space="0" w:color="auto"/>
              <w:bottom w:val="single" w:sz="4" w:space="0" w:color="auto"/>
              <w:right w:val="single" w:sz="4" w:space="0" w:color="auto"/>
            </w:tcBorders>
            <w:noWrap/>
          </w:tcPr>
          <w:p w14:paraId="11EA94A2" w14:textId="4A81523C" w:rsidR="00E6123B" w:rsidRPr="00E53765" w:rsidRDefault="00E6123B" w:rsidP="00E6123B">
            <w:pPr>
              <w:rPr>
                <w:rFonts w:ascii="Arial Narrow" w:hAnsi="Arial Narrow"/>
                <w:color w:val="000000"/>
                <w:lang w:eastAsia="zh-CN"/>
              </w:rPr>
            </w:pPr>
            <w:r w:rsidRPr="00E53765">
              <w:rPr>
                <w:rFonts w:ascii="Arial Narrow" w:hAnsi="Arial Narrow"/>
                <w:color w:val="000000"/>
              </w:rPr>
              <w:t>10.2</w:t>
            </w:r>
          </w:p>
        </w:tc>
        <w:tc>
          <w:tcPr>
            <w:tcW w:w="709" w:type="dxa"/>
            <w:tcBorders>
              <w:top w:val="single" w:sz="4" w:space="0" w:color="auto"/>
              <w:left w:val="single" w:sz="4" w:space="0" w:color="auto"/>
              <w:bottom w:val="single" w:sz="4" w:space="0" w:color="auto"/>
              <w:right w:val="single" w:sz="4" w:space="0" w:color="auto"/>
            </w:tcBorders>
            <w:noWrap/>
          </w:tcPr>
          <w:p w14:paraId="11EA94A3" w14:textId="5E3CB15F" w:rsidR="00E6123B" w:rsidRPr="00E53765" w:rsidRDefault="00E6123B" w:rsidP="00E6123B">
            <w:pPr>
              <w:rPr>
                <w:rFonts w:ascii="Arial Narrow" w:hAnsi="Arial Narrow"/>
                <w:color w:val="000000"/>
                <w:lang w:eastAsia="zh-CN"/>
              </w:rPr>
            </w:pPr>
            <w:r w:rsidRPr="00E53765">
              <w:rPr>
                <w:rFonts w:ascii="Arial Narrow" w:hAnsi="Arial Narrow"/>
                <w:color w:val="000000"/>
              </w:rPr>
              <w:t>1.4</w:t>
            </w:r>
          </w:p>
        </w:tc>
      </w:tr>
      <w:tr w:rsidR="00E6123B" w14:paraId="11EA94B0"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A5"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High East</w:t>
            </w:r>
          </w:p>
        </w:tc>
        <w:tc>
          <w:tcPr>
            <w:tcW w:w="694" w:type="dxa"/>
            <w:tcBorders>
              <w:top w:val="single" w:sz="4" w:space="0" w:color="auto"/>
              <w:left w:val="single" w:sz="4" w:space="0" w:color="auto"/>
              <w:bottom w:val="single" w:sz="4" w:space="0" w:color="auto"/>
              <w:right w:val="single" w:sz="4" w:space="0" w:color="auto"/>
            </w:tcBorders>
            <w:noWrap/>
            <w:hideMark/>
          </w:tcPr>
          <w:p w14:paraId="11EA94A6"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11.2</w:t>
            </w:r>
          </w:p>
        </w:tc>
        <w:tc>
          <w:tcPr>
            <w:tcW w:w="694" w:type="dxa"/>
            <w:tcBorders>
              <w:top w:val="single" w:sz="4" w:space="0" w:color="auto"/>
              <w:left w:val="single" w:sz="4" w:space="0" w:color="auto"/>
              <w:bottom w:val="single" w:sz="4" w:space="0" w:color="auto"/>
              <w:right w:val="single" w:sz="4" w:space="0" w:color="auto"/>
            </w:tcBorders>
            <w:noWrap/>
            <w:hideMark/>
          </w:tcPr>
          <w:p w14:paraId="11EA94A7"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3.4</w:t>
            </w:r>
          </w:p>
        </w:tc>
        <w:tc>
          <w:tcPr>
            <w:tcW w:w="694" w:type="dxa"/>
            <w:tcBorders>
              <w:top w:val="single" w:sz="4" w:space="0" w:color="auto"/>
              <w:left w:val="single" w:sz="4" w:space="0" w:color="auto"/>
              <w:bottom w:val="single" w:sz="4" w:space="0" w:color="auto"/>
              <w:right w:val="single" w:sz="4" w:space="0" w:color="auto"/>
            </w:tcBorders>
            <w:noWrap/>
            <w:hideMark/>
          </w:tcPr>
          <w:p w14:paraId="11EA94A8"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13</w:t>
            </w:r>
          </w:p>
        </w:tc>
        <w:tc>
          <w:tcPr>
            <w:tcW w:w="701" w:type="dxa"/>
            <w:tcBorders>
              <w:top w:val="single" w:sz="4" w:space="0" w:color="auto"/>
              <w:left w:val="single" w:sz="4" w:space="0" w:color="auto"/>
              <w:bottom w:val="single" w:sz="4" w:space="0" w:color="auto"/>
              <w:right w:val="single" w:sz="4" w:space="0" w:color="auto"/>
            </w:tcBorders>
            <w:noWrap/>
            <w:hideMark/>
          </w:tcPr>
          <w:p w14:paraId="11EA94A9"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1.4</w:t>
            </w:r>
          </w:p>
        </w:tc>
        <w:tc>
          <w:tcPr>
            <w:tcW w:w="267" w:type="dxa"/>
            <w:tcBorders>
              <w:top w:val="nil"/>
              <w:left w:val="single" w:sz="4" w:space="0" w:color="auto"/>
              <w:bottom w:val="nil"/>
              <w:right w:val="single" w:sz="4" w:space="0" w:color="auto"/>
            </w:tcBorders>
            <w:noWrap/>
            <w:hideMark/>
          </w:tcPr>
          <w:p w14:paraId="11EA94AA"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AB" w14:textId="596D60BA" w:rsidR="00E6123B" w:rsidRPr="00E53765" w:rsidRDefault="00E6123B" w:rsidP="00E6123B">
            <w:pPr>
              <w:rPr>
                <w:rFonts w:ascii="Arial Narrow" w:hAnsi="Arial Narrow"/>
                <w:color w:val="000000"/>
                <w:lang w:eastAsia="zh-CN"/>
              </w:rPr>
            </w:pPr>
            <w:r w:rsidRPr="00E53765">
              <w:rPr>
                <w:rFonts w:ascii="Arial Narrow" w:hAnsi="Arial Narrow"/>
                <w:color w:val="000000"/>
              </w:rPr>
              <w:t>Shute Harbour</w:t>
            </w:r>
          </w:p>
        </w:tc>
        <w:tc>
          <w:tcPr>
            <w:tcW w:w="708" w:type="dxa"/>
            <w:tcBorders>
              <w:top w:val="single" w:sz="4" w:space="0" w:color="auto"/>
              <w:left w:val="single" w:sz="4" w:space="0" w:color="auto"/>
              <w:bottom w:val="single" w:sz="4" w:space="0" w:color="auto"/>
              <w:right w:val="single" w:sz="4" w:space="0" w:color="auto"/>
            </w:tcBorders>
            <w:noWrap/>
          </w:tcPr>
          <w:p w14:paraId="11EA94AC" w14:textId="5424A9E5" w:rsidR="00E6123B" w:rsidRPr="00E53765" w:rsidRDefault="00E6123B" w:rsidP="00E6123B">
            <w:pPr>
              <w:rPr>
                <w:rFonts w:ascii="Arial Narrow" w:hAnsi="Arial Narrow"/>
                <w:color w:val="000000"/>
                <w:lang w:eastAsia="zh-CN"/>
              </w:rPr>
            </w:pPr>
            <w:r w:rsidRPr="00E53765">
              <w:rPr>
                <w:rFonts w:ascii="Arial Narrow" w:hAnsi="Arial Narrow"/>
                <w:color w:val="000000"/>
              </w:rPr>
              <w:t>17.6</w:t>
            </w:r>
          </w:p>
        </w:tc>
        <w:tc>
          <w:tcPr>
            <w:tcW w:w="709" w:type="dxa"/>
            <w:tcBorders>
              <w:top w:val="single" w:sz="4" w:space="0" w:color="auto"/>
              <w:left w:val="single" w:sz="4" w:space="0" w:color="auto"/>
              <w:bottom w:val="single" w:sz="4" w:space="0" w:color="auto"/>
              <w:right w:val="single" w:sz="4" w:space="0" w:color="auto"/>
            </w:tcBorders>
            <w:noWrap/>
          </w:tcPr>
          <w:p w14:paraId="11EA94AD" w14:textId="1D96865E" w:rsidR="00E6123B" w:rsidRPr="00E53765" w:rsidRDefault="00E6123B" w:rsidP="00E6123B">
            <w:pPr>
              <w:rPr>
                <w:rFonts w:ascii="Arial Narrow" w:hAnsi="Arial Narrow"/>
                <w:color w:val="000000"/>
                <w:lang w:eastAsia="zh-CN"/>
              </w:rPr>
            </w:pPr>
            <w:r w:rsidRPr="00E53765">
              <w:rPr>
                <w:rFonts w:ascii="Arial Narrow" w:hAnsi="Arial Narrow"/>
                <w:color w:val="000000"/>
              </w:rPr>
              <w:t>4.2</w:t>
            </w:r>
          </w:p>
        </w:tc>
        <w:tc>
          <w:tcPr>
            <w:tcW w:w="709" w:type="dxa"/>
            <w:tcBorders>
              <w:top w:val="single" w:sz="4" w:space="0" w:color="auto"/>
              <w:left w:val="single" w:sz="4" w:space="0" w:color="auto"/>
              <w:bottom w:val="single" w:sz="4" w:space="0" w:color="auto"/>
              <w:right w:val="single" w:sz="4" w:space="0" w:color="auto"/>
            </w:tcBorders>
            <w:noWrap/>
          </w:tcPr>
          <w:p w14:paraId="11EA94AE" w14:textId="32AD8543" w:rsidR="00E6123B" w:rsidRPr="00E53765" w:rsidRDefault="00E6123B" w:rsidP="00E6123B">
            <w:pPr>
              <w:rPr>
                <w:rFonts w:ascii="Arial Narrow" w:hAnsi="Arial Narrow"/>
                <w:color w:val="000000"/>
                <w:lang w:eastAsia="zh-CN"/>
              </w:rPr>
            </w:pPr>
            <w:r w:rsidRPr="00E53765">
              <w:rPr>
                <w:rFonts w:ascii="Arial Narrow" w:hAnsi="Arial Narrow"/>
                <w:color w:val="000000"/>
              </w:rPr>
              <w:t>11.7</w:t>
            </w:r>
          </w:p>
        </w:tc>
        <w:tc>
          <w:tcPr>
            <w:tcW w:w="709" w:type="dxa"/>
            <w:tcBorders>
              <w:top w:val="single" w:sz="4" w:space="0" w:color="auto"/>
              <w:left w:val="single" w:sz="4" w:space="0" w:color="auto"/>
              <w:bottom w:val="single" w:sz="4" w:space="0" w:color="auto"/>
              <w:right w:val="single" w:sz="4" w:space="0" w:color="auto"/>
            </w:tcBorders>
            <w:noWrap/>
          </w:tcPr>
          <w:p w14:paraId="11EA94AF" w14:textId="45DE2F42" w:rsidR="00E6123B" w:rsidRPr="00E53765" w:rsidRDefault="00E6123B" w:rsidP="00E6123B">
            <w:pPr>
              <w:rPr>
                <w:rFonts w:ascii="Arial Narrow" w:hAnsi="Arial Narrow"/>
                <w:color w:val="000000"/>
                <w:lang w:eastAsia="zh-CN"/>
              </w:rPr>
            </w:pPr>
            <w:r w:rsidRPr="00E53765">
              <w:rPr>
                <w:rFonts w:ascii="Arial Narrow" w:hAnsi="Arial Narrow"/>
                <w:color w:val="000000"/>
              </w:rPr>
              <w:t>1.6</w:t>
            </w:r>
          </w:p>
        </w:tc>
      </w:tr>
      <w:tr w:rsidR="00E6123B" w14:paraId="11EA94BC"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B1"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High West</w:t>
            </w:r>
          </w:p>
        </w:tc>
        <w:tc>
          <w:tcPr>
            <w:tcW w:w="694" w:type="dxa"/>
            <w:tcBorders>
              <w:top w:val="single" w:sz="4" w:space="0" w:color="auto"/>
              <w:left w:val="single" w:sz="4" w:space="0" w:color="auto"/>
              <w:bottom w:val="single" w:sz="4" w:space="0" w:color="auto"/>
              <w:right w:val="single" w:sz="4" w:space="0" w:color="auto"/>
            </w:tcBorders>
            <w:noWrap/>
            <w:hideMark/>
          </w:tcPr>
          <w:p w14:paraId="11EA94B2"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22.4</w:t>
            </w:r>
          </w:p>
        </w:tc>
        <w:tc>
          <w:tcPr>
            <w:tcW w:w="694" w:type="dxa"/>
            <w:tcBorders>
              <w:top w:val="single" w:sz="4" w:space="0" w:color="auto"/>
              <w:left w:val="single" w:sz="4" w:space="0" w:color="auto"/>
              <w:bottom w:val="single" w:sz="4" w:space="0" w:color="auto"/>
              <w:right w:val="single" w:sz="4" w:space="0" w:color="auto"/>
            </w:tcBorders>
            <w:noWrap/>
            <w:hideMark/>
          </w:tcPr>
          <w:p w14:paraId="11EA94B3"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4.4</w:t>
            </w:r>
          </w:p>
        </w:tc>
        <w:tc>
          <w:tcPr>
            <w:tcW w:w="694" w:type="dxa"/>
            <w:tcBorders>
              <w:top w:val="single" w:sz="4" w:space="0" w:color="auto"/>
              <w:left w:val="single" w:sz="4" w:space="0" w:color="auto"/>
              <w:bottom w:val="single" w:sz="4" w:space="0" w:color="auto"/>
              <w:right w:val="single" w:sz="4" w:space="0" w:color="auto"/>
            </w:tcBorders>
            <w:noWrap/>
            <w:hideMark/>
          </w:tcPr>
          <w:p w14:paraId="11EA94B4"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12.1</w:t>
            </w:r>
          </w:p>
        </w:tc>
        <w:tc>
          <w:tcPr>
            <w:tcW w:w="701" w:type="dxa"/>
            <w:tcBorders>
              <w:top w:val="single" w:sz="4" w:space="0" w:color="auto"/>
              <w:left w:val="single" w:sz="4" w:space="0" w:color="auto"/>
              <w:bottom w:val="single" w:sz="4" w:space="0" w:color="auto"/>
              <w:right w:val="single" w:sz="4" w:space="0" w:color="auto"/>
            </w:tcBorders>
            <w:noWrap/>
            <w:hideMark/>
          </w:tcPr>
          <w:p w14:paraId="11EA94B5"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1.6</w:t>
            </w:r>
          </w:p>
        </w:tc>
        <w:tc>
          <w:tcPr>
            <w:tcW w:w="267" w:type="dxa"/>
            <w:tcBorders>
              <w:top w:val="nil"/>
              <w:left w:val="single" w:sz="4" w:space="0" w:color="auto"/>
              <w:bottom w:val="nil"/>
              <w:right w:val="single" w:sz="4" w:space="0" w:color="auto"/>
            </w:tcBorders>
            <w:noWrap/>
            <w:hideMark/>
          </w:tcPr>
          <w:p w14:paraId="11EA94B6"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B7" w14:textId="77C7E199" w:rsidR="00E6123B" w:rsidRPr="00E53765" w:rsidRDefault="00E6123B" w:rsidP="00E6123B">
            <w:pPr>
              <w:rPr>
                <w:rFonts w:ascii="Arial Narrow" w:hAnsi="Arial Narrow"/>
                <w:color w:val="000000"/>
                <w:lang w:eastAsia="zh-CN"/>
              </w:rPr>
            </w:pPr>
            <w:r w:rsidRPr="00E53765">
              <w:rPr>
                <w:rFonts w:ascii="Arial Narrow" w:hAnsi="Arial Narrow"/>
                <w:color w:val="000000"/>
              </w:rPr>
              <w:t>Snapper North</w:t>
            </w:r>
          </w:p>
        </w:tc>
        <w:tc>
          <w:tcPr>
            <w:tcW w:w="708" w:type="dxa"/>
            <w:tcBorders>
              <w:top w:val="single" w:sz="4" w:space="0" w:color="auto"/>
              <w:left w:val="single" w:sz="4" w:space="0" w:color="auto"/>
              <w:bottom w:val="single" w:sz="4" w:space="0" w:color="auto"/>
              <w:right w:val="single" w:sz="4" w:space="0" w:color="auto"/>
            </w:tcBorders>
            <w:noWrap/>
          </w:tcPr>
          <w:p w14:paraId="11EA94B8" w14:textId="4A2696A1" w:rsidR="00E6123B" w:rsidRPr="00E53765" w:rsidRDefault="00E6123B" w:rsidP="00E6123B">
            <w:pPr>
              <w:rPr>
                <w:rFonts w:ascii="Arial Narrow" w:hAnsi="Arial Narrow"/>
                <w:color w:val="000000"/>
                <w:lang w:eastAsia="zh-CN"/>
              </w:rPr>
            </w:pPr>
            <w:r w:rsidRPr="00E53765">
              <w:rPr>
                <w:rFonts w:ascii="Arial Narrow" w:hAnsi="Arial Narrow"/>
                <w:color w:val="000000"/>
              </w:rPr>
              <w:t>18.7</w:t>
            </w:r>
          </w:p>
        </w:tc>
        <w:tc>
          <w:tcPr>
            <w:tcW w:w="709" w:type="dxa"/>
            <w:tcBorders>
              <w:top w:val="single" w:sz="4" w:space="0" w:color="auto"/>
              <w:left w:val="single" w:sz="4" w:space="0" w:color="auto"/>
              <w:bottom w:val="single" w:sz="4" w:space="0" w:color="auto"/>
              <w:right w:val="single" w:sz="4" w:space="0" w:color="auto"/>
            </w:tcBorders>
            <w:noWrap/>
          </w:tcPr>
          <w:p w14:paraId="11EA94B9" w14:textId="456D75A1" w:rsidR="00E6123B" w:rsidRPr="00E53765" w:rsidRDefault="00E6123B" w:rsidP="00E6123B">
            <w:pPr>
              <w:rPr>
                <w:rFonts w:ascii="Arial Narrow" w:hAnsi="Arial Narrow"/>
                <w:color w:val="000000"/>
                <w:lang w:eastAsia="zh-CN"/>
              </w:rPr>
            </w:pPr>
            <w:r w:rsidRPr="00E53765">
              <w:rPr>
                <w:rFonts w:ascii="Arial Narrow" w:hAnsi="Arial Narrow"/>
                <w:color w:val="000000"/>
              </w:rPr>
              <w:t>4.4</w:t>
            </w:r>
          </w:p>
        </w:tc>
        <w:tc>
          <w:tcPr>
            <w:tcW w:w="709" w:type="dxa"/>
            <w:tcBorders>
              <w:top w:val="single" w:sz="4" w:space="0" w:color="auto"/>
              <w:left w:val="single" w:sz="4" w:space="0" w:color="auto"/>
              <w:bottom w:val="single" w:sz="4" w:space="0" w:color="auto"/>
              <w:right w:val="single" w:sz="4" w:space="0" w:color="auto"/>
            </w:tcBorders>
            <w:noWrap/>
          </w:tcPr>
          <w:p w14:paraId="11EA94BA" w14:textId="134684D9" w:rsidR="00E6123B" w:rsidRPr="00E53765" w:rsidRDefault="00E6123B" w:rsidP="00E6123B">
            <w:pPr>
              <w:rPr>
                <w:rFonts w:ascii="Arial Narrow" w:hAnsi="Arial Narrow"/>
                <w:color w:val="000000"/>
                <w:lang w:eastAsia="zh-CN"/>
              </w:rPr>
            </w:pPr>
            <w:r w:rsidRPr="00E53765">
              <w:rPr>
                <w:rFonts w:ascii="Arial Narrow" w:hAnsi="Arial Narrow"/>
                <w:color w:val="000000"/>
              </w:rPr>
              <w:t>11.3</w:t>
            </w:r>
          </w:p>
        </w:tc>
        <w:tc>
          <w:tcPr>
            <w:tcW w:w="709" w:type="dxa"/>
            <w:tcBorders>
              <w:top w:val="single" w:sz="4" w:space="0" w:color="auto"/>
              <w:left w:val="single" w:sz="4" w:space="0" w:color="auto"/>
              <w:bottom w:val="single" w:sz="4" w:space="0" w:color="auto"/>
              <w:right w:val="single" w:sz="4" w:space="0" w:color="auto"/>
            </w:tcBorders>
            <w:noWrap/>
          </w:tcPr>
          <w:p w14:paraId="11EA94BB" w14:textId="136326C4" w:rsidR="00E6123B" w:rsidRPr="00E53765" w:rsidRDefault="00E6123B" w:rsidP="00E6123B">
            <w:pPr>
              <w:rPr>
                <w:rFonts w:ascii="Arial Narrow" w:hAnsi="Arial Narrow"/>
                <w:color w:val="000000"/>
                <w:lang w:eastAsia="zh-CN"/>
              </w:rPr>
            </w:pPr>
            <w:r w:rsidRPr="00E53765">
              <w:rPr>
                <w:rFonts w:ascii="Arial Narrow" w:hAnsi="Arial Narrow"/>
                <w:color w:val="000000"/>
              </w:rPr>
              <w:t>1.6</w:t>
            </w:r>
          </w:p>
        </w:tc>
      </w:tr>
      <w:tr w:rsidR="00E6123B" w14:paraId="11EA94C8"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BD"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Hook</w:t>
            </w:r>
          </w:p>
        </w:tc>
        <w:tc>
          <w:tcPr>
            <w:tcW w:w="694" w:type="dxa"/>
            <w:tcBorders>
              <w:top w:val="single" w:sz="4" w:space="0" w:color="auto"/>
              <w:left w:val="single" w:sz="4" w:space="0" w:color="auto"/>
              <w:bottom w:val="single" w:sz="4" w:space="0" w:color="auto"/>
              <w:right w:val="single" w:sz="4" w:space="0" w:color="auto"/>
            </w:tcBorders>
            <w:noWrap/>
            <w:hideMark/>
          </w:tcPr>
          <w:p w14:paraId="11EA94BE"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9.3</w:t>
            </w:r>
          </w:p>
        </w:tc>
        <w:tc>
          <w:tcPr>
            <w:tcW w:w="694" w:type="dxa"/>
            <w:tcBorders>
              <w:top w:val="single" w:sz="4" w:space="0" w:color="auto"/>
              <w:left w:val="single" w:sz="4" w:space="0" w:color="auto"/>
              <w:bottom w:val="single" w:sz="4" w:space="0" w:color="auto"/>
              <w:right w:val="single" w:sz="4" w:space="0" w:color="auto"/>
            </w:tcBorders>
            <w:noWrap/>
            <w:hideMark/>
          </w:tcPr>
          <w:p w14:paraId="11EA94BF"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3.4</w:t>
            </w:r>
          </w:p>
        </w:tc>
        <w:tc>
          <w:tcPr>
            <w:tcW w:w="694" w:type="dxa"/>
            <w:tcBorders>
              <w:top w:val="single" w:sz="4" w:space="0" w:color="auto"/>
              <w:left w:val="single" w:sz="4" w:space="0" w:color="auto"/>
              <w:bottom w:val="single" w:sz="4" w:space="0" w:color="auto"/>
              <w:right w:val="single" w:sz="4" w:space="0" w:color="auto"/>
            </w:tcBorders>
            <w:noWrap/>
            <w:hideMark/>
          </w:tcPr>
          <w:p w14:paraId="11EA94C0"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8.1</w:t>
            </w:r>
          </w:p>
        </w:tc>
        <w:tc>
          <w:tcPr>
            <w:tcW w:w="701" w:type="dxa"/>
            <w:tcBorders>
              <w:top w:val="single" w:sz="4" w:space="0" w:color="auto"/>
              <w:left w:val="single" w:sz="4" w:space="0" w:color="auto"/>
              <w:bottom w:val="single" w:sz="4" w:space="0" w:color="auto"/>
              <w:right w:val="single" w:sz="4" w:space="0" w:color="auto"/>
            </w:tcBorders>
            <w:noWrap/>
            <w:hideMark/>
          </w:tcPr>
          <w:p w14:paraId="11EA94C1"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1.4</w:t>
            </w:r>
          </w:p>
        </w:tc>
        <w:tc>
          <w:tcPr>
            <w:tcW w:w="267" w:type="dxa"/>
            <w:tcBorders>
              <w:top w:val="nil"/>
              <w:left w:val="single" w:sz="4" w:space="0" w:color="auto"/>
              <w:bottom w:val="nil"/>
              <w:right w:val="single" w:sz="4" w:space="0" w:color="auto"/>
            </w:tcBorders>
            <w:noWrap/>
            <w:hideMark/>
          </w:tcPr>
          <w:p w14:paraId="11EA94C2"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C3" w14:textId="5DD2EDF1" w:rsidR="00E6123B" w:rsidRPr="00E53765" w:rsidRDefault="00E6123B" w:rsidP="00E6123B">
            <w:pPr>
              <w:rPr>
                <w:rFonts w:ascii="Arial Narrow" w:hAnsi="Arial Narrow"/>
                <w:color w:val="000000"/>
                <w:lang w:eastAsia="zh-CN"/>
              </w:rPr>
            </w:pPr>
            <w:r w:rsidRPr="00E53765">
              <w:rPr>
                <w:rFonts w:ascii="Arial Narrow" w:hAnsi="Arial Narrow"/>
                <w:color w:val="000000"/>
              </w:rPr>
              <w:t>Snapper South</w:t>
            </w:r>
          </w:p>
        </w:tc>
        <w:tc>
          <w:tcPr>
            <w:tcW w:w="708" w:type="dxa"/>
            <w:tcBorders>
              <w:top w:val="single" w:sz="4" w:space="0" w:color="auto"/>
              <w:left w:val="single" w:sz="4" w:space="0" w:color="auto"/>
              <w:bottom w:val="single" w:sz="4" w:space="0" w:color="auto"/>
              <w:right w:val="single" w:sz="4" w:space="0" w:color="auto"/>
            </w:tcBorders>
            <w:noWrap/>
          </w:tcPr>
          <w:p w14:paraId="11EA94C4" w14:textId="7FFF0DFD" w:rsidR="00E6123B" w:rsidRPr="00E53765" w:rsidRDefault="00E6123B" w:rsidP="00E6123B">
            <w:pPr>
              <w:rPr>
                <w:rFonts w:ascii="Arial Narrow" w:hAnsi="Arial Narrow"/>
                <w:color w:val="000000"/>
                <w:lang w:eastAsia="zh-CN"/>
              </w:rPr>
            </w:pPr>
            <w:r w:rsidRPr="00E53765">
              <w:rPr>
                <w:rFonts w:ascii="Arial Narrow" w:hAnsi="Arial Narrow"/>
                <w:color w:val="000000"/>
              </w:rPr>
              <w:t>23</w:t>
            </w:r>
          </w:p>
        </w:tc>
        <w:tc>
          <w:tcPr>
            <w:tcW w:w="709" w:type="dxa"/>
            <w:tcBorders>
              <w:top w:val="single" w:sz="4" w:space="0" w:color="auto"/>
              <w:left w:val="single" w:sz="4" w:space="0" w:color="auto"/>
              <w:bottom w:val="single" w:sz="4" w:space="0" w:color="auto"/>
              <w:right w:val="single" w:sz="4" w:space="0" w:color="auto"/>
            </w:tcBorders>
            <w:noWrap/>
          </w:tcPr>
          <w:p w14:paraId="11EA94C5" w14:textId="76C8A223" w:rsidR="00E6123B" w:rsidRPr="00E53765" w:rsidRDefault="00E6123B" w:rsidP="00E6123B">
            <w:pPr>
              <w:rPr>
                <w:rFonts w:ascii="Arial Narrow" w:hAnsi="Arial Narrow"/>
                <w:color w:val="000000"/>
                <w:lang w:eastAsia="zh-CN"/>
              </w:rPr>
            </w:pPr>
            <w:r w:rsidRPr="00E53765">
              <w:rPr>
                <w:rFonts w:ascii="Arial Narrow" w:hAnsi="Arial Narrow"/>
                <w:color w:val="000000"/>
              </w:rPr>
              <w:t>4.4</w:t>
            </w:r>
          </w:p>
        </w:tc>
        <w:tc>
          <w:tcPr>
            <w:tcW w:w="709" w:type="dxa"/>
            <w:tcBorders>
              <w:top w:val="single" w:sz="4" w:space="0" w:color="auto"/>
              <w:left w:val="single" w:sz="4" w:space="0" w:color="auto"/>
              <w:bottom w:val="single" w:sz="4" w:space="0" w:color="auto"/>
              <w:right w:val="single" w:sz="4" w:space="0" w:color="auto"/>
            </w:tcBorders>
            <w:noWrap/>
          </w:tcPr>
          <w:p w14:paraId="11EA94C6" w14:textId="0A01030B" w:rsidR="00E6123B" w:rsidRPr="00E53765" w:rsidRDefault="00E6123B" w:rsidP="00E6123B">
            <w:pPr>
              <w:rPr>
                <w:rFonts w:ascii="Arial Narrow" w:hAnsi="Arial Narrow"/>
                <w:color w:val="000000"/>
                <w:lang w:eastAsia="zh-CN"/>
              </w:rPr>
            </w:pPr>
            <w:r w:rsidRPr="00E53765">
              <w:rPr>
                <w:rFonts w:ascii="Arial Narrow" w:hAnsi="Arial Narrow"/>
                <w:color w:val="000000"/>
              </w:rPr>
              <w:t>13.1</w:t>
            </w:r>
          </w:p>
        </w:tc>
        <w:tc>
          <w:tcPr>
            <w:tcW w:w="709" w:type="dxa"/>
            <w:tcBorders>
              <w:top w:val="single" w:sz="4" w:space="0" w:color="auto"/>
              <w:left w:val="single" w:sz="4" w:space="0" w:color="auto"/>
              <w:bottom w:val="single" w:sz="4" w:space="0" w:color="auto"/>
              <w:right w:val="single" w:sz="4" w:space="0" w:color="auto"/>
            </w:tcBorders>
            <w:noWrap/>
          </w:tcPr>
          <w:p w14:paraId="11EA94C7" w14:textId="63DE66E1" w:rsidR="00E6123B" w:rsidRPr="00E53765" w:rsidRDefault="00E6123B" w:rsidP="00E6123B">
            <w:pPr>
              <w:rPr>
                <w:rFonts w:ascii="Arial Narrow" w:hAnsi="Arial Narrow"/>
                <w:color w:val="000000"/>
                <w:lang w:eastAsia="zh-CN"/>
              </w:rPr>
            </w:pPr>
            <w:r w:rsidRPr="00E53765">
              <w:rPr>
                <w:rFonts w:ascii="Arial Narrow" w:hAnsi="Arial Narrow"/>
                <w:color w:val="000000"/>
              </w:rPr>
              <w:t>1.6</w:t>
            </w:r>
          </w:p>
        </w:tc>
      </w:tr>
      <w:tr w:rsidR="00E6123B" w14:paraId="11EA94D4" w14:textId="77777777" w:rsidTr="00E6123B">
        <w:trPr>
          <w:trHeight w:hRule="exact" w:val="255"/>
        </w:trPr>
        <w:tc>
          <w:tcPr>
            <w:tcW w:w="1486" w:type="dxa"/>
            <w:tcBorders>
              <w:top w:val="single" w:sz="4" w:space="0" w:color="auto"/>
              <w:left w:val="single" w:sz="4" w:space="0" w:color="auto"/>
              <w:bottom w:val="single" w:sz="4" w:space="0" w:color="auto"/>
              <w:right w:val="single" w:sz="4" w:space="0" w:color="auto"/>
            </w:tcBorders>
            <w:noWrap/>
            <w:hideMark/>
          </w:tcPr>
          <w:p w14:paraId="11EA94C9"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Keppels South</w:t>
            </w:r>
          </w:p>
        </w:tc>
        <w:tc>
          <w:tcPr>
            <w:tcW w:w="694" w:type="dxa"/>
            <w:tcBorders>
              <w:top w:val="single" w:sz="4" w:space="0" w:color="auto"/>
              <w:left w:val="single" w:sz="4" w:space="0" w:color="auto"/>
              <w:bottom w:val="single" w:sz="4" w:space="0" w:color="auto"/>
              <w:right w:val="single" w:sz="4" w:space="0" w:color="auto"/>
            </w:tcBorders>
            <w:noWrap/>
            <w:hideMark/>
          </w:tcPr>
          <w:p w14:paraId="11EA94CA"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23</w:t>
            </w:r>
          </w:p>
        </w:tc>
        <w:tc>
          <w:tcPr>
            <w:tcW w:w="694" w:type="dxa"/>
            <w:tcBorders>
              <w:top w:val="single" w:sz="4" w:space="0" w:color="auto"/>
              <w:left w:val="single" w:sz="4" w:space="0" w:color="auto"/>
              <w:bottom w:val="single" w:sz="4" w:space="0" w:color="auto"/>
              <w:right w:val="single" w:sz="4" w:space="0" w:color="auto"/>
            </w:tcBorders>
            <w:noWrap/>
            <w:hideMark/>
          </w:tcPr>
          <w:p w14:paraId="11EA94CB"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3.9</w:t>
            </w:r>
          </w:p>
        </w:tc>
        <w:tc>
          <w:tcPr>
            <w:tcW w:w="694" w:type="dxa"/>
            <w:tcBorders>
              <w:top w:val="single" w:sz="4" w:space="0" w:color="auto"/>
              <w:left w:val="single" w:sz="4" w:space="0" w:color="auto"/>
              <w:bottom w:val="single" w:sz="4" w:space="0" w:color="auto"/>
              <w:right w:val="single" w:sz="4" w:space="0" w:color="auto"/>
            </w:tcBorders>
            <w:noWrap/>
            <w:hideMark/>
          </w:tcPr>
          <w:p w14:paraId="11EA94CC"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24</w:t>
            </w:r>
          </w:p>
        </w:tc>
        <w:tc>
          <w:tcPr>
            <w:tcW w:w="701" w:type="dxa"/>
            <w:tcBorders>
              <w:top w:val="single" w:sz="4" w:space="0" w:color="auto"/>
              <w:left w:val="single" w:sz="4" w:space="0" w:color="auto"/>
              <w:bottom w:val="single" w:sz="4" w:space="0" w:color="auto"/>
              <w:right w:val="single" w:sz="4" w:space="0" w:color="auto"/>
            </w:tcBorders>
            <w:noWrap/>
            <w:hideMark/>
          </w:tcPr>
          <w:p w14:paraId="11EA94CD" w14:textId="77777777" w:rsidR="00E6123B" w:rsidRPr="00E53765" w:rsidRDefault="00E6123B" w:rsidP="00E6123B">
            <w:pPr>
              <w:rPr>
                <w:rFonts w:ascii="Arial Narrow" w:hAnsi="Arial Narrow"/>
                <w:color w:val="000000"/>
                <w:lang w:eastAsia="zh-CN"/>
              </w:rPr>
            </w:pPr>
            <w:r w:rsidRPr="00E53765">
              <w:rPr>
                <w:rFonts w:ascii="Arial Narrow" w:hAnsi="Arial Narrow"/>
                <w:color w:val="000000"/>
              </w:rPr>
              <w:t>1.7</w:t>
            </w:r>
          </w:p>
        </w:tc>
        <w:tc>
          <w:tcPr>
            <w:tcW w:w="267" w:type="dxa"/>
            <w:tcBorders>
              <w:top w:val="nil"/>
              <w:left w:val="single" w:sz="4" w:space="0" w:color="auto"/>
              <w:bottom w:val="single" w:sz="4" w:space="0" w:color="auto"/>
              <w:right w:val="single" w:sz="4" w:space="0" w:color="auto"/>
            </w:tcBorders>
            <w:noWrap/>
            <w:hideMark/>
          </w:tcPr>
          <w:p w14:paraId="11EA94CE" w14:textId="77777777" w:rsidR="00E6123B" w:rsidRPr="00E5376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1EA94CF" w14:textId="16ADDF4F" w:rsidR="00E6123B" w:rsidRPr="00E53765" w:rsidRDefault="00E6123B" w:rsidP="00E6123B">
            <w:pPr>
              <w:rPr>
                <w:rFonts w:ascii="Arial Narrow" w:hAnsi="Arial Narrow"/>
                <w:color w:val="000000"/>
                <w:lang w:eastAsia="zh-CN"/>
              </w:rPr>
            </w:pPr>
          </w:p>
        </w:tc>
        <w:tc>
          <w:tcPr>
            <w:tcW w:w="708" w:type="dxa"/>
            <w:tcBorders>
              <w:top w:val="single" w:sz="4" w:space="0" w:color="auto"/>
              <w:left w:val="single" w:sz="4" w:space="0" w:color="auto"/>
              <w:bottom w:val="single" w:sz="4" w:space="0" w:color="auto"/>
              <w:right w:val="single" w:sz="4" w:space="0" w:color="auto"/>
            </w:tcBorders>
            <w:noWrap/>
          </w:tcPr>
          <w:p w14:paraId="11EA94D0" w14:textId="71E26E49" w:rsidR="00E6123B" w:rsidRPr="00E53765" w:rsidRDefault="00E6123B" w:rsidP="00E6123B">
            <w:pPr>
              <w:rPr>
                <w:rFonts w:ascii="Arial Narrow" w:hAnsi="Arial Narrow"/>
                <w:color w:val="000000"/>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11EA94D1" w14:textId="1D44C265" w:rsidR="00E6123B" w:rsidRPr="00E53765" w:rsidRDefault="00E6123B" w:rsidP="00E6123B">
            <w:pPr>
              <w:rPr>
                <w:rFonts w:ascii="Arial Narrow" w:hAnsi="Arial Narrow"/>
                <w:color w:val="000000"/>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11EA94D2" w14:textId="2EE834F7" w:rsidR="00E6123B" w:rsidRPr="00E53765" w:rsidRDefault="00E6123B" w:rsidP="00E6123B">
            <w:pPr>
              <w:rPr>
                <w:rFonts w:ascii="Arial Narrow" w:hAnsi="Arial Narrow"/>
                <w:color w:val="000000"/>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11EA94D3" w14:textId="5161C5A5" w:rsidR="00E6123B" w:rsidRPr="00E53765" w:rsidRDefault="00E6123B" w:rsidP="00E6123B">
            <w:pPr>
              <w:rPr>
                <w:rFonts w:ascii="Arial Narrow" w:hAnsi="Arial Narrow"/>
                <w:color w:val="000000"/>
                <w:lang w:eastAsia="zh-CN"/>
              </w:rPr>
            </w:pPr>
          </w:p>
        </w:tc>
      </w:tr>
    </w:tbl>
    <w:p w14:paraId="11EA94D5" w14:textId="77777777" w:rsidR="00A175A4" w:rsidRDefault="00A175A4" w:rsidP="00A175A4">
      <w:pPr>
        <w:rPr>
          <w:rFonts w:asciiTheme="minorHAnsi" w:hAnsiTheme="minorHAnsi" w:cstheme="minorBidi"/>
          <w:color w:val="000000"/>
          <w:szCs w:val="22"/>
        </w:rPr>
      </w:pPr>
    </w:p>
    <w:p w14:paraId="11EA94D6" w14:textId="77777777" w:rsidR="006F0445" w:rsidRDefault="006F0445">
      <w:pPr>
        <w:jc w:val="left"/>
        <w:rPr>
          <w:rFonts w:asciiTheme="minorHAnsi" w:hAnsiTheme="minorHAnsi" w:cstheme="minorBidi"/>
          <w:color w:val="000000"/>
          <w:szCs w:val="22"/>
        </w:rPr>
      </w:pPr>
      <w:r>
        <w:rPr>
          <w:rFonts w:asciiTheme="minorHAnsi" w:hAnsiTheme="minorHAnsi" w:cstheme="minorBidi"/>
          <w:color w:val="000000"/>
          <w:szCs w:val="22"/>
        </w:rPr>
        <w:br w:type="page"/>
      </w:r>
    </w:p>
    <w:p w14:paraId="11EA94D7" w14:textId="36B2E8A4" w:rsidR="009F052E" w:rsidRPr="005B6EC7" w:rsidRDefault="00583793" w:rsidP="00F872DF">
      <w:pPr>
        <w:pStyle w:val="Caption"/>
        <w:rPr>
          <w:rStyle w:val="IntenseReference"/>
          <w:rFonts w:eastAsia="SimSun"/>
        </w:rPr>
      </w:pPr>
      <w:bookmarkStart w:id="353" w:name="_Ref491160057"/>
      <w:bookmarkStart w:id="354" w:name="_Ref469727745"/>
      <w:bookmarkStart w:id="355" w:name="_Toc471373378"/>
      <w:r>
        <w:t xml:space="preserve">Table A1. </w:t>
      </w:r>
      <w:r>
        <w:fldChar w:fldCharType="begin"/>
      </w:r>
      <w:r>
        <w:instrText xml:space="preserve"> SEQ Table_A1. \* ARABIC </w:instrText>
      </w:r>
      <w:r>
        <w:fldChar w:fldCharType="separate"/>
      </w:r>
      <w:r w:rsidR="00D806F2">
        <w:rPr>
          <w:noProof/>
        </w:rPr>
        <w:t>2</w:t>
      </w:r>
      <w:r>
        <w:fldChar w:fldCharType="end"/>
      </w:r>
      <w:bookmarkEnd w:id="353"/>
      <w:r>
        <w:t xml:space="preserve"> </w:t>
      </w:r>
      <w:r w:rsidRPr="00A16651">
        <w:t>Eigenvalues for hard coral genera along constrained water quality axis</w:t>
      </w:r>
      <w:r>
        <w:t>.</w:t>
      </w:r>
      <w:bookmarkEnd w:id="354"/>
      <w:r w:rsidR="00A2684A">
        <w:t xml:space="preserve"> </w:t>
      </w:r>
      <w:r w:rsidR="009F052E" w:rsidRPr="005B6EC7">
        <w:rPr>
          <w:rStyle w:val="IntenseReference"/>
          <w:rFonts w:eastAsia="SimSun"/>
        </w:rPr>
        <w:t>* indicates gen</w:t>
      </w:r>
      <w:r w:rsidR="005B6EC7" w:rsidRPr="005B6EC7">
        <w:rPr>
          <w:rStyle w:val="IntenseReference"/>
          <w:rFonts w:eastAsia="SimSun"/>
        </w:rPr>
        <w:t>era</w:t>
      </w:r>
      <w:r w:rsidR="009F052E" w:rsidRPr="005B6EC7">
        <w:rPr>
          <w:rStyle w:val="IntenseReference"/>
          <w:rFonts w:eastAsia="SimSun"/>
        </w:rPr>
        <w:t xml:space="preserve"> with both low cover (maximum &lt; 0.5% on any reef) and limited distribution (present on &lt; 25% of reefs).</w:t>
      </w:r>
      <w:bookmarkEnd w:id="355"/>
    </w:p>
    <w:tbl>
      <w:tblPr>
        <w:tblStyle w:val="TableGrid"/>
        <w:tblW w:w="0" w:type="auto"/>
        <w:tblInd w:w="142" w:type="dxa"/>
        <w:tblLayout w:type="fixed"/>
        <w:tblLook w:val="04A0" w:firstRow="1" w:lastRow="0" w:firstColumn="1" w:lastColumn="0" w:noHBand="0" w:noVBand="1"/>
      </w:tblPr>
      <w:tblGrid>
        <w:gridCol w:w="2093"/>
        <w:gridCol w:w="850"/>
        <w:gridCol w:w="851"/>
        <w:gridCol w:w="2069"/>
        <w:gridCol w:w="766"/>
        <w:gridCol w:w="851"/>
      </w:tblGrid>
      <w:tr w:rsidR="009F052E" w:rsidRPr="00911C5B" w14:paraId="11EA94DE" w14:textId="77777777" w:rsidTr="00A175A4">
        <w:trPr>
          <w:trHeight w:val="300"/>
          <w:tblHeader/>
        </w:trPr>
        <w:tc>
          <w:tcPr>
            <w:tcW w:w="2093" w:type="dxa"/>
            <w:shd w:val="clear" w:color="auto" w:fill="D9D9D9" w:themeFill="background1" w:themeFillShade="D9"/>
            <w:noWrap/>
            <w:vAlign w:val="bottom"/>
            <w:hideMark/>
          </w:tcPr>
          <w:p w14:paraId="11EA94D8" w14:textId="77777777" w:rsidR="009F052E" w:rsidRPr="00911C5B" w:rsidRDefault="009F052E" w:rsidP="00A175A4">
            <w:pPr>
              <w:jc w:val="center"/>
              <w:rPr>
                <w:rFonts w:ascii="Arial Narrow" w:hAnsi="Arial Narrow"/>
                <w:b/>
              </w:rPr>
            </w:pPr>
            <w:r w:rsidRPr="00911C5B">
              <w:rPr>
                <w:rFonts w:ascii="Arial Narrow" w:hAnsi="Arial Narrow"/>
                <w:b/>
              </w:rPr>
              <w:t>Genus</w:t>
            </w:r>
          </w:p>
        </w:tc>
        <w:tc>
          <w:tcPr>
            <w:tcW w:w="850" w:type="dxa"/>
            <w:shd w:val="clear" w:color="auto" w:fill="D9D9D9" w:themeFill="background1" w:themeFillShade="D9"/>
            <w:noWrap/>
            <w:vAlign w:val="bottom"/>
            <w:hideMark/>
          </w:tcPr>
          <w:p w14:paraId="11EA94D9" w14:textId="77777777" w:rsidR="009F052E" w:rsidRPr="00911C5B" w:rsidRDefault="009F052E" w:rsidP="00A175A4">
            <w:pPr>
              <w:jc w:val="center"/>
              <w:rPr>
                <w:rFonts w:ascii="Arial Narrow" w:hAnsi="Arial Narrow"/>
                <w:b/>
              </w:rPr>
            </w:pPr>
            <w:r w:rsidRPr="00911C5B">
              <w:rPr>
                <w:rFonts w:ascii="Arial Narrow" w:hAnsi="Arial Narrow"/>
                <w:b/>
              </w:rPr>
              <w:t>2 m</w:t>
            </w:r>
          </w:p>
        </w:tc>
        <w:tc>
          <w:tcPr>
            <w:tcW w:w="851" w:type="dxa"/>
            <w:tcBorders>
              <w:right w:val="thinThickThinLargeGap" w:sz="24" w:space="0" w:color="auto"/>
            </w:tcBorders>
            <w:shd w:val="clear" w:color="auto" w:fill="D9D9D9" w:themeFill="background1" w:themeFillShade="D9"/>
            <w:noWrap/>
            <w:vAlign w:val="bottom"/>
            <w:hideMark/>
          </w:tcPr>
          <w:p w14:paraId="11EA94DA" w14:textId="77777777" w:rsidR="009F052E" w:rsidRPr="00911C5B" w:rsidRDefault="009F052E" w:rsidP="00A175A4">
            <w:pPr>
              <w:jc w:val="center"/>
              <w:rPr>
                <w:rFonts w:ascii="Arial Narrow" w:hAnsi="Arial Narrow"/>
                <w:b/>
              </w:rPr>
            </w:pPr>
            <w:r w:rsidRPr="00911C5B">
              <w:rPr>
                <w:rFonts w:ascii="Arial Narrow" w:hAnsi="Arial Narrow"/>
                <w:b/>
              </w:rPr>
              <w:t>5 m</w:t>
            </w:r>
          </w:p>
        </w:tc>
        <w:tc>
          <w:tcPr>
            <w:tcW w:w="2069" w:type="dxa"/>
            <w:tcBorders>
              <w:left w:val="thinThickThinLargeGap" w:sz="24" w:space="0" w:color="auto"/>
            </w:tcBorders>
            <w:shd w:val="clear" w:color="auto" w:fill="D9D9D9" w:themeFill="background1" w:themeFillShade="D9"/>
            <w:vAlign w:val="bottom"/>
          </w:tcPr>
          <w:p w14:paraId="11EA94DB" w14:textId="77777777" w:rsidR="009F052E" w:rsidRPr="00911C5B" w:rsidRDefault="009F052E" w:rsidP="00A175A4">
            <w:pPr>
              <w:jc w:val="center"/>
              <w:rPr>
                <w:rFonts w:ascii="Arial Narrow" w:hAnsi="Arial Narrow"/>
                <w:b/>
              </w:rPr>
            </w:pPr>
            <w:r w:rsidRPr="00911C5B">
              <w:rPr>
                <w:rFonts w:ascii="Arial Narrow" w:hAnsi="Arial Narrow"/>
                <w:b/>
              </w:rPr>
              <w:t>Genus</w:t>
            </w:r>
          </w:p>
        </w:tc>
        <w:tc>
          <w:tcPr>
            <w:tcW w:w="766" w:type="dxa"/>
            <w:shd w:val="clear" w:color="auto" w:fill="D9D9D9" w:themeFill="background1" w:themeFillShade="D9"/>
            <w:vAlign w:val="bottom"/>
          </w:tcPr>
          <w:p w14:paraId="11EA94DC" w14:textId="77777777" w:rsidR="009F052E" w:rsidRPr="00911C5B" w:rsidRDefault="009F052E" w:rsidP="00A175A4">
            <w:pPr>
              <w:jc w:val="center"/>
              <w:rPr>
                <w:rFonts w:ascii="Arial Narrow" w:hAnsi="Arial Narrow"/>
                <w:b/>
              </w:rPr>
            </w:pPr>
            <w:r w:rsidRPr="00911C5B">
              <w:rPr>
                <w:rFonts w:ascii="Arial Narrow" w:hAnsi="Arial Narrow"/>
                <w:b/>
              </w:rPr>
              <w:t>2 m</w:t>
            </w:r>
          </w:p>
        </w:tc>
        <w:tc>
          <w:tcPr>
            <w:tcW w:w="851" w:type="dxa"/>
            <w:shd w:val="clear" w:color="auto" w:fill="D9D9D9" w:themeFill="background1" w:themeFillShade="D9"/>
            <w:vAlign w:val="bottom"/>
          </w:tcPr>
          <w:p w14:paraId="11EA94DD" w14:textId="77777777" w:rsidR="009F052E" w:rsidRPr="00911C5B" w:rsidRDefault="009F052E" w:rsidP="00A175A4">
            <w:pPr>
              <w:jc w:val="center"/>
              <w:rPr>
                <w:rFonts w:ascii="Arial Narrow" w:hAnsi="Arial Narrow"/>
                <w:b/>
              </w:rPr>
            </w:pPr>
            <w:r w:rsidRPr="00911C5B">
              <w:rPr>
                <w:rFonts w:ascii="Arial Narrow" w:hAnsi="Arial Narrow"/>
                <w:b/>
              </w:rPr>
              <w:t>5 m</w:t>
            </w:r>
          </w:p>
        </w:tc>
      </w:tr>
      <w:tr w:rsidR="009F052E" w:rsidRPr="00911C5B" w14:paraId="11EA94E5" w14:textId="77777777" w:rsidTr="00A175A4">
        <w:trPr>
          <w:trHeight w:val="255"/>
        </w:trPr>
        <w:tc>
          <w:tcPr>
            <w:tcW w:w="2093" w:type="dxa"/>
            <w:noWrap/>
            <w:hideMark/>
          </w:tcPr>
          <w:p w14:paraId="11EA94DF" w14:textId="77777777" w:rsidR="009F052E" w:rsidRPr="00911C5B" w:rsidRDefault="009F052E" w:rsidP="00A175A4">
            <w:pPr>
              <w:jc w:val="left"/>
              <w:rPr>
                <w:rFonts w:ascii="Arial Narrow" w:hAnsi="Arial Narrow"/>
                <w:i/>
              </w:rPr>
            </w:pPr>
            <w:r w:rsidRPr="00911C5B">
              <w:rPr>
                <w:rFonts w:ascii="Arial Narrow" w:hAnsi="Arial Narrow"/>
                <w:i/>
              </w:rPr>
              <w:t>Psammocora</w:t>
            </w:r>
          </w:p>
        </w:tc>
        <w:tc>
          <w:tcPr>
            <w:tcW w:w="850" w:type="dxa"/>
            <w:noWrap/>
            <w:vAlign w:val="center"/>
            <w:hideMark/>
          </w:tcPr>
          <w:p w14:paraId="11EA94E0" w14:textId="77777777" w:rsidR="009F052E" w:rsidRPr="00911C5B" w:rsidRDefault="009F052E" w:rsidP="00A175A4">
            <w:pPr>
              <w:jc w:val="center"/>
              <w:rPr>
                <w:rFonts w:ascii="Arial Narrow" w:hAnsi="Arial Narrow"/>
              </w:rPr>
            </w:pPr>
            <w:r w:rsidRPr="00911C5B">
              <w:rPr>
                <w:rFonts w:ascii="Arial Narrow" w:hAnsi="Arial Narrow"/>
              </w:rPr>
              <w:t>-0.194</w:t>
            </w:r>
          </w:p>
        </w:tc>
        <w:tc>
          <w:tcPr>
            <w:tcW w:w="851" w:type="dxa"/>
            <w:tcBorders>
              <w:right w:val="thinThickThinLargeGap" w:sz="24" w:space="0" w:color="auto"/>
            </w:tcBorders>
            <w:noWrap/>
            <w:vAlign w:val="center"/>
            <w:hideMark/>
          </w:tcPr>
          <w:p w14:paraId="11EA94E1" w14:textId="77777777" w:rsidR="009F052E" w:rsidRPr="00911C5B" w:rsidRDefault="009F052E" w:rsidP="00A175A4">
            <w:pPr>
              <w:jc w:val="center"/>
              <w:rPr>
                <w:rFonts w:ascii="Arial Narrow" w:hAnsi="Arial Narrow"/>
              </w:rPr>
            </w:pPr>
            <w:r w:rsidRPr="00911C5B">
              <w:rPr>
                <w:rFonts w:ascii="Arial Narrow" w:hAnsi="Arial Narrow"/>
              </w:rPr>
              <w:t>-0.366</w:t>
            </w:r>
          </w:p>
        </w:tc>
        <w:tc>
          <w:tcPr>
            <w:tcW w:w="2069" w:type="dxa"/>
            <w:tcBorders>
              <w:left w:val="thinThickThinLargeGap" w:sz="24" w:space="0" w:color="auto"/>
            </w:tcBorders>
          </w:tcPr>
          <w:p w14:paraId="11EA94E2" w14:textId="77777777" w:rsidR="009F052E" w:rsidRPr="00911C5B" w:rsidRDefault="009F052E" w:rsidP="00A175A4">
            <w:pPr>
              <w:jc w:val="left"/>
              <w:rPr>
                <w:rFonts w:ascii="Arial Narrow" w:hAnsi="Arial Narrow"/>
                <w:i/>
              </w:rPr>
            </w:pPr>
            <w:r w:rsidRPr="00911C5B">
              <w:rPr>
                <w:rFonts w:ascii="Arial Narrow" w:hAnsi="Arial Narrow"/>
                <w:i/>
              </w:rPr>
              <w:t>Scolymia *</w:t>
            </w:r>
          </w:p>
        </w:tc>
        <w:tc>
          <w:tcPr>
            <w:tcW w:w="766" w:type="dxa"/>
            <w:vAlign w:val="center"/>
          </w:tcPr>
          <w:p w14:paraId="11EA94E3" w14:textId="77777777" w:rsidR="009F052E" w:rsidRPr="00911C5B" w:rsidRDefault="009F052E" w:rsidP="00A175A4">
            <w:pPr>
              <w:jc w:val="center"/>
              <w:rPr>
                <w:rFonts w:ascii="Arial Narrow" w:hAnsi="Arial Narrow"/>
              </w:rPr>
            </w:pPr>
            <w:r w:rsidRPr="00911C5B">
              <w:rPr>
                <w:rFonts w:ascii="Arial Narrow" w:hAnsi="Arial Narrow"/>
              </w:rPr>
              <w:t>0.001</w:t>
            </w:r>
          </w:p>
        </w:tc>
        <w:tc>
          <w:tcPr>
            <w:tcW w:w="851" w:type="dxa"/>
            <w:vAlign w:val="center"/>
          </w:tcPr>
          <w:p w14:paraId="11EA94E4" w14:textId="77777777" w:rsidR="009F052E" w:rsidRPr="00911C5B" w:rsidRDefault="009F052E" w:rsidP="00A175A4">
            <w:pPr>
              <w:jc w:val="center"/>
              <w:rPr>
                <w:rFonts w:ascii="Arial Narrow" w:hAnsi="Arial Narrow"/>
              </w:rPr>
            </w:pPr>
            <w:r w:rsidRPr="00911C5B">
              <w:rPr>
                <w:rFonts w:ascii="Arial Narrow" w:hAnsi="Arial Narrow"/>
              </w:rPr>
              <w:t>0.000</w:t>
            </w:r>
          </w:p>
        </w:tc>
      </w:tr>
      <w:tr w:rsidR="009F052E" w:rsidRPr="00911C5B" w14:paraId="11EA94EC" w14:textId="77777777" w:rsidTr="00A175A4">
        <w:trPr>
          <w:trHeight w:val="255"/>
        </w:trPr>
        <w:tc>
          <w:tcPr>
            <w:tcW w:w="2093" w:type="dxa"/>
            <w:noWrap/>
            <w:hideMark/>
          </w:tcPr>
          <w:p w14:paraId="11EA94E6" w14:textId="77777777" w:rsidR="009F052E" w:rsidRPr="00911C5B" w:rsidRDefault="009F052E" w:rsidP="00A175A4">
            <w:pPr>
              <w:jc w:val="left"/>
              <w:rPr>
                <w:rFonts w:ascii="Arial Narrow" w:hAnsi="Arial Narrow"/>
                <w:i/>
              </w:rPr>
            </w:pPr>
            <w:r w:rsidRPr="00911C5B">
              <w:rPr>
                <w:rFonts w:ascii="Arial Narrow" w:hAnsi="Arial Narrow"/>
                <w:i/>
              </w:rPr>
              <w:t>Turbinaria</w:t>
            </w:r>
          </w:p>
        </w:tc>
        <w:tc>
          <w:tcPr>
            <w:tcW w:w="850" w:type="dxa"/>
            <w:noWrap/>
            <w:vAlign w:val="center"/>
            <w:hideMark/>
          </w:tcPr>
          <w:p w14:paraId="11EA94E7" w14:textId="77777777" w:rsidR="009F052E" w:rsidRPr="00911C5B" w:rsidRDefault="009F052E" w:rsidP="00A175A4">
            <w:pPr>
              <w:jc w:val="center"/>
              <w:rPr>
                <w:rFonts w:ascii="Arial Narrow" w:hAnsi="Arial Narrow"/>
              </w:rPr>
            </w:pPr>
            <w:r w:rsidRPr="00911C5B">
              <w:rPr>
                <w:rFonts w:ascii="Arial Narrow" w:hAnsi="Arial Narrow"/>
              </w:rPr>
              <w:t>-0.279</w:t>
            </w:r>
          </w:p>
        </w:tc>
        <w:tc>
          <w:tcPr>
            <w:tcW w:w="851" w:type="dxa"/>
            <w:tcBorders>
              <w:right w:val="thinThickThinLargeGap" w:sz="24" w:space="0" w:color="auto"/>
            </w:tcBorders>
            <w:noWrap/>
            <w:vAlign w:val="center"/>
            <w:hideMark/>
          </w:tcPr>
          <w:p w14:paraId="11EA94E8" w14:textId="77777777" w:rsidR="009F052E" w:rsidRPr="00911C5B" w:rsidRDefault="009F052E" w:rsidP="00A175A4">
            <w:pPr>
              <w:jc w:val="center"/>
              <w:rPr>
                <w:rFonts w:ascii="Arial Narrow" w:hAnsi="Arial Narrow"/>
              </w:rPr>
            </w:pPr>
            <w:r w:rsidRPr="00911C5B">
              <w:rPr>
                <w:rFonts w:ascii="Arial Narrow" w:hAnsi="Arial Narrow"/>
              </w:rPr>
              <w:t>-0.307</w:t>
            </w:r>
          </w:p>
        </w:tc>
        <w:tc>
          <w:tcPr>
            <w:tcW w:w="2069" w:type="dxa"/>
            <w:tcBorders>
              <w:left w:val="thinThickThinLargeGap" w:sz="24" w:space="0" w:color="auto"/>
            </w:tcBorders>
          </w:tcPr>
          <w:p w14:paraId="11EA94E9" w14:textId="77777777" w:rsidR="009F052E" w:rsidRPr="00911C5B" w:rsidRDefault="009F052E" w:rsidP="00A175A4">
            <w:pPr>
              <w:jc w:val="left"/>
              <w:rPr>
                <w:rFonts w:ascii="Arial Narrow" w:hAnsi="Arial Narrow"/>
                <w:i/>
              </w:rPr>
            </w:pPr>
            <w:r w:rsidRPr="00911C5B">
              <w:rPr>
                <w:rFonts w:ascii="Arial Narrow" w:hAnsi="Arial Narrow"/>
                <w:i/>
              </w:rPr>
              <w:t>Ctenactis *</w:t>
            </w:r>
          </w:p>
        </w:tc>
        <w:tc>
          <w:tcPr>
            <w:tcW w:w="766" w:type="dxa"/>
            <w:vAlign w:val="center"/>
          </w:tcPr>
          <w:p w14:paraId="11EA94EA" w14:textId="77777777" w:rsidR="009F052E" w:rsidRPr="00911C5B" w:rsidRDefault="009F052E" w:rsidP="00A175A4">
            <w:pPr>
              <w:jc w:val="center"/>
              <w:rPr>
                <w:rFonts w:ascii="Arial Narrow" w:hAnsi="Arial Narrow"/>
              </w:rPr>
            </w:pPr>
            <w:r w:rsidRPr="00911C5B">
              <w:rPr>
                <w:rFonts w:ascii="Arial Narrow" w:hAnsi="Arial Narrow"/>
              </w:rPr>
              <w:t>0.016</w:t>
            </w:r>
          </w:p>
        </w:tc>
        <w:tc>
          <w:tcPr>
            <w:tcW w:w="851" w:type="dxa"/>
            <w:vAlign w:val="center"/>
          </w:tcPr>
          <w:p w14:paraId="11EA94EB" w14:textId="77777777" w:rsidR="009F052E" w:rsidRPr="00911C5B" w:rsidRDefault="009F052E" w:rsidP="00A175A4">
            <w:pPr>
              <w:jc w:val="center"/>
              <w:rPr>
                <w:rFonts w:ascii="Arial Narrow" w:hAnsi="Arial Narrow"/>
              </w:rPr>
            </w:pPr>
            <w:r w:rsidRPr="00911C5B">
              <w:rPr>
                <w:rFonts w:ascii="Arial Narrow" w:hAnsi="Arial Narrow"/>
              </w:rPr>
              <w:t>0.001</w:t>
            </w:r>
          </w:p>
        </w:tc>
      </w:tr>
      <w:tr w:rsidR="009F052E" w:rsidRPr="00911C5B" w14:paraId="11EA94F3" w14:textId="77777777" w:rsidTr="00A175A4">
        <w:trPr>
          <w:trHeight w:val="255"/>
        </w:trPr>
        <w:tc>
          <w:tcPr>
            <w:tcW w:w="2093" w:type="dxa"/>
            <w:noWrap/>
            <w:hideMark/>
          </w:tcPr>
          <w:p w14:paraId="11EA94ED" w14:textId="77777777" w:rsidR="009F052E" w:rsidRPr="00911C5B" w:rsidRDefault="009F052E" w:rsidP="00A175A4">
            <w:pPr>
              <w:jc w:val="left"/>
              <w:rPr>
                <w:rFonts w:ascii="Arial Narrow" w:hAnsi="Arial Narrow"/>
                <w:i/>
              </w:rPr>
            </w:pPr>
            <w:r w:rsidRPr="00911C5B">
              <w:rPr>
                <w:rFonts w:ascii="Arial Narrow" w:hAnsi="Arial Narrow"/>
                <w:i/>
              </w:rPr>
              <w:t>Goniopora</w:t>
            </w:r>
          </w:p>
        </w:tc>
        <w:tc>
          <w:tcPr>
            <w:tcW w:w="850" w:type="dxa"/>
            <w:noWrap/>
            <w:vAlign w:val="center"/>
            <w:hideMark/>
          </w:tcPr>
          <w:p w14:paraId="11EA94EE" w14:textId="77777777" w:rsidR="009F052E" w:rsidRPr="00911C5B" w:rsidRDefault="009F052E" w:rsidP="00A175A4">
            <w:pPr>
              <w:jc w:val="center"/>
              <w:rPr>
                <w:rFonts w:ascii="Arial Narrow" w:hAnsi="Arial Narrow"/>
              </w:rPr>
            </w:pPr>
            <w:r w:rsidRPr="00911C5B">
              <w:rPr>
                <w:rFonts w:ascii="Arial Narrow" w:hAnsi="Arial Narrow"/>
              </w:rPr>
              <w:t>-0.320</w:t>
            </w:r>
          </w:p>
        </w:tc>
        <w:tc>
          <w:tcPr>
            <w:tcW w:w="851" w:type="dxa"/>
            <w:tcBorders>
              <w:right w:val="thinThickThinLargeGap" w:sz="24" w:space="0" w:color="auto"/>
            </w:tcBorders>
            <w:noWrap/>
            <w:vAlign w:val="center"/>
            <w:hideMark/>
          </w:tcPr>
          <w:p w14:paraId="11EA94EF" w14:textId="77777777" w:rsidR="009F052E" w:rsidRPr="00911C5B" w:rsidRDefault="009F052E" w:rsidP="00A175A4">
            <w:pPr>
              <w:jc w:val="center"/>
              <w:rPr>
                <w:rFonts w:ascii="Arial Narrow" w:hAnsi="Arial Narrow"/>
              </w:rPr>
            </w:pPr>
            <w:r w:rsidRPr="00911C5B">
              <w:rPr>
                <w:rFonts w:ascii="Arial Narrow" w:hAnsi="Arial Narrow"/>
              </w:rPr>
              <w:t>-0.304</w:t>
            </w:r>
          </w:p>
        </w:tc>
        <w:tc>
          <w:tcPr>
            <w:tcW w:w="2069" w:type="dxa"/>
            <w:tcBorders>
              <w:left w:val="thinThickThinLargeGap" w:sz="24" w:space="0" w:color="auto"/>
            </w:tcBorders>
          </w:tcPr>
          <w:p w14:paraId="11EA94F0" w14:textId="77777777" w:rsidR="009F052E" w:rsidRPr="00911C5B" w:rsidRDefault="009F052E" w:rsidP="00A175A4">
            <w:pPr>
              <w:jc w:val="left"/>
              <w:rPr>
                <w:rFonts w:ascii="Arial Narrow" w:hAnsi="Arial Narrow"/>
                <w:i/>
              </w:rPr>
            </w:pPr>
            <w:r w:rsidRPr="00911C5B">
              <w:rPr>
                <w:rFonts w:ascii="Arial Narrow" w:hAnsi="Arial Narrow"/>
                <w:i/>
              </w:rPr>
              <w:t>Anacropora *</w:t>
            </w:r>
          </w:p>
        </w:tc>
        <w:tc>
          <w:tcPr>
            <w:tcW w:w="766" w:type="dxa"/>
            <w:vAlign w:val="center"/>
          </w:tcPr>
          <w:p w14:paraId="11EA94F1" w14:textId="77777777" w:rsidR="009F052E" w:rsidRPr="00911C5B" w:rsidRDefault="009F052E" w:rsidP="00A175A4">
            <w:pPr>
              <w:jc w:val="center"/>
              <w:rPr>
                <w:rFonts w:ascii="Arial Narrow" w:hAnsi="Arial Narrow"/>
              </w:rPr>
            </w:pPr>
          </w:p>
        </w:tc>
        <w:tc>
          <w:tcPr>
            <w:tcW w:w="851" w:type="dxa"/>
            <w:vAlign w:val="center"/>
          </w:tcPr>
          <w:p w14:paraId="11EA94F2" w14:textId="77777777" w:rsidR="009F052E" w:rsidRPr="00911C5B" w:rsidRDefault="009F052E" w:rsidP="00A175A4">
            <w:pPr>
              <w:jc w:val="center"/>
              <w:rPr>
                <w:rFonts w:ascii="Arial Narrow" w:hAnsi="Arial Narrow"/>
              </w:rPr>
            </w:pPr>
            <w:r w:rsidRPr="00911C5B">
              <w:rPr>
                <w:rFonts w:ascii="Arial Narrow" w:hAnsi="Arial Narrow"/>
              </w:rPr>
              <w:t>0.001</w:t>
            </w:r>
          </w:p>
        </w:tc>
      </w:tr>
      <w:tr w:rsidR="009F052E" w:rsidRPr="00911C5B" w14:paraId="11EA94FA" w14:textId="77777777" w:rsidTr="00A175A4">
        <w:trPr>
          <w:trHeight w:val="255"/>
        </w:trPr>
        <w:tc>
          <w:tcPr>
            <w:tcW w:w="2093" w:type="dxa"/>
            <w:noWrap/>
            <w:hideMark/>
          </w:tcPr>
          <w:p w14:paraId="11EA94F4" w14:textId="77777777" w:rsidR="009F052E" w:rsidRPr="00911C5B" w:rsidRDefault="009F052E" w:rsidP="00A175A4">
            <w:pPr>
              <w:jc w:val="left"/>
              <w:rPr>
                <w:rFonts w:ascii="Arial Narrow" w:hAnsi="Arial Narrow"/>
                <w:i/>
              </w:rPr>
            </w:pPr>
            <w:r w:rsidRPr="00911C5B">
              <w:rPr>
                <w:rFonts w:ascii="Arial Narrow" w:hAnsi="Arial Narrow"/>
                <w:i/>
              </w:rPr>
              <w:t>Goniastrea</w:t>
            </w:r>
          </w:p>
        </w:tc>
        <w:tc>
          <w:tcPr>
            <w:tcW w:w="850" w:type="dxa"/>
            <w:noWrap/>
            <w:vAlign w:val="center"/>
            <w:hideMark/>
          </w:tcPr>
          <w:p w14:paraId="11EA94F5" w14:textId="77777777" w:rsidR="009F052E" w:rsidRPr="00911C5B" w:rsidRDefault="009F052E" w:rsidP="00A175A4">
            <w:pPr>
              <w:jc w:val="center"/>
              <w:rPr>
                <w:rFonts w:ascii="Arial Narrow" w:hAnsi="Arial Narrow"/>
              </w:rPr>
            </w:pPr>
            <w:r w:rsidRPr="00911C5B">
              <w:rPr>
                <w:rFonts w:ascii="Arial Narrow" w:hAnsi="Arial Narrow"/>
              </w:rPr>
              <w:t>-0.115</w:t>
            </w:r>
          </w:p>
        </w:tc>
        <w:tc>
          <w:tcPr>
            <w:tcW w:w="851" w:type="dxa"/>
            <w:tcBorders>
              <w:right w:val="thinThickThinLargeGap" w:sz="24" w:space="0" w:color="auto"/>
            </w:tcBorders>
            <w:noWrap/>
            <w:vAlign w:val="center"/>
            <w:hideMark/>
          </w:tcPr>
          <w:p w14:paraId="11EA94F6" w14:textId="77777777" w:rsidR="009F052E" w:rsidRPr="00911C5B" w:rsidRDefault="009F052E" w:rsidP="00A175A4">
            <w:pPr>
              <w:jc w:val="center"/>
              <w:rPr>
                <w:rFonts w:ascii="Arial Narrow" w:hAnsi="Arial Narrow"/>
              </w:rPr>
            </w:pPr>
            <w:r w:rsidRPr="00911C5B">
              <w:rPr>
                <w:rFonts w:ascii="Arial Narrow" w:hAnsi="Arial Narrow"/>
              </w:rPr>
              <w:t>-0.278</w:t>
            </w:r>
          </w:p>
        </w:tc>
        <w:tc>
          <w:tcPr>
            <w:tcW w:w="2069" w:type="dxa"/>
            <w:tcBorders>
              <w:left w:val="thinThickThinLargeGap" w:sz="24" w:space="0" w:color="auto"/>
            </w:tcBorders>
          </w:tcPr>
          <w:p w14:paraId="11EA94F7" w14:textId="77777777" w:rsidR="009F052E" w:rsidRPr="00911C5B" w:rsidRDefault="009F052E" w:rsidP="00A175A4">
            <w:pPr>
              <w:jc w:val="left"/>
              <w:rPr>
                <w:rFonts w:ascii="Arial Narrow" w:hAnsi="Arial Narrow"/>
              </w:rPr>
            </w:pPr>
            <w:r w:rsidRPr="00911C5B">
              <w:rPr>
                <w:rFonts w:ascii="Arial Narrow" w:hAnsi="Arial Narrow"/>
                <w:i/>
              </w:rPr>
              <w:t>Physogyra</w:t>
            </w:r>
          </w:p>
        </w:tc>
        <w:tc>
          <w:tcPr>
            <w:tcW w:w="766" w:type="dxa"/>
            <w:vAlign w:val="center"/>
          </w:tcPr>
          <w:p w14:paraId="11EA94F8" w14:textId="77777777" w:rsidR="009F052E" w:rsidRPr="00911C5B" w:rsidRDefault="009F052E" w:rsidP="00A175A4">
            <w:pPr>
              <w:jc w:val="center"/>
              <w:rPr>
                <w:rFonts w:ascii="Arial Narrow" w:hAnsi="Arial Narrow"/>
              </w:rPr>
            </w:pPr>
            <w:r w:rsidRPr="00911C5B">
              <w:rPr>
                <w:rFonts w:ascii="Arial Narrow" w:hAnsi="Arial Narrow"/>
              </w:rPr>
              <w:t>0</w:t>
            </w:r>
          </w:p>
        </w:tc>
        <w:tc>
          <w:tcPr>
            <w:tcW w:w="851" w:type="dxa"/>
            <w:vAlign w:val="center"/>
          </w:tcPr>
          <w:p w14:paraId="11EA94F9" w14:textId="77777777" w:rsidR="009F052E" w:rsidRPr="00911C5B" w:rsidRDefault="009F052E" w:rsidP="00A175A4">
            <w:pPr>
              <w:jc w:val="center"/>
              <w:rPr>
                <w:rFonts w:ascii="Arial Narrow" w:hAnsi="Arial Narrow"/>
              </w:rPr>
            </w:pPr>
            <w:r w:rsidRPr="00911C5B">
              <w:rPr>
                <w:rFonts w:ascii="Arial Narrow" w:hAnsi="Arial Narrow"/>
              </w:rPr>
              <w:t>0.001</w:t>
            </w:r>
          </w:p>
        </w:tc>
      </w:tr>
      <w:tr w:rsidR="009F052E" w:rsidRPr="00911C5B" w14:paraId="11EA9501" w14:textId="77777777" w:rsidTr="00A175A4">
        <w:trPr>
          <w:trHeight w:val="255"/>
        </w:trPr>
        <w:tc>
          <w:tcPr>
            <w:tcW w:w="2093" w:type="dxa"/>
            <w:noWrap/>
            <w:hideMark/>
          </w:tcPr>
          <w:p w14:paraId="11EA94FB" w14:textId="77777777" w:rsidR="009F052E" w:rsidRPr="00911C5B" w:rsidRDefault="009F052E" w:rsidP="00A175A4">
            <w:pPr>
              <w:jc w:val="left"/>
              <w:rPr>
                <w:rFonts w:ascii="Arial Narrow" w:hAnsi="Arial Narrow"/>
                <w:i/>
              </w:rPr>
            </w:pPr>
            <w:r w:rsidRPr="00911C5B">
              <w:rPr>
                <w:rFonts w:ascii="Arial Narrow" w:hAnsi="Arial Narrow"/>
                <w:i/>
              </w:rPr>
              <w:t>Pachyseris</w:t>
            </w:r>
          </w:p>
        </w:tc>
        <w:tc>
          <w:tcPr>
            <w:tcW w:w="850" w:type="dxa"/>
            <w:noWrap/>
            <w:vAlign w:val="center"/>
            <w:hideMark/>
          </w:tcPr>
          <w:p w14:paraId="11EA94FC" w14:textId="77777777" w:rsidR="009F052E" w:rsidRPr="00911C5B" w:rsidRDefault="009F052E" w:rsidP="00A175A4">
            <w:pPr>
              <w:jc w:val="center"/>
              <w:rPr>
                <w:rFonts w:ascii="Arial Narrow" w:hAnsi="Arial Narrow"/>
              </w:rPr>
            </w:pPr>
            <w:r w:rsidRPr="00911C5B">
              <w:rPr>
                <w:rFonts w:ascii="Arial Narrow" w:hAnsi="Arial Narrow"/>
              </w:rPr>
              <w:t>-0.077</w:t>
            </w:r>
          </w:p>
        </w:tc>
        <w:tc>
          <w:tcPr>
            <w:tcW w:w="851" w:type="dxa"/>
            <w:tcBorders>
              <w:right w:val="thinThickThinLargeGap" w:sz="24" w:space="0" w:color="auto"/>
            </w:tcBorders>
            <w:noWrap/>
            <w:vAlign w:val="center"/>
            <w:hideMark/>
          </w:tcPr>
          <w:p w14:paraId="11EA94FD" w14:textId="77777777" w:rsidR="009F052E" w:rsidRPr="00911C5B" w:rsidRDefault="009F052E" w:rsidP="00A175A4">
            <w:pPr>
              <w:jc w:val="center"/>
              <w:rPr>
                <w:rFonts w:ascii="Arial Narrow" w:hAnsi="Arial Narrow"/>
              </w:rPr>
            </w:pPr>
            <w:r w:rsidRPr="00911C5B">
              <w:rPr>
                <w:rFonts w:ascii="Arial Narrow" w:hAnsi="Arial Narrow"/>
              </w:rPr>
              <w:t>-0.235</w:t>
            </w:r>
          </w:p>
        </w:tc>
        <w:tc>
          <w:tcPr>
            <w:tcW w:w="2069" w:type="dxa"/>
            <w:tcBorders>
              <w:left w:val="thinThickThinLargeGap" w:sz="24" w:space="0" w:color="auto"/>
            </w:tcBorders>
          </w:tcPr>
          <w:p w14:paraId="11EA94FE" w14:textId="77777777" w:rsidR="009F052E" w:rsidRPr="00911C5B" w:rsidRDefault="009F052E" w:rsidP="00A175A4">
            <w:pPr>
              <w:jc w:val="left"/>
              <w:rPr>
                <w:rFonts w:ascii="Arial Narrow" w:hAnsi="Arial Narrow"/>
                <w:i/>
              </w:rPr>
            </w:pPr>
            <w:r w:rsidRPr="00911C5B">
              <w:rPr>
                <w:rFonts w:ascii="Arial Narrow" w:hAnsi="Arial Narrow"/>
                <w:i/>
              </w:rPr>
              <w:t>Cynarina *</w:t>
            </w:r>
          </w:p>
        </w:tc>
        <w:tc>
          <w:tcPr>
            <w:tcW w:w="766" w:type="dxa"/>
            <w:vAlign w:val="center"/>
          </w:tcPr>
          <w:p w14:paraId="11EA94FF" w14:textId="77777777" w:rsidR="009F052E" w:rsidRPr="00911C5B" w:rsidRDefault="009F052E" w:rsidP="00A175A4">
            <w:pPr>
              <w:jc w:val="center"/>
              <w:rPr>
                <w:rFonts w:ascii="Arial Narrow" w:hAnsi="Arial Narrow"/>
              </w:rPr>
            </w:pPr>
            <w:r w:rsidRPr="00911C5B">
              <w:rPr>
                <w:rFonts w:ascii="Arial Narrow" w:hAnsi="Arial Narrow"/>
              </w:rPr>
              <w:t>-0.000</w:t>
            </w:r>
          </w:p>
        </w:tc>
        <w:tc>
          <w:tcPr>
            <w:tcW w:w="851" w:type="dxa"/>
            <w:vAlign w:val="center"/>
          </w:tcPr>
          <w:p w14:paraId="11EA9500" w14:textId="77777777" w:rsidR="009F052E" w:rsidRPr="00911C5B" w:rsidRDefault="009F052E" w:rsidP="00A175A4">
            <w:pPr>
              <w:jc w:val="center"/>
              <w:rPr>
                <w:rFonts w:ascii="Arial Narrow" w:hAnsi="Arial Narrow"/>
              </w:rPr>
            </w:pPr>
            <w:r w:rsidRPr="00911C5B">
              <w:rPr>
                <w:rFonts w:ascii="Arial Narrow" w:hAnsi="Arial Narrow"/>
              </w:rPr>
              <w:t>0.004</w:t>
            </w:r>
          </w:p>
        </w:tc>
      </w:tr>
      <w:tr w:rsidR="009F052E" w:rsidRPr="00911C5B" w14:paraId="11EA9508" w14:textId="77777777" w:rsidTr="00A175A4">
        <w:trPr>
          <w:trHeight w:val="255"/>
        </w:trPr>
        <w:tc>
          <w:tcPr>
            <w:tcW w:w="2093" w:type="dxa"/>
            <w:noWrap/>
            <w:hideMark/>
          </w:tcPr>
          <w:p w14:paraId="11EA9502" w14:textId="77777777" w:rsidR="009F052E" w:rsidRPr="00911C5B" w:rsidRDefault="009F052E" w:rsidP="00A175A4">
            <w:pPr>
              <w:jc w:val="left"/>
              <w:rPr>
                <w:rFonts w:ascii="Arial Narrow" w:hAnsi="Arial Narrow"/>
                <w:i/>
              </w:rPr>
            </w:pPr>
            <w:r w:rsidRPr="00911C5B">
              <w:rPr>
                <w:rFonts w:ascii="Arial Narrow" w:hAnsi="Arial Narrow"/>
                <w:i/>
              </w:rPr>
              <w:t>Favites</w:t>
            </w:r>
          </w:p>
        </w:tc>
        <w:tc>
          <w:tcPr>
            <w:tcW w:w="850" w:type="dxa"/>
            <w:noWrap/>
            <w:vAlign w:val="center"/>
            <w:hideMark/>
          </w:tcPr>
          <w:p w14:paraId="11EA9503" w14:textId="77777777" w:rsidR="009F052E" w:rsidRPr="00911C5B" w:rsidRDefault="009F052E" w:rsidP="00A175A4">
            <w:pPr>
              <w:jc w:val="center"/>
              <w:rPr>
                <w:rFonts w:ascii="Arial Narrow" w:hAnsi="Arial Narrow"/>
              </w:rPr>
            </w:pPr>
            <w:r w:rsidRPr="00911C5B">
              <w:rPr>
                <w:rFonts w:ascii="Arial Narrow" w:hAnsi="Arial Narrow"/>
              </w:rPr>
              <w:t>-0.096</w:t>
            </w:r>
          </w:p>
        </w:tc>
        <w:tc>
          <w:tcPr>
            <w:tcW w:w="851" w:type="dxa"/>
            <w:tcBorders>
              <w:right w:val="thinThickThinLargeGap" w:sz="24" w:space="0" w:color="auto"/>
            </w:tcBorders>
            <w:noWrap/>
            <w:vAlign w:val="center"/>
            <w:hideMark/>
          </w:tcPr>
          <w:p w14:paraId="11EA9504" w14:textId="77777777" w:rsidR="009F052E" w:rsidRPr="00911C5B" w:rsidRDefault="009F052E" w:rsidP="00A175A4">
            <w:pPr>
              <w:jc w:val="center"/>
              <w:rPr>
                <w:rFonts w:ascii="Arial Narrow" w:hAnsi="Arial Narrow"/>
              </w:rPr>
            </w:pPr>
            <w:r w:rsidRPr="00911C5B">
              <w:rPr>
                <w:rFonts w:ascii="Arial Narrow" w:hAnsi="Arial Narrow"/>
              </w:rPr>
              <w:t>-0.230</w:t>
            </w:r>
          </w:p>
        </w:tc>
        <w:tc>
          <w:tcPr>
            <w:tcW w:w="2069" w:type="dxa"/>
            <w:tcBorders>
              <w:left w:val="thinThickThinLargeGap" w:sz="24" w:space="0" w:color="auto"/>
            </w:tcBorders>
          </w:tcPr>
          <w:p w14:paraId="11EA9505" w14:textId="77777777" w:rsidR="009F052E" w:rsidRPr="00911C5B" w:rsidRDefault="009F052E" w:rsidP="00A175A4">
            <w:pPr>
              <w:jc w:val="left"/>
              <w:rPr>
                <w:rFonts w:ascii="Arial Narrow" w:hAnsi="Arial Narrow"/>
                <w:i/>
              </w:rPr>
            </w:pPr>
            <w:r w:rsidRPr="00911C5B">
              <w:rPr>
                <w:rFonts w:ascii="Arial Narrow" w:hAnsi="Arial Narrow"/>
                <w:i/>
              </w:rPr>
              <w:t>Sandalolitha*</w:t>
            </w:r>
          </w:p>
        </w:tc>
        <w:tc>
          <w:tcPr>
            <w:tcW w:w="766" w:type="dxa"/>
            <w:vAlign w:val="center"/>
          </w:tcPr>
          <w:p w14:paraId="11EA9506" w14:textId="77777777" w:rsidR="009F052E" w:rsidRPr="00911C5B" w:rsidRDefault="009F052E" w:rsidP="00A175A4">
            <w:pPr>
              <w:jc w:val="center"/>
              <w:rPr>
                <w:rFonts w:ascii="Arial Narrow" w:hAnsi="Arial Narrow"/>
              </w:rPr>
            </w:pPr>
            <w:r w:rsidRPr="00911C5B">
              <w:rPr>
                <w:rFonts w:ascii="Arial Narrow" w:hAnsi="Arial Narrow"/>
              </w:rPr>
              <w:t>0.003</w:t>
            </w:r>
          </w:p>
        </w:tc>
        <w:tc>
          <w:tcPr>
            <w:tcW w:w="851" w:type="dxa"/>
            <w:vAlign w:val="center"/>
          </w:tcPr>
          <w:p w14:paraId="11EA9507" w14:textId="77777777" w:rsidR="009F052E" w:rsidRPr="00911C5B" w:rsidRDefault="009F052E" w:rsidP="00A175A4">
            <w:pPr>
              <w:jc w:val="center"/>
              <w:rPr>
                <w:rFonts w:ascii="Arial Narrow" w:hAnsi="Arial Narrow"/>
              </w:rPr>
            </w:pPr>
            <w:r w:rsidRPr="00911C5B">
              <w:rPr>
                <w:rFonts w:ascii="Arial Narrow" w:hAnsi="Arial Narrow"/>
              </w:rPr>
              <w:t>0.005</w:t>
            </w:r>
          </w:p>
        </w:tc>
      </w:tr>
      <w:tr w:rsidR="009F052E" w:rsidRPr="00911C5B" w14:paraId="11EA950F" w14:textId="77777777" w:rsidTr="00A175A4">
        <w:trPr>
          <w:trHeight w:val="255"/>
        </w:trPr>
        <w:tc>
          <w:tcPr>
            <w:tcW w:w="2093" w:type="dxa"/>
            <w:noWrap/>
            <w:hideMark/>
          </w:tcPr>
          <w:p w14:paraId="11EA9509" w14:textId="77777777" w:rsidR="009F052E" w:rsidRPr="00911C5B" w:rsidRDefault="009F052E" w:rsidP="00A175A4">
            <w:pPr>
              <w:jc w:val="left"/>
              <w:rPr>
                <w:rFonts w:ascii="Arial Narrow" w:hAnsi="Arial Narrow"/>
                <w:i/>
              </w:rPr>
            </w:pPr>
            <w:r w:rsidRPr="00911C5B">
              <w:rPr>
                <w:rFonts w:ascii="Arial Narrow" w:hAnsi="Arial Narrow"/>
                <w:i/>
              </w:rPr>
              <w:t xml:space="preserve">Alveopora </w:t>
            </w:r>
          </w:p>
        </w:tc>
        <w:tc>
          <w:tcPr>
            <w:tcW w:w="850" w:type="dxa"/>
            <w:noWrap/>
            <w:vAlign w:val="center"/>
            <w:hideMark/>
          </w:tcPr>
          <w:p w14:paraId="11EA950A" w14:textId="77777777" w:rsidR="009F052E" w:rsidRPr="00911C5B" w:rsidRDefault="009F052E" w:rsidP="00A175A4">
            <w:pPr>
              <w:jc w:val="center"/>
              <w:rPr>
                <w:rFonts w:ascii="Arial Narrow" w:hAnsi="Arial Narrow"/>
              </w:rPr>
            </w:pPr>
            <w:r w:rsidRPr="00911C5B">
              <w:rPr>
                <w:rFonts w:ascii="Arial Narrow" w:hAnsi="Arial Narrow"/>
              </w:rPr>
              <w:t>-0.076</w:t>
            </w:r>
          </w:p>
        </w:tc>
        <w:tc>
          <w:tcPr>
            <w:tcW w:w="851" w:type="dxa"/>
            <w:tcBorders>
              <w:right w:val="thinThickThinLargeGap" w:sz="24" w:space="0" w:color="auto"/>
            </w:tcBorders>
            <w:noWrap/>
            <w:vAlign w:val="center"/>
            <w:hideMark/>
          </w:tcPr>
          <w:p w14:paraId="11EA950B" w14:textId="77777777" w:rsidR="009F052E" w:rsidRPr="00911C5B" w:rsidRDefault="009F052E" w:rsidP="00A175A4">
            <w:pPr>
              <w:jc w:val="center"/>
              <w:rPr>
                <w:rFonts w:ascii="Arial Narrow" w:hAnsi="Arial Narrow"/>
              </w:rPr>
            </w:pPr>
            <w:r w:rsidRPr="00911C5B">
              <w:rPr>
                <w:rFonts w:ascii="Arial Narrow" w:hAnsi="Arial Narrow"/>
              </w:rPr>
              <w:t>-0.221</w:t>
            </w:r>
          </w:p>
        </w:tc>
        <w:tc>
          <w:tcPr>
            <w:tcW w:w="2069" w:type="dxa"/>
            <w:tcBorders>
              <w:left w:val="thinThickThinLargeGap" w:sz="24" w:space="0" w:color="auto"/>
            </w:tcBorders>
          </w:tcPr>
          <w:p w14:paraId="11EA950C" w14:textId="77777777" w:rsidR="009F052E" w:rsidRPr="00911C5B" w:rsidRDefault="009F052E" w:rsidP="00A175A4">
            <w:pPr>
              <w:jc w:val="left"/>
              <w:rPr>
                <w:rFonts w:ascii="Arial Narrow" w:hAnsi="Arial Narrow"/>
                <w:i/>
              </w:rPr>
            </w:pPr>
            <w:r w:rsidRPr="00911C5B">
              <w:rPr>
                <w:rFonts w:ascii="Arial Narrow" w:hAnsi="Arial Narrow"/>
                <w:i/>
              </w:rPr>
              <w:t>Montastrea</w:t>
            </w:r>
          </w:p>
        </w:tc>
        <w:tc>
          <w:tcPr>
            <w:tcW w:w="766" w:type="dxa"/>
            <w:vAlign w:val="center"/>
          </w:tcPr>
          <w:p w14:paraId="11EA950D" w14:textId="77777777" w:rsidR="009F052E" w:rsidRPr="00911C5B" w:rsidRDefault="009F052E" w:rsidP="00A175A4">
            <w:pPr>
              <w:jc w:val="center"/>
              <w:rPr>
                <w:rFonts w:ascii="Arial Narrow" w:hAnsi="Arial Narrow"/>
              </w:rPr>
            </w:pPr>
            <w:r w:rsidRPr="00911C5B">
              <w:rPr>
                <w:rFonts w:ascii="Arial Narrow" w:hAnsi="Arial Narrow"/>
              </w:rPr>
              <w:t>0.019</w:t>
            </w:r>
          </w:p>
        </w:tc>
        <w:tc>
          <w:tcPr>
            <w:tcW w:w="851" w:type="dxa"/>
            <w:vAlign w:val="center"/>
          </w:tcPr>
          <w:p w14:paraId="11EA950E" w14:textId="77777777" w:rsidR="009F052E" w:rsidRPr="00911C5B" w:rsidRDefault="009F052E" w:rsidP="00A175A4">
            <w:pPr>
              <w:jc w:val="center"/>
              <w:rPr>
                <w:rFonts w:ascii="Arial Narrow" w:hAnsi="Arial Narrow"/>
              </w:rPr>
            </w:pPr>
            <w:r w:rsidRPr="00911C5B">
              <w:rPr>
                <w:rFonts w:ascii="Arial Narrow" w:hAnsi="Arial Narrow"/>
              </w:rPr>
              <w:t>0.005</w:t>
            </w:r>
          </w:p>
        </w:tc>
      </w:tr>
      <w:tr w:rsidR="009F052E" w:rsidRPr="00911C5B" w14:paraId="11EA9516" w14:textId="77777777" w:rsidTr="00A175A4">
        <w:trPr>
          <w:trHeight w:val="255"/>
        </w:trPr>
        <w:tc>
          <w:tcPr>
            <w:tcW w:w="2093" w:type="dxa"/>
            <w:noWrap/>
            <w:hideMark/>
          </w:tcPr>
          <w:p w14:paraId="11EA9510" w14:textId="77777777" w:rsidR="009F052E" w:rsidRPr="00911C5B" w:rsidRDefault="009F052E" w:rsidP="00A175A4">
            <w:pPr>
              <w:jc w:val="left"/>
              <w:rPr>
                <w:rFonts w:ascii="Arial Narrow" w:hAnsi="Arial Narrow"/>
                <w:i/>
              </w:rPr>
            </w:pPr>
            <w:r w:rsidRPr="00911C5B">
              <w:rPr>
                <w:rFonts w:ascii="Arial Narrow" w:hAnsi="Arial Narrow"/>
                <w:i/>
              </w:rPr>
              <w:t>Hydnophora</w:t>
            </w:r>
          </w:p>
        </w:tc>
        <w:tc>
          <w:tcPr>
            <w:tcW w:w="850" w:type="dxa"/>
            <w:noWrap/>
            <w:vAlign w:val="center"/>
            <w:hideMark/>
          </w:tcPr>
          <w:p w14:paraId="11EA9511" w14:textId="77777777" w:rsidR="009F052E" w:rsidRPr="00911C5B" w:rsidRDefault="009F052E" w:rsidP="00A175A4">
            <w:pPr>
              <w:jc w:val="center"/>
              <w:rPr>
                <w:rFonts w:ascii="Arial Narrow" w:hAnsi="Arial Narrow"/>
              </w:rPr>
            </w:pPr>
            <w:r w:rsidRPr="00911C5B">
              <w:rPr>
                <w:rFonts w:ascii="Arial Narrow" w:hAnsi="Arial Narrow"/>
              </w:rPr>
              <w:t>-0.047</w:t>
            </w:r>
          </w:p>
        </w:tc>
        <w:tc>
          <w:tcPr>
            <w:tcW w:w="851" w:type="dxa"/>
            <w:tcBorders>
              <w:right w:val="thinThickThinLargeGap" w:sz="24" w:space="0" w:color="auto"/>
            </w:tcBorders>
            <w:noWrap/>
            <w:vAlign w:val="center"/>
            <w:hideMark/>
          </w:tcPr>
          <w:p w14:paraId="11EA9512" w14:textId="77777777" w:rsidR="009F052E" w:rsidRPr="00911C5B" w:rsidRDefault="009F052E" w:rsidP="00A175A4">
            <w:pPr>
              <w:jc w:val="center"/>
              <w:rPr>
                <w:rFonts w:ascii="Arial Narrow" w:hAnsi="Arial Narrow"/>
              </w:rPr>
            </w:pPr>
            <w:r w:rsidRPr="00911C5B">
              <w:rPr>
                <w:rFonts w:ascii="Arial Narrow" w:hAnsi="Arial Narrow"/>
              </w:rPr>
              <w:t>-0.213</w:t>
            </w:r>
          </w:p>
        </w:tc>
        <w:tc>
          <w:tcPr>
            <w:tcW w:w="2069" w:type="dxa"/>
            <w:tcBorders>
              <w:left w:val="thinThickThinLargeGap" w:sz="24" w:space="0" w:color="auto"/>
            </w:tcBorders>
          </w:tcPr>
          <w:p w14:paraId="11EA9513" w14:textId="77777777" w:rsidR="009F052E" w:rsidRPr="00911C5B" w:rsidRDefault="009F052E" w:rsidP="00A175A4">
            <w:pPr>
              <w:jc w:val="left"/>
              <w:rPr>
                <w:rFonts w:ascii="Arial Narrow" w:hAnsi="Arial Narrow"/>
                <w:i/>
              </w:rPr>
            </w:pPr>
            <w:r w:rsidRPr="00911C5B">
              <w:rPr>
                <w:rFonts w:ascii="Arial Narrow" w:hAnsi="Arial Narrow"/>
                <w:i/>
              </w:rPr>
              <w:t>Fungia</w:t>
            </w:r>
          </w:p>
        </w:tc>
        <w:tc>
          <w:tcPr>
            <w:tcW w:w="766" w:type="dxa"/>
            <w:vAlign w:val="center"/>
          </w:tcPr>
          <w:p w14:paraId="11EA9514" w14:textId="77777777" w:rsidR="009F052E" w:rsidRPr="00911C5B" w:rsidRDefault="009F052E" w:rsidP="00A175A4">
            <w:pPr>
              <w:jc w:val="center"/>
              <w:rPr>
                <w:rFonts w:ascii="Arial Narrow" w:hAnsi="Arial Narrow"/>
              </w:rPr>
            </w:pPr>
            <w:r w:rsidRPr="00911C5B">
              <w:rPr>
                <w:rFonts w:ascii="Arial Narrow" w:hAnsi="Arial Narrow"/>
              </w:rPr>
              <w:t>0.013</w:t>
            </w:r>
          </w:p>
        </w:tc>
        <w:tc>
          <w:tcPr>
            <w:tcW w:w="851" w:type="dxa"/>
            <w:vAlign w:val="center"/>
          </w:tcPr>
          <w:p w14:paraId="11EA9515" w14:textId="77777777" w:rsidR="009F052E" w:rsidRPr="00911C5B" w:rsidRDefault="009F052E" w:rsidP="00A175A4">
            <w:pPr>
              <w:jc w:val="center"/>
              <w:rPr>
                <w:rFonts w:ascii="Arial Narrow" w:hAnsi="Arial Narrow"/>
              </w:rPr>
            </w:pPr>
            <w:r w:rsidRPr="00911C5B">
              <w:rPr>
                <w:rFonts w:ascii="Arial Narrow" w:hAnsi="Arial Narrow"/>
              </w:rPr>
              <w:t>0.015</w:t>
            </w:r>
          </w:p>
        </w:tc>
      </w:tr>
      <w:tr w:rsidR="009F052E" w:rsidRPr="00911C5B" w14:paraId="11EA951D" w14:textId="77777777" w:rsidTr="00A175A4">
        <w:trPr>
          <w:trHeight w:val="255"/>
        </w:trPr>
        <w:tc>
          <w:tcPr>
            <w:tcW w:w="2093" w:type="dxa"/>
            <w:noWrap/>
            <w:hideMark/>
          </w:tcPr>
          <w:p w14:paraId="11EA9517" w14:textId="77777777" w:rsidR="009F052E" w:rsidRPr="00911C5B" w:rsidRDefault="009F052E" w:rsidP="00A175A4">
            <w:pPr>
              <w:jc w:val="left"/>
              <w:rPr>
                <w:rFonts w:ascii="Arial Narrow" w:hAnsi="Arial Narrow"/>
                <w:i/>
              </w:rPr>
            </w:pPr>
            <w:r w:rsidRPr="00911C5B">
              <w:rPr>
                <w:rFonts w:ascii="Arial Narrow" w:hAnsi="Arial Narrow"/>
                <w:i/>
              </w:rPr>
              <w:t>Cyphastrea</w:t>
            </w:r>
          </w:p>
        </w:tc>
        <w:tc>
          <w:tcPr>
            <w:tcW w:w="850" w:type="dxa"/>
            <w:noWrap/>
            <w:vAlign w:val="center"/>
            <w:hideMark/>
          </w:tcPr>
          <w:p w14:paraId="11EA9518" w14:textId="77777777" w:rsidR="009F052E" w:rsidRPr="00911C5B" w:rsidRDefault="009F052E" w:rsidP="00A175A4">
            <w:pPr>
              <w:jc w:val="center"/>
              <w:rPr>
                <w:rFonts w:ascii="Arial Narrow" w:hAnsi="Arial Narrow"/>
              </w:rPr>
            </w:pPr>
            <w:r w:rsidRPr="00911C5B">
              <w:rPr>
                <w:rFonts w:ascii="Arial Narrow" w:hAnsi="Arial Narrow"/>
              </w:rPr>
              <w:t>-0.386</w:t>
            </w:r>
          </w:p>
        </w:tc>
        <w:tc>
          <w:tcPr>
            <w:tcW w:w="851" w:type="dxa"/>
            <w:tcBorders>
              <w:right w:val="thinThickThinLargeGap" w:sz="24" w:space="0" w:color="auto"/>
            </w:tcBorders>
            <w:noWrap/>
            <w:vAlign w:val="center"/>
            <w:hideMark/>
          </w:tcPr>
          <w:p w14:paraId="11EA9519" w14:textId="77777777" w:rsidR="009F052E" w:rsidRPr="00911C5B" w:rsidRDefault="009F052E" w:rsidP="00A175A4">
            <w:pPr>
              <w:jc w:val="center"/>
              <w:rPr>
                <w:rFonts w:ascii="Arial Narrow" w:hAnsi="Arial Narrow"/>
              </w:rPr>
            </w:pPr>
            <w:r w:rsidRPr="00911C5B">
              <w:rPr>
                <w:rFonts w:ascii="Arial Narrow" w:hAnsi="Arial Narrow"/>
              </w:rPr>
              <w:t>-0.193</w:t>
            </w:r>
          </w:p>
        </w:tc>
        <w:tc>
          <w:tcPr>
            <w:tcW w:w="2069" w:type="dxa"/>
            <w:tcBorders>
              <w:left w:val="thinThickThinLargeGap" w:sz="24" w:space="0" w:color="auto"/>
            </w:tcBorders>
          </w:tcPr>
          <w:p w14:paraId="11EA951A" w14:textId="77777777" w:rsidR="009F052E" w:rsidRPr="00911C5B" w:rsidRDefault="009F052E" w:rsidP="00A175A4">
            <w:pPr>
              <w:jc w:val="left"/>
              <w:rPr>
                <w:rFonts w:ascii="Arial Narrow" w:hAnsi="Arial Narrow"/>
                <w:i/>
              </w:rPr>
            </w:pPr>
            <w:r w:rsidRPr="00911C5B">
              <w:rPr>
                <w:rFonts w:ascii="Arial Narrow" w:hAnsi="Arial Narrow"/>
              </w:rPr>
              <w:t xml:space="preserve">Encrusting </w:t>
            </w:r>
            <w:r w:rsidRPr="00911C5B">
              <w:rPr>
                <w:rFonts w:ascii="Arial Narrow" w:hAnsi="Arial Narrow"/>
                <w:i/>
              </w:rPr>
              <w:t>Acropora</w:t>
            </w:r>
          </w:p>
        </w:tc>
        <w:tc>
          <w:tcPr>
            <w:tcW w:w="766" w:type="dxa"/>
            <w:vAlign w:val="center"/>
          </w:tcPr>
          <w:p w14:paraId="11EA951B" w14:textId="77777777" w:rsidR="009F052E" w:rsidRPr="00911C5B" w:rsidRDefault="009F052E" w:rsidP="00A175A4">
            <w:pPr>
              <w:jc w:val="center"/>
              <w:rPr>
                <w:rFonts w:ascii="Arial Narrow" w:hAnsi="Arial Narrow"/>
              </w:rPr>
            </w:pPr>
            <w:r w:rsidRPr="00911C5B">
              <w:rPr>
                <w:rFonts w:ascii="Arial Narrow" w:hAnsi="Arial Narrow"/>
              </w:rPr>
              <w:t>0.048</w:t>
            </w:r>
          </w:p>
        </w:tc>
        <w:tc>
          <w:tcPr>
            <w:tcW w:w="851" w:type="dxa"/>
            <w:vAlign w:val="center"/>
          </w:tcPr>
          <w:p w14:paraId="11EA951C" w14:textId="77777777" w:rsidR="009F052E" w:rsidRPr="00911C5B" w:rsidRDefault="009F052E" w:rsidP="00A175A4">
            <w:pPr>
              <w:jc w:val="center"/>
              <w:rPr>
                <w:rFonts w:ascii="Arial Narrow" w:hAnsi="Arial Narrow"/>
              </w:rPr>
            </w:pPr>
            <w:r w:rsidRPr="00911C5B">
              <w:rPr>
                <w:rFonts w:ascii="Arial Narrow" w:hAnsi="Arial Narrow"/>
              </w:rPr>
              <w:t>0.015</w:t>
            </w:r>
          </w:p>
        </w:tc>
      </w:tr>
      <w:tr w:rsidR="009F052E" w:rsidRPr="00911C5B" w14:paraId="11EA9524" w14:textId="77777777" w:rsidTr="00A175A4">
        <w:trPr>
          <w:trHeight w:val="255"/>
        </w:trPr>
        <w:tc>
          <w:tcPr>
            <w:tcW w:w="2093" w:type="dxa"/>
            <w:noWrap/>
            <w:hideMark/>
          </w:tcPr>
          <w:p w14:paraId="11EA951E" w14:textId="77777777" w:rsidR="009F052E" w:rsidRPr="00911C5B" w:rsidRDefault="009F052E" w:rsidP="00A175A4">
            <w:pPr>
              <w:jc w:val="left"/>
              <w:rPr>
                <w:rFonts w:ascii="Arial Narrow" w:hAnsi="Arial Narrow"/>
                <w:i/>
              </w:rPr>
            </w:pPr>
            <w:r w:rsidRPr="00911C5B">
              <w:rPr>
                <w:rFonts w:ascii="Arial Narrow" w:hAnsi="Arial Narrow"/>
                <w:i/>
              </w:rPr>
              <w:t>Galaxea</w:t>
            </w:r>
          </w:p>
        </w:tc>
        <w:tc>
          <w:tcPr>
            <w:tcW w:w="850" w:type="dxa"/>
            <w:noWrap/>
            <w:vAlign w:val="center"/>
            <w:hideMark/>
          </w:tcPr>
          <w:p w14:paraId="11EA951F" w14:textId="77777777" w:rsidR="009F052E" w:rsidRPr="00911C5B" w:rsidRDefault="009F052E" w:rsidP="00A175A4">
            <w:pPr>
              <w:jc w:val="center"/>
              <w:rPr>
                <w:rFonts w:ascii="Arial Narrow" w:hAnsi="Arial Narrow"/>
              </w:rPr>
            </w:pPr>
            <w:r w:rsidRPr="00911C5B">
              <w:rPr>
                <w:rFonts w:ascii="Arial Narrow" w:hAnsi="Arial Narrow"/>
              </w:rPr>
              <w:t>-0.081</w:t>
            </w:r>
          </w:p>
        </w:tc>
        <w:tc>
          <w:tcPr>
            <w:tcW w:w="851" w:type="dxa"/>
            <w:tcBorders>
              <w:right w:val="thinThickThinLargeGap" w:sz="24" w:space="0" w:color="auto"/>
            </w:tcBorders>
            <w:noWrap/>
            <w:vAlign w:val="center"/>
            <w:hideMark/>
          </w:tcPr>
          <w:p w14:paraId="11EA9520" w14:textId="77777777" w:rsidR="009F052E" w:rsidRPr="00911C5B" w:rsidRDefault="009F052E" w:rsidP="00A175A4">
            <w:pPr>
              <w:jc w:val="center"/>
              <w:rPr>
                <w:rFonts w:ascii="Arial Narrow" w:hAnsi="Arial Narrow"/>
              </w:rPr>
            </w:pPr>
            <w:r w:rsidRPr="00911C5B">
              <w:rPr>
                <w:rFonts w:ascii="Arial Narrow" w:hAnsi="Arial Narrow"/>
              </w:rPr>
              <w:t>-0.159</w:t>
            </w:r>
          </w:p>
        </w:tc>
        <w:tc>
          <w:tcPr>
            <w:tcW w:w="2069" w:type="dxa"/>
            <w:tcBorders>
              <w:left w:val="thinThickThinLargeGap" w:sz="24" w:space="0" w:color="auto"/>
            </w:tcBorders>
          </w:tcPr>
          <w:p w14:paraId="11EA9521" w14:textId="77777777" w:rsidR="009F052E" w:rsidRPr="00911C5B" w:rsidRDefault="009F052E" w:rsidP="00A175A4">
            <w:pPr>
              <w:jc w:val="left"/>
              <w:rPr>
                <w:rFonts w:ascii="Arial Narrow" w:hAnsi="Arial Narrow"/>
              </w:rPr>
            </w:pPr>
            <w:r w:rsidRPr="00911C5B">
              <w:rPr>
                <w:rFonts w:ascii="Arial Narrow" w:hAnsi="Arial Narrow"/>
                <w:i/>
              </w:rPr>
              <w:t>Acanthastrea *</w:t>
            </w:r>
          </w:p>
        </w:tc>
        <w:tc>
          <w:tcPr>
            <w:tcW w:w="766" w:type="dxa"/>
            <w:vAlign w:val="center"/>
          </w:tcPr>
          <w:p w14:paraId="11EA9522" w14:textId="77777777" w:rsidR="009F052E" w:rsidRPr="00911C5B" w:rsidRDefault="009F052E" w:rsidP="00A175A4">
            <w:pPr>
              <w:jc w:val="center"/>
              <w:rPr>
                <w:rFonts w:ascii="Arial Narrow" w:hAnsi="Arial Narrow"/>
              </w:rPr>
            </w:pPr>
            <w:r w:rsidRPr="00911C5B">
              <w:rPr>
                <w:rFonts w:ascii="Arial Narrow" w:hAnsi="Arial Narrow"/>
              </w:rPr>
              <w:t>-0.014</w:t>
            </w:r>
          </w:p>
        </w:tc>
        <w:tc>
          <w:tcPr>
            <w:tcW w:w="851" w:type="dxa"/>
            <w:vAlign w:val="center"/>
          </w:tcPr>
          <w:p w14:paraId="11EA9523" w14:textId="77777777" w:rsidR="009F052E" w:rsidRPr="00911C5B" w:rsidRDefault="009F052E" w:rsidP="00A175A4">
            <w:pPr>
              <w:jc w:val="center"/>
              <w:rPr>
                <w:rFonts w:ascii="Arial Narrow" w:hAnsi="Arial Narrow"/>
              </w:rPr>
            </w:pPr>
            <w:r w:rsidRPr="00911C5B">
              <w:rPr>
                <w:rFonts w:ascii="Arial Narrow" w:hAnsi="Arial Narrow"/>
              </w:rPr>
              <w:t>0.017</w:t>
            </w:r>
          </w:p>
        </w:tc>
      </w:tr>
      <w:tr w:rsidR="009F052E" w:rsidRPr="00911C5B" w14:paraId="11EA952B" w14:textId="77777777" w:rsidTr="00A175A4">
        <w:trPr>
          <w:trHeight w:val="255"/>
        </w:trPr>
        <w:tc>
          <w:tcPr>
            <w:tcW w:w="2093" w:type="dxa"/>
            <w:noWrap/>
            <w:hideMark/>
          </w:tcPr>
          <w:p w14:paraId="11EA9525" w14:textId="77777777" w:rsidR="009F052E" w:rsidRPr="00911C5B" w:rsidRDefault="009F052E" w:rsidP="00A175A4">
            <w:pPr>
              <w:jc w:val="left"/>
              <w:rPr>
                <w:rFonts w:ascii="Arial Narrow" w:hAnsi="Arial Narrow"/>
                <w:i/>
              </w:rPr>
            </w:pPr>
            <w:r w:rsidRPr="00911C5B">
              <w:rPr>
                <w:rFonts w:ascii="Arial Narrow" w:hAnsi="Arial Narrow"/>
                <w:i/>
              </w:rPr>
              <w:t>Mycedium</w:t>
            </w:r>
          </w:p>
        </w:tc>
        <w:tc>
          <w:tcPr>
            <w:tcW w:w="850" w:type="dxa"/>
            <w:noWrap/>
            <w:vAlign w:val="center"/>
            <w:hideMark/>
          </w:tcPr>
          <w:p w14:paraId="11EA9526" w14:textId="77777777" w:rsidR="009F052E" w:rsidRPr="00911C5B" w:rsidRDefault="009F052E" w:rsidP="00A175A4">
            <w:pPr>
              <w:jc w:val="center"/>
              <w:rPr>
                <w:rFonts w:ascii="Arial Narrow" w:hAnsi="Arial Narrow"/>
              </w:rPr>
            </w:pPr>
            <w:r w:rsidRPr="00911C5B">
              <w:rPr>
                <w:rFonts w:ascii="Arial Narrow" w:hAnsi="Arial Narrow"/>
              </w:rPr>
              <w:t>-0.017</w:t>
            </w:r>
          </w:p>
        </w:tc>
        <w:tc>
          <w:tcPr>
            <w:tcW w:w="851" w:type="dxa"/>
            <w:tcBorders>
              <w:right w:val="thinThickThinLargeGap" w:sz="24" w:space="0" w:color="auto"/>
            </w:tcBorders>
            <w:noWrap/>
            <w:vAlign w:val="center"/>
            <w:hideMark/>
          </w:tcPr>
          <w:p w14:paraId="11EA9527" w14:textId="77777777" w:rsidR="009F052E" w:rsidRPr="00911C5B" w:rsidRDefault="009F052E" w:rsidP="00A175A4">
            <w:pPr>
              <w:jc w:val="center"/>
              <w:rPr>
                <w:rFonts w:ascii="Arial Narrow" w:hAnsi="Arial Narrow"/>
              </w:rPr>
            </w:pPr>
            <w:r w:rsidRPr="00911C5B">
              <w:rPr>
                <w:rFonts w:ascii="Arial Narrow" w:hAnsi="Arial Narrow"/>
              </w:rPr>
              <w:t>-0.151</w:t>
            </w:r>
          </w:p>
        </w:tc>
        <w:tc>
          <w:tcPr>
            <w:tcW w:w="2069" w:type="dxa"/>
            <w:tcBorders>
              <w:left w:val="thinThickThinLargeGap" w:sz="24" w:space="0" w:color="auto"/>
            </w:tcBorders>
          </w:tcPr>
          <w:p w14:paraId="11EA9528" w14:textId="77777777" w:rsidR="009F052E" w:rsidRPr="00911C5B" w:rsidRDefault="009F052E" w:rsidP="00A175A4">
            <w:pPr>
              <w:jc w:val="left"/>
              <w:rPr>
                <w:rFonts w:ascii="Arial Narrow" w:hAnsi="Arial Narrow"/>
                <w:i/>
              </w:rPr>
            </w:pPr>
            <w:r w:rsidRPr="00911C5B">
              <w:rPr>
                <w:rFonts w:ascii="Arial Narrow" w:hAnsi="Arial Narrow"/>
                <w:i/>
              </w:rPr>
              <w:t>Symphyllia</w:t>
            </w:r>
          </w:p>
        </w:tc>
        <w:tc>
          <w:tcPr>
            <w:tcW w:w="766" w:type="dxa"/>
            <w:vAlign w:val="center"/>
          </w:tcPr>
          <w:p w14:paraId="11EA9529" w14:textId="77777777" w:rsidR="009F052E" w:rsidRPr="00911C5B" w:rsidRDefault="009F052E" w:rsidP="00A175A4">
            <w:pPr>
              <w:jc w:val="center"/>
              <w:rPr>
                <w:rFonts w:ascii="Arial Narrow" w:hAnsi="Arial Narrow"/>
              </w:rPr>
            </w:pPr>
            <w:r w:rsidRPr="00911C5B">
              <w:rPr>
                <w:rFonts w:ascii="Arial Narrow" w:hAnsi="Arial Narrow"/>
              </w:rPr>
              <w:t>0.034</w:t>
            </w:r>
          </w:p>
        </w:tc>
        <w:tc>
          <w:tcPr>
            <w:tcW w:w="851" w:type="dxa"/>
            <w:vAlign w:val="center"/>
          </w:tcPr>
          <w:p w14:paraId="11EA952A" w14:textId="77777777" w:rsidR="009F052E" w:rsidRPr="00911C5B" w:rsidRDefault="009F052E" w:rsidP="00A175A4">
            <w:pPr>
              <w:jc w:val="center"/>
              <w:rPr>
                <w:rFonts w:ascii="Arial Narrow" w:hAnsi="Arial Narrow"/>
              </w:rPr>
            </w:pPr>
            <w:r w:rsidRPr="00911C5B">
              <w:rPr>
                <w:rFonts w:ascii="Arial Narrow" w:hAnsi="Arial Narrow"/>
              </w:rPr>
              <w:t>0.018</w:t>
            </w:r>
          </w:p>
        </w:tc>
      </w:tr>
      <w:tr w:rsidR="009F052E" w:rsidRPr="00911C5B" w14:paraId="11EA9532" w14:textId="77777777" w:rsidTr="00A175A4">
        <w:trPr>
          <w:trHeight w:val="255"/>
        </w:trPr>
        <w:tc>
          <w:tcPr>
            <w:tcW w:w="2093" w:type="dxa"/>
            <w:noWrap/>
            <w:hideMark/>
          </w:tcPr>
          <w:p w14:paraId="11EA952C" w14:textId="77777777" w:rsidR="009F052E" w:rsidRPr="00911C5B" w:rsidRDefault="009F052E" w:rsidP="00A175A4">
            <w:pPr>
              <w:jc w:val="left"/>
              <w:rPr>
                <w:rFonts w:ascii="Arial Narrow" w:hAnsi="Arial Narrow"/>
                <w:i/>
              </w:rPr>
            </w:pPr>
            <w:r w:rsidRPr="00911C5B">
              <w:rPr>
                <w:rFonts w:ascii="Arial Narrow" w:hAnsi="Arial Narrow"/>
                <w:i/>
              </w:rPr>
              <w:t>Favia</w:t>
            </w:r>
          </w:p>
        </w:tc>
        <w:tc>
          <w:tcPr>
            <w:tcW w:w="850" w:type="dxa"/>
            <w:noWrap/>
            <w:vAlign w:val="center"/>
            <w:hideMark/>
          </w:tcPr>
          <w:p w14:paraId="11EA952D" w14:textId="77777777" w:rsidR="009F052E" w:rsidRPr="00911C5B" w:rsidRDefault="009F052E" w:rsidP="00A175A4">
            <w:pPr>
              <w:jc w:val="center"/>
              <w:rPr>
                <w:rFonts w:ascii="Arial Narrow" w:hAnsi="Arial Narrow"/>
              </w:rPr>
            </w:pPr>
            <w:r w:rsidRPr="00911C5B">
              <w:rPr>
                <w:rFonts w:ascii="Arial Narrow" w:hAnsi="Arial Narrow"/>
              </w:rPr>
              <w:t>-0.134</w:t>
            </w:r>
          </w:p>
        </w:tc>
        <w:tc>
          <w:tcPr>
            <w:tcW w:w="851" w:type="dxa"/>
            <w:tcBorders>
              <w:right w:val="thinThickThinLargeGap" w:sz="24" w:space="0" w:color="auto"/>
            </w:tcBorders>
            <w:noWrap/>
            <w:vAlign w:val="center"/>
            <w:hideMark/>
          </w:tcPr>
          <w:p w14:paraId="11EA952E" w14:textId="77777777" w:rsidR="009F052E" w:rsidRPr="00911C5B" w:rsidRDefault="009F052E" w:rsidP="00A175A4">
            <w:pPr>
              <w:jc w:val="center"/>
              <w:rPr>
                <w:rFonts w:ascii="Arial Narrow" w:hAnsi="Arial Narrow"/>
              </w:rPr>
            </w:pPr>
            <w:r w:rsidRPr="00911C5B">
              <w:rPr>
                <w:rFonts w:ascii="Arial Narrow" w:hAnsi="Arial Narrow"/>
              </w:rPr>
              <w:t>-0.136</w:t>
            </w:r>
          </w:p>
        </w:tc>
        <w:tc>
          <w:tcPr>
            <w:tcW w:w="2069" w:type="dxa"/>
            <w:tcBorders>
              <w:left w:val="thinThickThinLargeGap" w:sz="24" w:space="0" w:color="auto"/>
            </w:tcBorders>
          </w:tcPr>
          <w:p w14:paraId="11EA952F" w14:textId="77777777" w:rsidR="009F052E" w:rsidRPr="00911C5B" w:rsidRDefault="009F052E" w:rsidP="00A175A4">
            <w:pPr>
              <w:jc w:val="left"/>
              <w:rPr>
                <w:rFonts w:ascii="Arial Narrow" w:hAnsi="Arial Narrow"/>
              </w:rPr>
            </w:pPr>
            <w:r w:rsidRPr="00911C5B">
              <w:rPr>
                <w:rFonts w:ascii="Arial Narrow" w:hAnsi="Arial Narrow"/>
                <w:i/>
              </w:rPr>
              <w:t>Seriatopora</w:t>
            </w:r>
          </w:p>
        </w:tc>
        <w:tc>
          <w:tcPr>
            <w:tcW w:w="766" w:type="dxa"/>
            <w:vAlign w:val="center"/>
          </w:tcPr>
          <w:p w14:paraId="11EA9530" w14:textId="77777777" w:rsidR="009F052E" w:rsidRPr="00911C5B" w:rsidRDefault="009F052E" w:rsidP="00A175A4">
            <w:pPr>
              <w:jc w:val="center"/>
              <w:rPr>
                <w:rFonts w:ascii="Arial Narrow" w:hAnsi="Arial Narrow"/>
              </w:rPr>
            </w:pPr>
            <w:r w:rsidRPr="00911C5B">
              <w:rPr>
                <w:rFonts w:ascii="Arial Narrow" w:hAnsi="Arial Narrow"/>
              </w:rPr>
              <w:t>0.05</w:t>
            </w:r>
          </w:p>
        </w:tc>
        <w:tc>
          <w:tcPr>
            <w:tcW w:w="851" w:type="dxa"/>
            <w:vAlign w:val="center"/>
          </w:tcPr>
          <w:p w14:paraId="11EA9531" w14:textId="77777777" w:rsidR="009F052E" w:rsidRPr="00911C5B" w:rsidRDefault="009F052E" w:rsidP="00A175A4">
            <w:pPr>
              <w:jc w:val="center"/>
              <w:rPr>
                <w:rFonts w:ascii="Arial Narrow" w:hAnsi="Arial Narrow"/>
              </w:rPr>
            </w:pPr>
            <w:r w:rsidRPr="00911C5B">
              <w:rPr>
                <w:rFonts w:ascii="Arial Narrow" w:hAnsi="Arial Narrow"/>
              </w:rPr>
              <w:t>0.027</w:t>
            </w:r>
          </w:p>
        </w:tc>
      </w:tr>
      <w:tr w:rsidR="009F052E" w:rsidRPr="00911C5B" w14:paraId="11EA9539" w14:textId="77777777" w:rsidTr="00A175A4">
        <w:trPr>
          <w:trHeight w:val="255"/>
        </w:trPr>
        <w:tc>
          <w:tcPr>
            <w:tcW w:w="2093" w:type="dxa"/>
            <w:noWrap/>
            <w:hideMark/>
          </w:tcPr>
          <w:p w14:paraId="11EA9533" w14:textId="77777777" w:rsidR="009F052E" w:rsidRPr="00911C5B" w:rsidRDefault="009F052E" w:rsidP="00A175A4">
            <w:pPr>
              <w:jc w:val="left"/>
              <w:rPr>
                <w:rFonts w:ascii="Arial Narrow" w:hAnsi="Arial Narrow"/>
                <w:i/>
              </w:rPr>
            </w:pPr>
            <w:r w:rsidRPr="00911C5B">
              <w:rPr>
                <w:rFonts w:ascii="Arial Narrow" w:hAnsi="Arial Narrow"/>
                <w:i/>
              </w:rPr>
              <w:t>Pectinia</w:t>
            </w:r>
          </w:p>
        </w:tc>
        <w:tc>
          <w:tcPr>
            <w:tcW w:w="850" w:type="dxa"/>
            <w:noWrap/>
            <w:vAlign w:val="center"/>
            <w:hideMark/>
          </w:tcPr>
          <w:p w14:paraId="11EA9534" w14:textId="77777777" w:rsidR="009F052E" w:rsidRPr="00911C5B" w:rsidRDefault="009F052E" w:rsidP="00A175A4">
            <w:pPr>
              <w:jc w:val="center"/>
              <w:rPr>
                <w:rFonts w:ascii="Arial Narrow" w:hAnsi="Arial Narrow"/>
              </w:rPr>
            </w:pPr>
            <w:r w:rsidRPr="00911C5B">
              <w:rPr>
                <w:rFonts w:ascii="Arial Narrow" w:hAnsi="Arial Narrow"/>
              </w:rPr>
              <w:t>-0.030</w:t>
            </w:r>
          </w:p>
        </w:tc>
        <w:tc>
          <w:tcPr>
            <w:tcW w:w="851" w:type="dxa"/>
            <w:tcBorders>
              <w:right w:val="thinThickThinLargeGap" w:sz="24" w:space="0" w:color="auto"/>
            </w:tcBorders>
            <w:noWrap/>
            <w:vAlign w:val="center"/>
            <w:hideMark/>
          </w:tcPr>
          <w:p w14:paraId="11EA9535" w14:textId="77777777" w:rsidR="009F052E" w:rsidRPr="00911C5B" w:rsidRDefault="009F052E" w:rsidP="00A175A4">
            <w:pPr>
              <w:jc w:val="center"/>
              <w:rPr>
                <w:rFonts w:ascii="Arial Narrow" w:hAnsi="Arial Narrow"/>
              </w:rPr>
            </w:pPr>
            <w:r w:rsidRPr="00911C5B">
              <w:rPr>
                <w:rFonts w:ascii="Arial Narrow" w:hAnsi="Arial Narrow"/>
              </w:rPr>
              <w:t>-0.126</w:t>
            </w:r>
          </w:p>
        </w:tc>
        <w:tc>
          <w:tcPr>
            <w:tcW w:w="2069" w:type="dxa"/>
            <w:tcBorders>
              <w:left w:val="thinThickThinLargeGap" w:sz="24" w:space="0" w:color="auto"/>
            </w:tcBorders>
          </w:tcPr>
          <w:p w14:paraId="11EA9536" w14:textId="77777777" w:rsidR="009F052E" w:rsidRPr="00911C5B" w:rsidRDefault="009F052E" w:rsidP="00A175A4">
            <w:pPr>
              <w:jc w:val="left"/>
              <w:rPr>
                <w:rFonts w:ascii="Arial Narrow" w:hAnsi="Arial Narrow"/>
                <w:i/>
              </w:rPr>
            </w:pPr>
            <w:r w:rsidRPr="00911C5B">
              <w:rPr>
                <w:rFonts w:ascii="Arial Narrow" w:hAnsi="Arial Narrow"/>
                <w:i/>
              </w:rPr>
              <w:t>Stylophora</w:t>
            </w:r>
          </w:p>
        </w:tc>
        <w:tc>
          <w:tcPr>
            <w:tcW w:w="766" w:type="dxa"/>
            <w:vAlign w:val="center"/>
          </w:tcPr>
          <w:p w14:paraId="11EA9537" w14:textId="77777777" w:rsidR="009F052E" w:rsidRPr="00911C5B" w:rsidRDefault="009F052E" w:rsidP="00A175A4">
            <w:pPr>
              <w:jc w:val="center"/>
              <w:rPr>
                <w:rFonts w:ascii="Arial Narrow" w:hAnsi="Arial Narrow"/>
              </w:rPr>
            </w:pPr>
            <w:r w:rsidRPr="00911C5B">
              <w:rPr>
                <w:rFonts w:ascii="Arial Narrow" w:hAnsi="Arial Narrow"/>
              </w:rPr>
              <w:t>0.035</w:t>
            </w:r>
          </w:p>
        </w:tc>
        <w:tc>
          <w:tcPr>
            <w:tcW w:w="851" w:type="dxa"/>
            <w:vAlign w:val="center"/>
          </w:tcPr>
          <w:p w14:paraId="11EA9538" w14:textId="77777777" w:rsidR="009F052E" w:rsidRPr="00911C5B" w:rsidRDefault="009F052E" w:rsidP="00A175A4">
            <w:pPr>
              <w:jc w:val="center"/>
              <w:rPr>
                <w:rFonts w:ascii="Arial Narrow" w:hAnsi="Arial Narrow"/>
              </w:rPr>
            </w:pPr>
            <w:r w:rsidRPr="00911C5B">
              <w:rPr>
                <w:rFonts w:ascii="Arial Narrow" w:hAnsi="Arial Narrow"/>
              </w:rPr>
              <w:t>0.033</w:t>
            </w:r>
          </w:p>
        </w:tc>
      </w:tr>
      <w:tr w:rsidR="009F052E" w:rsidRPr="00911C5B" w14:paraId="11EA9540" w14:textId="77777777" w:rsidTr="00A175A4">
        <w:trPr>
          <w:trHeight w:val="255"/>
        </w:trPr>
        <w:tc>
          <w:tcPr>
            <w:tcW w:w="2093" w:type="dxa"/>
            <w:noWrap/>
            <w:hideMark/>
          </w:tcPr>
          <w:p w14:paraId="11EA953A" w14:textId="77777777" w:rsidR="009F052E" w:rsidRPr="00911C5B" w:rsidRDefault="009F052E" w:rsidP="00A175A4">
            <w:pPr>
              <w:jc w:val="left"/>
              <w:rPr>
                <w:rFonts w:ascii="Arial Narrow" w:hAnsi="Arial Narrow"/>
                <w:i/>
              </w:rPr>
            </w:pPr>
            <w:r w:rsidRPr="00911C5B">
              <w:rPr>
                <w:rFonts w:ascii="Arial Narrow" w:hAnsi="Arial Narrow"/>
                <w:i/>
              </w:rPr>
              <w:t>Podobacia</w:t>
            </w:r>
          </w:p>
        </w:tc>
        <w:tc>
          <w:tcPr>
            <w:tcW w:w="850" w:type="dxa"/>
            <w:noWrap/>
            <w:vAlign w:val="center"/>
            <w:hideMark/>
          </w:tcPr>
          <w:p w14:paraId="11EA953B" w14:textId="77777777" w:rsidR="009F052E" w:rsidRPr="00911C5B" w:rsidRDefault="009F052E" w:rsidP="00A175A4">
            <w:pPr>
              <w:jc w:val="center"/>
              <w:rPr>
                <w:rFonts w:ascii="Arial Narrow" w:hAnsi="Arial Narrow"/>
              </w:rPr>
            </w:pPr>
            <w:r w:rsidRPr="00911C5B">
              <w:rPr>
                <w:rFonts w:ascii="Arial Narrow" w:hAnsi="Arial Narrow"/>
              </w:rPr>
              <w:t>-0.025</w:t>
            </w:r>
          </w:p>
        </w:tc>
        <w:tc>
          <w:tcPr>
            <w:tcW w:w="851" w:type="dxa"/>
            <w:tcBorders>
              <w:right w:val="thinThickThinLargeGap" w:sz="24" w:space="0" w:color="auto"/>
            </w:tcBorders>
            <w:noWrap/>
            <w:vAlign w:val="center"/>
            <w:hideMark/>
          </w:tcPr>
          <w:p w14:paraId="11EA953C" w14:textId="77777777" w:rsidR="009F052E" w:rsidRPr="00911C5B" w:rsidRDefault="009F052E" w:rsidP="00A175A4">
            <w:pPr>
              <w:jc w:val="center"/>
              <w:rPr>
                <w:rFonts w:ascii="Arial Narrow" w:hAnsi="Arial Narrow"/>
              </w:rPr>
            </w:pPr>
            <w:r w:rsidRPr="00911C5B">
              <w:rPr>
                <w:rFonts w:ascii="Arial Narrow" w:hAnsi="Arial Narrow"/>
              </w:rPr>
              <w:t>-0.122</w:t>
            </w:r>
          </w:p>
        </w:tc>
        <w:tc>
          <w:tcPr>
            <w:tcW w:w="2069" w:type="dxa"/>
            <w:tcBorders>
              <w:left w:val="thinThickThinLargeGap" w:sz="24" w:space="0" w:color="auto"/>
            </w:tcBorders>
          </w:tcPr>
          <w:p w14:paraId="11EA953D" w14:textId="77777777" w:rsidR="009F052E" w:rsidRPr="00911C5B" w:rsidRDefault="009F052E" w:rsidP="00A175A4">
            <w:pPr>
              <w:jc w:val="left"/>
              <w:rPr>
                <w:rFonts w:ascii="Arial Narrow" w:hAnsi="Arial Narrow"/>
              </w:rPr>
            </w:pPr>
            <w:r w:rsidRPr="00911C5B">
              <w:rPr>
                <w:rFonts w:ascii="Arial Narrow" w:hAnsi="Arial Narrow"/>
                <w:i/>
              </w:rPr>
              <w:t>Oulophyllia</w:t>
            </w:r>
          </w:p>
        </w:tc>
        <w:tc>
          <w:tcPr>
            <w:tcW w:w="766" w:type="dxa"/>
            <w:vAlign w:val="center"/>
          </w:tcPr>
          <w:p w14:paraId="11EA953E" w14:textId="77777777" w:rsidR="009F052E" w:rsidRPr="00911C5B" w:rsidRDefault="009F052E" w:rsidP="00A175A4">
            <w:pPr>
              <w:jc w:val="center"/>
              <w:rPr>
                <w:rFonts w:ascii="Arial Narrow" w:hAnsi="Arial Narrow"/>
              </w:rPr>
            </w:pPr>
            <w:r w:rsidRPr="00911C5B">
              <w:rPr>
                <w:rFonts w:ascii="Arial Narrow" w:hAnsi="Arial Narrow"/>
              </w:rPr>
              <w:t>0.02</w:t>
            </w:r>
          </w:p>
        </w:tc>
        <w:tc>
          <w:tcPr>
            <w:tcW w:w="851" w:type="dxa"/>
            <w:vAlign w:val="center"/>
          </w:tcPr>
          <w:p w14:paraId="11EA953F" w14:textId="77777777" w:rsidR="009F052E" w:rsidRPr="00911C5B" w:rsidRDefault="009F052E" w:rsidP="00A175A4">
            <w:pPr>
              <w:jc w:val="center"/>
              <w:rPr>
                <w:rFonts w:ascii="Arial Narrow" w:hAnsi="Arial Narrow"/>
              </w:rPr>
            </w:pPr>
            <w:r w:rsidRPr="00911C5B">
              <w:rPr>
                <w:rFonts w:ascii="Arial Narrow" w:hAnsi="Arial Narrow"/>
              </w:rPr>
              <w:t>0.037</w:t>
            </w:r>
          </w:p>
        </w:tc>
      </w:tr>
      <w:tr w:rsidR="009F052E" w:rsidRPr="00911C5B" w14:paraId="11EA9547" w14:textId="77777777" w:rsidTr="00A175A4">
        <w:trPr>
          <w:trHeight w:val="255"/>
        </w:trPr>
        <w:tc>
          <w:tcPr>
            <w:tcW w:w="2093" w:type="dxa"/>
            <w:noWrap/>
            <w:hideMark/>
          </w:tcPr>
          <w:p w14:paraId="11EA9541" w14:textId="77777777" w:rsidR="009F052E" w:rsidRPr="00911C5B" w:rsidRDefault="009F052E" w:rsidP="00A175A4">
            <w:pPr>
              <w:jc w:val="left"/>
              <w:rPr>
                <w:rFonts w:ascii="Arial Narrow" w:hAnsi="Arial Narrow"/>
                <w:i/>
              </w:rPr>
            </w:pPr>
            <w:r w:rsidRPr="00911C5B">
              <w:rPr>
                <w:rFonts w:ascii="Arial Narrow" w:hAnsi="Arial Narrow"/>
                <w:i/>
              </w:rPr>
              <w:t>Plesiastrea</w:t>
            </w:r>
          </w:p>
        </w:tc>
        <w:tc>
          <w:tcPr>
            <w:tcW w:w="850" w:type="dxa"/>
            <w:noWrap/>
            <w:vAlign w:val="center"/>
            <w:hideMark/>
          </w:tcPr>
          <w:p w14:paraId="11EA9542" w14:textId="77777777" w:rsidR="009F052E" w:rsidRPr="00911C5B" w:rsidRDefault="009F052E" w:rsidP="00A175A4">
            <w:pPr>
              <w:jc w:val="center"/>
              <w:rPr>
                <w:rFonts w:ascii="Arial Narrow" w:hAnsi="Arial Narrow"/>
              </w:rPr>
            </w:pPr>
            <w:r w:rsidRPr="00911C5B">
              <w:rPr>
                <w:rFonts w:ascii="Arial Narrow" w:hAnsi="Arial Narrow"/>
              </w:rPr>
              <w:t>-0.125</w:t>
            </w:r>
          </w:p>
        </w:tc>
        <w:tc>
          <w:tcPr>
            <w:tcW w:w="851" w:type="dxa"/>
            <w:tcBorders>
              <w:right w:val="thinThickThinLargeGap" w:sz="24" w:space="0" w:color="auto"/>
            </w:tcBorders>
            <w:noWrap/>
            <w:vAlign w:val="center"/>
            <w:hideMark/>
          </w:tcPr>
          <w:p w14:paraId="11EA9543" w14:textId="77777777" w:rsidR="009F052E" w:rsidRPr="00911C5B" w:rsidRDefault="009F052E" w:rsidP="00A175A4">
            <w:pPr>
              <w:jc w:val="center"/>
              <w:rPr>
                <w:rFonts w:ascii="Arial Narrow" w:hAnsi="Arial Narrow"/>
              </w:rPr>
            </w:pPr>
            <w:r w:rsidRPr="00911C5B">
              <w:rPr>
                <w:rFonts w:ascii="Arial Narrow" w:hAnsi="Arial Narrow"/>
              </w:rPr>
              <w:t>-0.114</w:t>
            </w:r>
          </w:p>
        </w:tc>
        <w:tc>
          <w:tcPr>
            <w:tcW w:w="2069" w:type="dxa"/>
            <w:tcBorders>
              <w:left w:val="thinThickThinLargeGap" w:sz="24" w:space="0" w:color="auto"/>
            </w:tcBorders>
          </w:tcPr>
          <w:p w14:paraId="11EA9544" w14:textId="77777777" w:rsidR="009F052E" w:rsidRPr="00911C5B" w:rsidRDefault="009F052E" w:rsidP="00A175A4">
            <w:pPr>
              <w:jc w:val="left"/>
              <w:rPr>
                <w:rFonts w:ascii="Arial Narrow" w:hAnsi="Arial Narrow"/>
              </w:rPr>
            </w:pPr>
            <w:r w:rsidRPr="00911C5B">
              <w:rPr>
                <w:rFonts w:ascii="Arial Narrow" w:hAnsi="Arial Narrow"/>
              </w:rPr>
              <w:t xml:space="preserve">Digitate </w:t>
            </w:r>
            <w:r w:rsidRPr="00911C5B">
              <w:rPr>
                <w:rFonts w:ascii="Arial Narrow" w:hAnsi="Arial Narrow"/>
                <w:i/>
              </w:rPr>
              <w:t>Acropora</w:t>
            </w:r>
          </w:p>
        </w:tc>
        <w:tc>
          <w:tcPr>
            <w:tcW w:w="766" w:type="dxa"/>
            <w:vAlign w:val="center"/>
          </w:tcPr>
          <w:p w14:paraId="11EA9545" w14:textId="77777777" w:rsidR="009F052E" w:rsidRPr="00911C5B" w:rsidRDefault="009F052E" w:rsidP="00A175A4">
            <w:pPr>
              <w:jc w:val="center"/>
              <w:rPr>
                <w:rFonts w:ascii="Arial Narrow" w:hAnsi="Arial Narrow"/>
              </w:rPr>
            </w:pPr>
            <w:r w:rsidRPr="00911C5B">
              <w:rPr>
                <w:rFonts w:ascii="Arial Narrow" w:hAnsi="Arial Narrow"/>
              </w:rPr>
              <w:t>0.034</w:t>
            </w:r>
          </w:p>
        </w:tc>
        <w:tc>
          <w:tcPr>
            <w:tcW w:w="851" w:type="dxa"/>
            <w:vAlign w:val="center"/>
          </w:tcPr>
          <w:p w14:paraId="11EA9546" w14:textId="77777777" w:rsidR="009F052E" w:rsidRPr="00911C5B" w:rsidRDefault="009F052E" w:rsidP="00A175A4">
            <w:pPr>
              <w:jc w:val="center"/>
              <w:rPr>
                <w:rFonts w:ascii="Arial Narrow" w:hAnsi="Arial Narrow"/>
              </w:rPr>
            </w:pPr>
            <w:r w:rsidRPr="00911C5B">
              <w:rPr>
                <w:rFonts w:ascii="Arial Narrow" w:hAnsi="Arial Narrow"/>
              </w:rPr>
              <w:t>0.039</w:t>
            </w:r>
          </w:p>
        </w:tc>
      </w:tr>
      <w:tr w:rsidR="009F052E" w:rsidRPr="00911C5B" w14:paraId="11EA954E" w14:textId="77777777" w:rsidTr="00A175A4">
        <w:trPr>
          <w:trHeight w:val="255"/>
        </w:trPr>
        <w:tc>
          <w:tcPr>
            <w:tcW w:w="2093" w:type="dxa"/>
            <w:noWrap/>
            <w:hideMark/>
          </w:tcPr>
          <w:p w14:paraId="11EA9548" w14:textId="77777777" w:rsidR="009F052E" w:rsidRPr="00911C5B" w:rsidRDefault="009F052E" w:rsidP="00A175A4">
            <w:pPr>
              <w:jc w:val="left"/>
              <w:rPr>
                <w:rFonts w:ascii="Arial Narrow" w:hAnsi="Arial Narrow"/>
                <w:i/>
              </w:rPr>
            </w:pPr>
            <w:r w:rsidRPr="00911C5B">
              <w:rPr>
                <w:rFonts w:ascii="Arial Narrow" w:hAnsi="Arial Narrow"/>
                <w:i/>
              </w:rPr>
              <w:t>Echinophyllia</w:t>
            </w:r>
          </w:p>
        </w:tc>
        <w:tc>
          <w:tcPr>
            <w:tcW w:w="850" w:type="dxa"/>
            <w:noWrap/>
            <w:vAlign w:val="center"/>
            <w:hideMark/>
          </w:tcPr>
          <w:p w14:paraId="11EA9549" w14:textId="77777777" w:rsidR="009F052E" w:rsidRPr="00911C5B" w:rsidRDefault="009F052E" w:rsidP="00A175A4">
            <w:pPr>
              <w:jc w:val="center"/>
              <w:rPr>
                <w:rFonts w:ascii="Arial Narrow" w:hAnsi="Arial Narrow"/>
              </w:rPr>
            </w:pPr>
            <w:r w:rsidRPr="00911C5B">
              <w:rPr>
                <w:rFonts w:ascii="Arial Narrow" w:hAnsi="Arial Narrow"/>
              </w:rPr>
              <w:t>-0.002</w:t>
            </w:r>
          </w:p>
        </w:tc>
        <w:tc>
          <w:tcPr>
            <w:tcW w:w="851" w:type="dxa"/>
            <w:tcBorders>
              <w:right w:val="thinThickThinLargeGap" w:sz="24" w:space="0" w:color="auto"/>
            </w:tcBorders>
            <w:noWrap/>
            <w:vAlign w:val="center"/>
            <w:hideMark/>
          </w:tcPr>
          <w:p w14:paraId="11EA954A" w14:textId="77777777" w:rsidR="009F052E" w:rsidRPr="00911C5B" w:rsidRDefault="009F052E" w:rsidP="00A175A4">
            <w:pPr>
              <w:jc w:val="center"/>
              <w:rPr>
                <w:rFonts w:ascii="Arial Narrow" w:hAnsi="Arial Narrow"/>
              </w:rPr>
            </w:pPr>
            <w:r w:rsidRPr="00911C5B">
              <w:rPr>
                <w:rFonts w:ascii="Arial Narrow" w:hAnsi="Arial Narrow"/>
              </w:rPr>
              <w:t>-0.11</w:t>
            </w:r>
          </w:p>
        </w:tc>
        <w:tc>
          <w:tcPr>
            <w:tcW w:w="2069" w:type="dxa"/>
            <w:tcBorders>
              <w:left w:val="thinThickThinLargeGap" w:sz="24" w:space="0" w:color="auto"/>
            </w:tcBorders>
          </w:tcPr>
          <w:p w14:paraId="11EA954B" w14:textId="77777777" w:rsidR="009F052E" w:rsidRPr="00911C5B" w:rsidRDefault="009F052E" w:rsidP="00A175A4">
            <w:pPr>
              <w:jc w:val="left"/>
              <w:rPr>
                <w:rFonts w:ascii="Arial Narrow" w:hAnsi="Arial Narrow"/>
              </w:rPr>
            </w:pPr>
            <w:r w:rsidRPr="00911C5B">
              <w:rPr>
                <w:rFonts w:ascii="Arial Narrow" w:hAnsi="Arial Narrow"/>
                <w:i/>
              </w:rPr>
              <w:t>Montipora</w:t>
            </w:r>
          </w:p>
        </w:tc>
        <w:tc>
          <w:tcPr>
            <w:tcW w:w="766" w:type="dxa"/>
            <w:vAlign w:val="center"/>
          </w:tcPr>
          <w:p w14:paraId="11EA954C" w14:textId="77777777" w:rsidR="009F052E" w:rsidRPr="00911C5B" w:rsidRDefault="009F052E" w:rsidP="00A175A4">
            <w:pPr>
              <w:jc w:val="center"/>
              <w:rPr>
                <w:rFonts w:ascii="Arial Narrow" w:hAnsi="Arial Narrow"/>
              </w:rPr>
            </w:pPr>
            <w:r w:rsidRPr="00911C5B">
              <w:rPr>
                <w:rFonts w:ascii="Arial Narrow" w:hAnsi="Arial Narrow"/>
              </w:rPr>
              <w:t>-0.131</w:t>
            </w:r>
          </w:p>
        </w:tc>
        <w:tc>
          <w:tcPr>
            <w:tcW w:w="851" w:type="dxa"/>
            <w:vAlign w:val="center"/>
          </w:tcPr>
          <w:p w14:paraId="11EA954D" w14:textId="77777777" w:rsidR="009F052E" w:rsidRPr="00911C5B" w:rsidRDefault="009F052E" w:rsidP="00A175A4">
            <w:pPr>
              <w:jc w:val="center"/>
              <w:rPr>
                <w:rFonts w:ascii="Arial Narrow" w:hAnsi="Arial Narrow"/>
              </w:rPr>
            </w:pPr>
            <w:r w:rsidRPr="00911C5B">
              <w:rPr>
                <w:rFonts w:ascii="Arial Narrow" w:hAnsi="Arial Narrow"/>
              </w:rPr>
              <w:t>0.045</w:t>
            </w:r>
          </w:p>
        </w:tc>
      </w:tr>
      <w:tr w:rsidR="009F052E" w:rsidRPr="00911C5B" w14:paraId="11EA9555" w14:textId="77777777" w:rsidTr="00A175A4">
        <w:trPr>
          <w:trHeight w:val="255"/>
        </w:trPr>
        <w:tc>
          <w:tcPr>
            <w:tcW w:w="2093" w:type="dxa"/>
            <w:noWrap/>
          </w:tcPr>
          <w:p w14:paraId="11EA954F" w14:textId="77777777" w:rsidR="009F052E" w:rsidRPr="00911C5B" w:rsidRDefault="009F052E" w:rsidP="00A175A4">
            <w:pPr>
              <w:jc w:val="left"/>
              <w:rPr>
                <w:rFonts w:ascii="Arial Narrow" w:hAnsi="Arial Narrow"/>
                <w:i/>
              </w:rPr>
            </w:pPr>
            <w:r w:rsidRPr="00911C5B">
              <w:rPr>
                <w:rFonts w:ascii="Arial Narrow" w:hAnsi="Arial Narrow"/>
                <w:i/>
              </w:rPr>
              <w:t>Moseleya *</w:t>
            </w:r>
          </w:p>
        </w:tc>
        <w:tc>
          <w:tcPr>
            <w:tcW w:w="850" w:type="dxa"/>
            <w:noWrap/>
            <w:vAlign w:val="center"/>
          </w:tcPr>
          <w:p w14:paraId="11EA9550" w14:textId="77777777" w:rsidR="009F052E" w:rsidRPr="00911C5B" w:rsidRDefault="009F052E" w:rsidP="00A175A4">
            <w:pPr>
              <w:jc w:val="center"/>
              <w:rPr>
                <w:rFonts w:ascii="Arial Narrow" w:hAnsi="Arial Narrow"/>
              </w:rPr>
            </w:pPr>
            <w:r w:rsidRPr="00911C5B">
              <w:rPr>
                <w:rFonts w:ascii="Arial Narrow" w:hAnsi="Arial Narrow"/>
              </w:rPr>
              <w:t>-0.058</w:t>
            </w:r>
          </w:p>
        </w:tc>
        <w:tc>
          <w:tcPr>
            <w:tcW w:w="851" w:type="dxa"/>
            <w:tcBorders>
              <w:right w:val="thinThickThinLargeGap" w:sz="24" w:space="0" w:color="auto"/>
            </w:tcBorders>
            <w:noWrap/>
            <w:vAlign w:val="center"/>
          </w:tcPr>
          <w:p w14:paraId="11EA9551" w14:textId="77777777" w:rsidR="009F052E" w:rsidRPr="00911C5B" w:rsidRDefault="009F052E" w:rsidP="00A175A4">
            <w:pPr>
              <w:jc w:val="center"/>
              <w:rPr>
                <w:rFonts w:ascii="Arial Narrow" w:hAnsi="Arial Narrow"/>
              </w:rPr>
            </w:pPr>
            <w:r w:rsidRPr="00911C5B">
              <w:rPr>
                <w:rFonts w:ascii="Arial Narrow" w:hAnsi="Arial Narrow"/>
              </w:rPr>
              <w:t>-0.091</w:t>
            </w:r>
          </w:p>
        </w:tc>
        <w:tc>
          <w:tcPr>
            <w:tcW w:w="2069" w:type="dxa"/>
            <w:tcBorders>
              <w:left w:val="thinThickThinLargeGap" w:sz="24" w:space="0" w:color="auto"/>
            </w:tcBorders>
          </w:tcPr>
          <w:p w14:paraId="11EA9552" w14:textId="77777777" w:rsidR="009F052E" w:rsidRPr="00911C5B" w:rsidRDefault="009F052E" w:rsidP="00A175A4">
            <w:pPr>
              <w:jc w:val="left"/>
              <w:rPr>
                <w:rFonts w:ascii="Arial Narrow" w:hAnsi="Arial Narrow"/>
              </w:rPr>
            </w:pPr>
            <w:r w:rsidRPr="00911C5B">
              <w:rPr>
                <w:rFonts w:ascii="Arial Narrow" w:hAnsi="Arial Narrow"/>
                <w:i/>
              </w:rPr>
              <w:t>Leptastrea *</w:t>
            </w:r>
          </w:p>
        </w:tc>
        <w:tc>
          <w:tcPr>
            <w:tcW w:w="766" w:type="dxa"/>
            <w:vAlign w:val="center"/>
          </w:tcPr>
          <w:p w14:paraId="11EA9553" w14:textId="77777777" w:rsidR="009F052E" w:rsidRPr="00911C5B" w:rsidRDefault="009F052E" w:rsidP="00A175A4">
            <w:pPr>
              <w:jc w:val="center"/>
              <w:rPr>
                <w:rFonts w:ascii="Arial Narrow" w:hAnsi="Arial Narrow"/>
              </w:rPr>
            </w:pPr>
            <w:r w:rsidRPr="00911C5B">
              <w:rPr>
                <w:rFonts w:ascii="Arial Narrow" w:hAnsi="Arial Narrow"/>
              </w:rPr>
              <w:t>0.022</w:t>
            </w:r>
          </w:p>
        </w:tc>
        <w:tc>
          <w:tcPr>
            <w:tcW w:w="851" w:type="dxa"/>
            <w:vAlign w:val="center"/>
          </w:tcPr>
          <w:p w14:paraId="11EA9554" w14:textId="77777777" w:rsidR="009F052E" w:rsidRPr="00911C5B" w:rsidRDefault="009F052E" w:rsidP="00A175A4">
            <w:pPr>
              <w:jc w:val="center"/>
              <w:rPr>
                <w:rFonts w:ascii="Arial Narrow" w:hAnsi="Arial Narrow"/>
              </w:rPr>
            </w:pPr>
            <w:r w:rsidRPr="00911C5B">
              <w:rPr>
                <w:rFonts w:ascii="Arial Narrow" w:hAnsi="Arial Narrow"/>
              </w:rPr>
              <w:t>0.048</w:t>
            </w:r>
          </w:p>
        </w:tc>
      </w:tr>
      <w:tr w:rsidR="009F052E" w:rsidRPr="00911C5B" w14:paraId="11EA955C" w14:textId="77777777" w:rsidTr="00A175A4">
        <w:trPr>
          <w:trHeight w:val="255"/>
        </w:trPr>
        <w:tc>
          <w:tcPr>
            <w:tcW w:w="2093" w:type="dxa"/>
            <w:noWrap/>
          </w:tcPr>
          <w:p w14:paraId="11EA9556" w14:textId="77777777" w:rsidR="009F052E" w:rsidRPr="00911C5B" w:rsidRDefault="009F052E" w:rsidP="00A175A4">
            <w:pPr>
              <w:jc w:val="left"/>
              <w:rPr>
                <w:rFonts w:ascii="Arial Narrow" w:hAnsi="Arial Narrow"/>
                <w:i/>
              </w:rPr>
            </w:pPr>
            <w:r w:rsidRPr="00911C5B">
              <w:rPr>
                <w:rFonts w:ascii="Arial Narrow" w:hAnsi="Arial Narrow"/>
                <w:i/>
              </w:rPr>
              <w:t>Oxypora</w:t>
            </w:r>
          </w:p>
        </w:tc>
        <w:tc>
          <w:tcPr>
            <w:tcW w:w="850" w:type="dxa"/>
            <w:noWrap/>
            <w:vAlign w:val="center"/>
          </w:tcPr>
          <w:p w14:paraId="11EA9557" w14:textId="77777777" w:rsidR="009F052E" w:rsidRPr="00911C5B" w:rsidRDefault="009F052E" w:rsidP="00A175A4">
            <w:pPr>
              <w:jc w:val="center"/>
              <w:rPr>
                <w:rFonts w:ascii="Arial Narrow" w:hAnsi="Arial Narrow"/>
              </w:rPr>
            </w:pPr>
            <w:r w:rsidRPr="00911C5B">
              <w:rPr>
                <w:rFonts w:ascii="Arial Narrow" w:hAnsi="Arial Narrow"/>
              </w:rPr>
              <w:t>-0.008</w:t>
            </w:r>
          </w:p>
        </w:tc>
        <w:tc>
          <w:tcPr>
            <w:tcW w:w="851" w:type="dxa"/>
            <w:tcBorders>
              <w:right w:val="thinThickThinLargeGap" w:sz="24" w:space="0" w:color="auto"/>
            </w:tcBorders>
            <w:noWrap/>
            <w:vAlign w:val="center"/>
          </w:tcPr>
          <w:p w14:paraId="11EA9558" w14:textId="77777777" w:rsidR="009F052E" w:rsidRPr="00911C5B" w:rsidRDefault="009F052E" w:rsidP="00A175A4">
            <w:pPr>
              <w:jc w:val="center"/>
              <w:rPr>
                <w:rFonts w:ascii="Arial Narrow" w:hAnsi="Arial Narrow"/>
              </w:rPr>
            </w:pPr>
            <w:r w:rsidRPr="00911C5B">
              <w:rPr>
                <w:rFonts w:ascii="Arial Narrow" w:hAnsi="Arial Narrow"/>
              </w:rPr>
              <w:t>-0.076</w:t>
            </w:r>
          </w:p>
        </w:tc>
        <w:tc>
          <w:tcPr>
            <w:tcW w:w="2069" w:type="dxa"/>
            <w:tcBorders>
              <w:left w:val="thinThickThinLargeGap" w:sz="24" w:space="0" w:color="auto"/>
            </w:tcBorders>
          </w:tcPr>
          <w:p w14:paraId="11EA9559" w14:textId="77777777" w:rsidR="009F052E" w:rsidRPr="00911C5B" w:rsidRDefault="009F052E" w:rsidP="00A175A4">
            <w:pPr>
              <w:jc w:val="left"/>
              <w:rPr>
                <w:rFonts w:ascii="Arial Narrow" w:hAnsi="Arial Narrow"/>
                <w:i/>
              </w:rPr>
            </w:pPr>
            <w:r w:rsidRPr="00911C5B">
              <w:rPr>
                <w:rFonts w:ascii="Arial Narrow" w:hAnsi="Arial Narrow"/>
                <w:i/>
              </w:rPr>
              <w:t>Coeloseris</w:t>
            </w:r>
          </w:p>
        </w:tc>
        <w:tc>
          <w:tcPr>
            <w:tcW w:w="766" w:type="dxa"/>
            <w:vAlign w:val="center"/>
          </w:tcPr>
          <w:p w14:paraId="11EA955A" w14:textId="77777777" w:rsidR="009F052E" w:rsidRPr="00911C5B" w:rsidRDefault="009F052E" w:rsidP="00A175A4">
            <w:pPr>
              <w:jc w:val="center"/>
              <w:rPr>
                <w:rFonts w:ascii="Arial Narrow" w:hAnsi="Arial Narrow"/>
              </w:rPr>
            </w:pPr>
            <w:r w:rsidRPr="00911C5B">
              <w:rPr>
                <w:rFonts w:ascii="Arial Narrow" w:hAnsi="Arial Narrow"/>
              </w:rPr>
              <w:t>0.052</w:t>
            </w:r>
          </w:p>
        </w:tc>
        <w:tc>
          <w:tcPr>
            <w:tcW w:w="851" w:type="dxa"/>
            <w:vAlign w:val="center"/>
          </w:tcPr>
          <w:p w14:paraId="11EA955B" w14:textId="77777777" w:rsidR="009F052E" w:rsidRPr="00911C5B" w:rsidRDefault="009F052E" w:rsidP="00A175A4">
            <w:pPr>
              <w:jc w:val="center"/>
              <w:rPr>
                <w:rFonts w:ascii="Arial Narrow" w:hAnsi="Arial Narrow"/>
              </w:rPr>
            </w:pPr>
          </w:p>
        </w:tc>
      </w:tr>
      <w:tr w:rsidR="009F052E" w:rsidRPr="00911C5B" w14:paraId="11EA9563" w14:textId="77777777" w:rsidTr="00A175A4">
        <w:trPr>
          <w:trHeight w:val="255"/>
        </w:trPr>
        <w:tc>
          <w:tcPr>
            <w:tcW w:w="2093" w:type="dxa"/>
            <w:noWrap/>
          </w:tcPr>
          <w:p w14:paraId="11EA955D" w14:textId="77777777" w:rsidR="009F052E" w:rsidRPr="00911C5B" w:rsidRDefault="009F052E" w:rsidP="00A175A4">
            <w:pPr>
              <w:jc w:val="left"/>
              <w:rPr>
                <w:rFonts w:ascii="Arial Narrow" w:hAnsi="Arial Narrow"/>
                <w:i/>
              </w:rPr>
            </w:pPr>
            <w:r w:rsidRPr="00911C5B">
              <w:rPr>
                <w:rFonts w:ascii="Arial Narrow" w:hAnsi="Arial Narrow"/>
                <w:i/>
              </w:rPr>
              <w:t>Merulina</w:t>
            </w:r>
          </w:p>
        </w:tc>
        <w:tc>
          <w:tcPr>
            <w:tcW w:w="850" w:type="dxa"/>
            <w:noWrap/>
            <w:vAlign w:val="center"/>
          </w:tcPr>
          <w:p w14:paraId="11EA955E" w14:textId="77777777" w:rsidR="009F052E" w:rsidRPr="00911C5B" w:rsidRDefault="009F052E" w:rsidP="00A175A4">
            <w:pPr>
              <w:jc w:val="center"/>
              <w:rPr>
                <w:rFonts w:ascii="Arial Narrow" w:hAnsi="Arial Narrow"/>
              </w:rPr>
            </w:pPr>
            <w:r w:rsidRPr="00911C5B">
              <w:rPr>
                <w:rFonts w:ascii="Arial Narrow" w:hAnsi="Arial Narrow"/>
              </w:rPr>
              <w:t>-0.01</w:t>
            </w:r>
          </w:p>
        </w:tc>
        <w:tc>
          <w:tcPr>
            <w:tcW w:w="851" w:type="dxa"/>
            <w:tcBorders>
              <w:right w:val="thinThickThinLargeGap" w:sz="24" w:space="0" w:color="auto"/>
            </w:tcBorders>
            <w:noWrap/>
            <w:vAlign w:val="center"/>
          </w:tcPr>
          <w:p w14:paraId="11EA955F" w14:textId="77777777" w:rsidR="009F052E" w:rsidRPr="00911C5B" w:rsidRDefault="009F052E" w:rsidP="00A175A4">
            <w:pPr>
              <w:jc w:val="center"/>
              <w:rPr>
                <w:rFonts w:ascii="Arial Narrow" w:hAnsi="Arial Narrow"/>
              </w:rPr>
            </w:pPr>
            <w:r w:rsidRPr="00911C5B">
              <w:rPr>
                <w:rFonts w:ascii="Arial Narrow" w:hAnsi="Arial Narrow"/>
              </w:rPr>
              <w:t>-0.073</w:t>
            </w:r>
          </w:p>
        </w:tc>
        <w:tc>
          <w:tcPr>
            <w:tcW w:w="2069" w:type="dxa"/>
            <w:tcBorders>
              <w:left w:val="thinThickThinLargeGap" w:sz="24" w:space="0" w:color="auto"/>
            </w:tcBorders>
          </w:tcPr>
          <w:p w14:paraId="11EA9560" w14:textId="77777777" w:rsidR="009F052E" w:rsidRPr="00911C5B" w:rsidRDefault="009F052E" w:rsidP="00A175A4">
            <w:pPr>
              <w:jc w:val="left"/>
              <w:rPr>
                <w:rFonts w:ascii="Arial Narrow" w:hAnsi="Arial Narrow"/>
              </w:rPr>
            </w:pPr>
            <w:r w:rsidRPr="00911C5B">
              <w:rPr>
                <w:rFonts w:ascii="Arial Narrow" w:hAnsi="Arial Narrow"/>
              </w:rPr>
              <w:t xml:space="preserve">Bottlebrush </w:t>
            </w:r>
            <w:r w:rsidRPr="00911C5B">
              <w:rPr>
                <w:rFonts w:ascii="Arial Narrow" w:hAnsi="Arial Narrow"/>
                <w:i/>
              </w:rPr>
              <w:t>Acropora</w:t>
            </w:r>
          </w:p>
        </w:tc>
        <w:tc>
          <w:tcPr>
            <w:tcW w:w="766" w:type="dxa"/>
            <w:vAlign w:val="center"/>
          </w:tcPr>
          <w:p w14:paraId="11EA9561" w14:textId="77777777" w:rsidR="009F052E" w:rsidRPr="00911C5B" w:rsidRDefault="009F052E" w:rsidP="00A175A4">
            <w:pPr>
              <w:jc w:val="center"/>
              <w:rPr>
                <w:rFonts w:ascii="Arial Narrow" w:hAnsi="Arial Narrow"/>
              </w:rPr>
            </w:pPr>
            <w:r w:rsidRPr="00911C5B">
              <w:rPr>
                <w:rFonts w:ascii="Arial Narrow" w:hAnsi="Arial Narrow"/>
              </w:rPr>
              <w:t>0.153</w:t>
            </w:r>
          </w:p>
        </w:tc>
        <w:tc>
          <w:tcPr>
            <w:tcW w:w="851" w:type="dxa"/>
            <w:vAlign w:val="center"/>
          </w:tcPr>
          <w:p w14:paraId="11EA9562" w14:textId="77777777" w:rsidR="009F052E" w:rsidRPr="00911C5B" w:rsidRDefault="009F052E" w:rsidP="00A175A4">
            <w:pPr>
              <w:jc w:val="center"/>
              <w:rPr>
                <w:rFonts w:ascii="Arial Narrow" w:hAnsi="Arial Narrow"/>
              </w:rPr>
            </w:pPr>
            <w:r w:rsidRPr="00911C5B">
              <w:rPr>
                <w:rFonts w:ascii="Arial Narrow" w:hAnsi="Arial Narrow"/>
              </w:rPr>
              <w:t>0.070</w:t>
            </w:r>
          </w:p>
        </w:tc>
      </w:tr>
      <w:tr w:rsidR="009F052E" w:rsidRPr="00911C5B" w14:paraId="11EA956A" w14:textId="77777777" w:rsidTr="00A175A4">
        <w:trPr>
          <w:trHeight w:val="255"/>
        </w:trPr>
        <w:tc>
          <w:tcPr>
            <w:tcW w:w="2093" w:type="dxa"/>
            <w:noWrap/>
            <w:hideMark/>
          </w:tcPr>
          <w:p w14:paraId="11EA9564" w14:textId="77777777" w:rsidR="009F052E" w:rsidRPr="00911C5B" w:rsidRDefault="009F052E" w:rsidP="00A175A4">
            <w:pPr>
              <w:jc w:val="left"/>
              <w:rPr>
                <w:rFonts w:ascii="Arial Narrow" w:hAnsi="Arial Narrow"/>
                <w:i/>
              </w:rPr>
            </w:pPr>
            <w:r w:rsidRPr="00911C5B">
              <w:rPr>
                <w:rFonts w:ascii="Arial Narrow" w:hAnsi="Arial Narrow"/>
                <w:i/>
              </w:rPr>
              <w:t>Coscinaraea</w:t>
            </w:r>
          </w:p>
        </w:tc>
        <w:tc>
          <w:tcPr>
            <w:tcW w:w="850" w:type="dxa"/>
            <w:noWrap/>
            <w:vAlign w:val="center"/>
            <w:hideMark/>
          </w:tcPr>
          <w:p w14:paraId="11EA9565" w14:textId="77777777" w:rsidR="009F052E" w:rsidRPr="00911C5B" w:rsidRDefault="009F052E" w:rsidP="00A175A4">
            <w:pPr>
              <w:jc w:val="center"/>
              <w:rPr>
                <w:rFonts w:ascii="Arial Narrow" w:hAnsi="Arial Narrow"/>
              </w:rPr>
            </w:pPr>
            <w:r w:rsidRPr="00911C5B">
              <w:rPr>
                <w:rFonts w:ascii="Arial Narrow" w:hAnsi="Arial Narrow"/>
              </w:rPr>
              <w:t>-0.011</w:t>
            </w:r>
          </w:p>
        </w:tc>
        <w:tc>
          <w:tcPr>
            <w:tcW w:w="851" w:type="dxa"/>
            <w:tcBorders>
              <w:right w:val="thinThickThinLargeGap" w:sz="24" w:space="0" w:color="auto"/>
            </w:tcBorders>
            <w:noWrap/>
            <w:vAlign w:val="center"/>
            <w:hideMark/>
          </w:tcPr>
          <w:p w14:paraId="11EA9566" w14:textId="77777777" w:rsidR="009F052E" w:rsidRPr="00911C5B" w:rsidRDefault="009F052E" w:rsidP="00A175A4">
            <w:pPr>
              <w:jc w:val="center"/>
              <w:rPr>
                <w:rFonts w:ascii="Arial Narrow" w:hAnsi="Arial Narrow"/>
              </w:rPr>
            </w:pPr>
            <w:r w:rsidRPr="00911C5B">
              <w:rPr>
                <w:rFonts w:ascii="Arial Narrow" w:hAnsi="Arial Narrow"/>
              </w:rPr>
              <w:t>-0.062</w:t>
            </w:r>
          </w:p>
        </w:tc>
        <w:tc>
          <w:tcPr>
            <w:tcW w:w="2069" w:type="dxa"/>
            <w:tcBorders>
              <w:left w:val="thinThickThinLargeGap" w:sz="24" w:space="0" w:color="auto"/>
            </w:tcBorders>
          </w:tcPr>
          <w:p w14:paraId="11EA9567" w14:textId="77777777" w:rsidR="009F052E" w:rsidRPr="00911C5B" w:rsidRDefault="009F052E" w:rsidP="00A175A4">
            <w:pPr>
              <w:jc w:val="left"/>
              <w:rPr>
                <w:rFonts w:ascii="Arial Narrow" w:hAnsi="Arial Narrow"/>
              </w:rPr>
            </w:pPr>
            <w:r w:rsidRPr="00911C5B">
              <w:rPr>
                <w:rFonts w:ascii="Arial Narrow" w:hAnsi="Arial Narrow"/>
                <w:i/>
              </w:rPr>
              <w:t>Pocillopora</w:t>
            </w:r>
          </w:p>
        </w:tc>
        <w:tc>
          <w:tcPr>
            <w:tcW w:w="766" w:type="dxa"/>
            <w:vAlign w:val="center"/>
          </w:tcPr>
          <w:p w14:paraId="11EA9568" w14:textId="77777777" w:rsidR="009F052E" w:rsidRPr="00911C5B" w:rsidRDefault="009F052E" w:rsidP="00A175A4">
            <w:pPr>
              <w:jc w:val="center"/>
              <w:rPr>
                <w:rFonts w:ascii="Arial Narrow" w:hAnsi="Arial Narrow"/>
              </w:rPr>
            </w:pPr>
            <w:r w:rsidRPr="00911C5B">
              <w:rPr>
                <w:rFonts w:ascii="Arial Narrow" w:hAnsi="Arial Narrow"/>
              </w:rPr>
              <w:t>0.058</w:t>
            </w:r>
          </w:p>
        </w:tc>
        <w:tc>
          <w:tcPr>
            <w:tcW w:w="851" w:type="dxa"/>
            <w:vAlign w:val="center"/>
          </w:tcPr>
          <w:p w14:paraId="11EA9569" w14:textId="77777777" w:rsidR="009F052E" w:rsidRPr="00911C5B" w:rsidRDefault="009F052E" w:rsidP="00A175A4">
            <w:pPr>
              <w:jc w:val="center"/>
              <w:rPr>
                <w:rFonts w:ascii="Arial Narrow" w:hAnsi="Arial Narrow"/>
              </w:rPr>
            </w:pPr>
            <w:r w:rsidRPr="00911C5B">
              <w:rPr>
                <w:rFonts w:ascii="Arial Narrow" w:hAnsi="Arial Narrow"/>
              </w:rPr>
              <w:t>0.074</w:t>
            </w:r>
          </w:p>
        </w:tc>
      </w:tr>
      <w:tr w:rsidR="009F052E" w:rsidRPr="00911C5B" w14:paraId="11EA9571" w14:textId="77777777" w:rsidTr="00A175A4">
        <w:trPr>
          <w:trHeight w:val="255"/>
        </w:trPr>
        <w:tc>
          <w:tcPr>
            <w:tcW w:w="2093" w:type="dxa"/>
            <w:noWrap/>
          </w:tcPr>
          <w:p w14:paraId="11EA956B" w14:textId="77777777" w:rsidR="009F052E" w:rsidRPr="00911C5B" w:rsidRDefault="009F052E" w:rsidP="00A175A4">
            <w:pPr>
              <w:jc w:val="left"/>
              <w:rPr>
                <w:rFonts w:ascii="Arial Narrow" w:hAnsi="Arial Narrow"/>
                <w:i/>
              </w:rPr>
            </w:pPr>
            <w:r w:rsidRPr="00911C5B">
              <w:rPr>
                <w:rFonts w:ascii="Arial Narrow" w:hAnsi="Arial Narrow"/>
                <w:i/>
              </w:rPr>
              <w:t>Duncanopsammia *</w:t>
            </w:r>
          </w:p>
        </w:tc>
        <w:tc>
          <w:tcPr>
            <w:tcW w:w="850" w:type="dxa"/>
            <w:noWrap/>
            <w:vAlign w:val="center"/>
          </w:tcPr>
          <w:p w14:paraId="11EA956C" w14:textId="77777777" w:rsidR="009F052E" w:rsidRPr="00911C5B" w:rsidRDefault="009F052E" w:rsidP="00A175A4">
            <w:pPr>
              <w:jc w:val="center"/>
              <w:rPr>
                <w:rFonts w:ascii="Arial Narrow" w:hAnsi="Arial Narrow"/>
              </w:rPr>
            </w:pPr>
          </w:p>
        </w:tc>
        <w:tc>
          <w:tcPr>
            <w:tcW w:w="851" w:type="dxa"/>
            <w:tcBorders>
              <w:right w:val="thinThickThinLargeGap" w:sz="24" w:space="0" w:color="auto"/>
            </w:tcBorders>
            <w:noWrap/>
            <w:vAlign w:val="center"/>
          </w:tcPr>
          <w:p w14:paraId="11EA956D" w14:textId="77777777" w:rsidR="009F052E" w:rsidRPr="00911C5B" w:rsidRDefault="009F052E" w:rsidP="00A175A4">
            <w:pPr>
              <w:jc w:val="center"/>
              <w:rPr>
                <w:rFonts w:ascii="Arial Narrow" w:hAnsi="Arial Narrow"/>
              </w:rPr>
            </w:pPr>
            <w:r w:rsidRPr="00911C5B">
              <w:rPr>
                <w:rFonts w:ascii="Arial Narrow" w:hAnsi="Arial Narrow"/>
              </w:rPr>
              <w:t>-0.042</w:t>
            </w:r>
          </w:p>
        </w:tc>
        <w:tc>
          <w:tcPr>
            <w:tcW w:w="2069" w:type="dxa"/>
            <w:tcBorders>
              <w:left w:val="thinThickThinLargeGap" w:sz="24" w:space="0" w:color="auto"/>
            </w:tcBorders>
          </w:tcPr>
          <w:p w14:paraId="11EA956E" w14:textId="77777777" w:rsidR="009F052E" w:rsidRPr="00911C5B" w:rsidRDefault="009F052E" w:rsidP="00A175A4">
            <w:pPr>
              <w:jc w:val="left"/>
              <w:rPr>
                <w:rFonts w:ascii="Arial Narrow" w:hAnsi="Arial Narrow"/>
              </w:rPr>
            </w:pPr>
            <w:r w:rsidRPr="00911C5B">
              <w:rPr>
                <w:rFonts w:ascii="Arial Narrow" w:hAnsi="Arial Narrow"/>
              </w:rPr>
              <w:t xml:space="preserve">Branching </w:t>
            </w:r>
            <w:r w:rsidRPr="00911C5B">
              <w:rPr>
                <w:rFonts w:ascii="Arial Narrow" w:hAnsi="Arial Narrow"/>
                <w:i/>
              </w:rPr>
              <w:t>Porites</w:t>
            </w:r>
          </w:p>
        </w:tc>
        <w:tc>
          <w:tcPr>
            <w:tcW w:w="766" w:type="dxa"/>
            <w:vAlign w:val="center"/>
          </w:tcPr>
          <w:p w14:paraId="11EA956F" w14:textId="77777777" w:rsidR="009F052E" w:rsidRPr="00911C5B" w:rsidRDefault="009F052E" w:rsidP="00A175A4">
            <w:pPr>
              <w:jc w:val="center"/>
              <w:rPr>
                <w:rFonts w:ascii="Arial Narrow" w:hAnsi="Arial Narrow"/>
              </w:rPr>
            </w:pPr>
            <w:r w:rsidRPr="00911C5B">
              <w:rPr>
                <w:rFonts w:ascii="Arial Narrow" w:hAnsi="Arial Narrow"/>
              </w:rPr>
              <w:t>0.059</w:t>
            </w:r>
          </w:p>
        </w:tc>
        <w:tc>
          <w:tcPr>
            <w:tcW w:w="851" w:type="dxa"/>
            <w:vAlign w:val="center"/>
          </w:tcPr>
          <w:p w14:paraId="11EA9570" w14:textId="77777777" w:rsidR="009F052E" w:rsidRPr="00911C5B" w:rsidRDefault="009F052E" w:rsidP="00A175A4">
            <w:pPr>
              <w:jc w:val="center"/>
              <w:rPr>
                <w:rFonts w:ascii="Arial Narrow" w:hAnsi="Arial Narrow"/>
              </w:rPr>
            </w:pPr>
            <w:r w:rsidRPr="00911C5B">
              <w:rPr>
                <w:rFonts w:ascii="Arial Narrow" w:hAnsi="Arial Narrow"/>
              </w:rPr>
              <w:t>0.075</w:t>
            </w:r>
          </w:p>
        </w:tc>
      </w:tr>
      <w:tr w:rsidR="009F052E" w:rsidRPr="00911C5B" w14:paraId="11EA9578" w14:textId="77777777" w:rsidTr="00A175A4">
        <w:trPr>
          <w:trHeight w:val="255"/>
        </w:trPr>
        <w:tc>
          <w:tcPr>
            <w:tcW w:w="2093" w:type="dxa"/>
            <w:noWrap/>
            <w:hideMark/>
          </w:tcPr>
          <w:p w14:paraId="11EA9572" w14:textId="77777777" w:rsidR="009F052E" w:rsidRPr="00911C5B" w:rsidRDefault="009F052E" w:rsidP="00A175A4">
            <w:pPr>
              <w:jc w:val="left"/>
              <w:rPr>
                <w:rFonts w:ascii="Arial Narrow" w:hAnsi="Arial Narrow"/>
                <w:i/>
              </w:rPr>
            </w:pPr>
            <w:r w:rsidRPr="00911C5B">
              <w:rPr>
                <w:rFonts w:ascii="Arial Narrow" w:hAnsi="Arial Narrow"/>
                <w:i/>
              </w:rPr>
              <w:t>Caulastrea</w:t>
            </w:r>
          </w:p>
        </w:tc>
        <w:tc>
          <w:tcPr>
            <w:tcW w:w="850" w:type="dxa"/>
            <w:noWrap/>
            <w:vAlign w:val="center"/>
            <w:hideMark/>
          </w:tcPr>
          <w:p w14:paraId="11EA9573" w14:textId="77777777" w:rsidR="009F052E" w:rsidRPr="00911C5B" w:rsidRDefault="009F052E" w:rsidP="00A175A4">
            <w:pPr>
              <w:jc w:val="center"/>
              <w:rPr>
                <w:rFonts w:ascii="Arial Narrow" w:hAnsi="Arial Narrow"/>
              </w:rPr>
            </w:pPr>
            <w:r w:rsidRPr="00911C5B">
              <w:rPr>
                <w:rFonts w:ascii="Arial Narrow" w:hAnsi="Arial Narrow"/>
              </w:rPr>
              <w:t>0.007</w:t>
            </w:r>
          </w:p>
        </w:tc>
        <w:tc>
          <w:tcPr>
            <w:tcW w:w="851" w:type="dxa"/>
            <w:tcBorders>
              <w:right w:val="thinThickThinLargeGap" w:sz="24" w:space="0" w:color="auto"/>
            </w:tcBorders>
            <w:noWrap/>
            <w:vAlign w:val="center"/>
            <w:hideMark/>
          </w:tcPr>
          <w:p w14:paraId="11EA9574" w14:textId="77777777" w:rsidR="009F052E" w:rsidRPr="00911C5B" w:rsidRDefault="009F052E" w:rsidP="00A175A4">
            <w:pPr>
              <w:jc w:val="center"/>
              <w:rPr>
                <w:rFonts w:ascii="Arial Narrow" w:hAnsi="Arial Narrow"/>
              </w:rPr>
            </w:pPr>
            <w:r w:rsidRPr="00911C5B">
              <w:rPr>
                <w:rFonts w:ascii="Arial Narrow" w:hAnsi="Arial Narrow"/>
              </w:rPr>
              <w:t>-0.041</w:t>
            </w:r>
          </w:p>
        </w:tc>
        <w:tc>
          <w:tcPr>
            <w:tcW w:w="2069" w:type="dxa"/>
            <w:tcBorders>
              <w:left w:val="thinThickThinLargeGap" w:sz="24" w:space="0" w:color="auto"/>
            </w:tcBorders>
          </w:tcPr>
          <w:p w14:paraId="11EA9575" w14:textId="77777777" w:rsidR="009F052E" w:rsidRPr="00911C5B" w:rsidRDefault="009F052E" w:rsidP="00A175A4">
            <w:pPr>
              <w:jc w:val="left"/>
              <w:rPr>
                <w:rFonts w:ascii="Arial Narrow" w:hAnsi="Arial Narrow"/>
              </w:rPr>
            </w:pPr>
            <w:r w:rsidRPr="00911C5B">
              <w:rPr>
                <w:rFonts w:ascii="Arial Narrow" w:hAnsi="Arial Narrow"/>
                <w:i/>
              </w:rPr>
              <w:t>Leptoria</w:t>
            </w:r>
          </w:p>
        </w:tc>
        <w:tc>
          <w:tcPr>
            <w:tcW w:w="766" w:type="dxa"/>
            <w:vAlign w:val="center"/>
          </w:tcPr>
          <w:p w14:paraId="11EA9576" w14:textId="77777777" w:rsidR="009F052E" w:rsidRPr="00911C5B" w:rsidRDefault="009F052E" w:rsidP="00A175A4">
            <w:pPr>
              <w:jc w:val="center"/>
              <w:rPr>
                <w:rFonts w:ascii="Arial Narrow" w:hAnsi="Arial Narrow"/>
              </w:rPr>
            </w:pPr>
            <w:r w:rsidRPr="00911C5B">
              <w:rPr>
                <w:rFonts w:ascii="Arial Narrow" w:hAnsi="Arial Narrow"/>
              </w:rPr>
              <w:t>0.054</w:t>
            </w:r>
          </w:p>
        </w:tc>
        <w:tc>
          <w:tcPr>
            <w:tcW w:w="851" w:type="dxa"/>
            <w:vAlign w:val="center"/>
          </w:tcPr>
          <w:p w14:paraId="11EA9577" w14:textId="77777777" w:rsidR="009F052E" w:rsidRPr="00911C5B" w:rsidRDefault="009F052E" w:rsidP="00A175A4">
            <w:pPr>
              <w:jc w:val="center"/>
              <w:rPr>
                <w:rFonts w:ascii="Arial Narrow" w:hAnsi="Arial Narrow"/>
              </w:rPr>
            </w:pPr>
            <w:r w:rsidRPr="00911C5B">
              <w:rPr>
                <w:rFonts w:ascii="Arial Narrow" w:hAnsi="Arial Narrow"/>
              </w:rPr>
              <w:t>0.077</w:t>
            </w:r>
          </w:p>
        </w:tc>
      </w:tr>
      <w:tr w:rsidR="009F052E" w:rsidRPr="00911C5B" w14:paraId="11EA957F" w14:textId="77777777" w:rsidTr="00A175A4">
        <w:trPr>
          <w:trHeight w:val="255"/>
        </w:trPr>
        <w:tc>
          <w:tcPr>
            <w:tcW w:w="2093" w:type="dxa"/>
            <w:noWrap/>
            <w:hideMark/>
          </w:tcPr>
          <w:p w14:paraId="11EA9579" w14:textId="77777777" w:rsidR="009F052E" w:rsidRPr="00911C5B" w:rsidRDefault="009F052E" w:rsidP="00A175A4">
            <w:pPr>
              <w:jc w:val="left"/>
              <w:rPr>
                <w:rFonts w:ascii="Arial Narrow" w:hAnsi="Arial Narrow"/>
                <w:i/>
              </w:rPr>
            </w:pPr>
            <w:r w:rsidRPr="00911C5B">
              <w:rPr>
                <w:rFonts w:ascii="Arial Narrow" w:hAnsi="Arial Narrow"/>
                <w:i/>
              </w:rPr>
              <w:t>Platygyra</w:t>
            </w:r>
          </w:p>
        </w:tc>
        <w:tc>
          <w:tcPr>
            <w:tcW w:w="850" w:type="dxa"/>
            <w:noWrap/>
            <w:vAlign w:val="center"/>
            <w:hideMark/>
          </w:tcPr>
          <w:p w14:paraId="11EA957A" w14:textId="77777777" w:rsidR="009F052E" w:rsidRPr="00911C5B" w:rsidRDefault="009F052E" w:rsidP="00A175A4">
            <w:pPr>
              <w:jc w:val="center"/>
              <w:rPr>
                <w:rFonts w:ascii="Arial Narrow" w:hAnsi="Arial Narrow"/>
              </w:rPr>
            </w:pPr>
            <w:r w:rsidRPr="00911C5B">
              <w:rPr>
                <w:rFonts w:ascii="Arial Narrow" w:hAnsi="Arial Narrow"/>
              </w:rPr>
              <w:t>0.048</w:t>
            </w:r>
          </w:p>
        </w:tc>
        <w:tc>
          <w:tcPr>
            <w:tcW w:w="851" w:type="dxa"/>
            <w:tcBorders>
              <w:right w:val="thinThickThinLargeGap" w:sz="24" w:space="0" w:color="auto"/>
            </w:tcBorders>
            <w:noWrap/>
            <w:vAlign w:val="center"/>
            <w:hideMark/>
          </w:tcPr>
          <w:p w14:paraId="11EA957B" w14:textId="77777777" w:rsidR="009F052E" w:rsidRPr="00911C5B" w:rsidRDefault="009F052E" w:rsidP="00A175A4">
            <w:pPr>
              <w:jc w:val="center"/>
              <w:rPr>
                <w:rFonts w:ascii="Arial Narrow" w:hAnsi="Arial Narrow"/>
              </w:rPr>
            </w:pPr>
            <w:r w:rsidRPr="00911C5B">
              <w:rPr>
                <w:rFonts w:ascii="Arial Narrow" w:hAnsi="Arial Narrow"/>
              </w:rPr>
              <w:t>-0.040</w:t>
            </w:r>
          </w:p>
        </w:tc>
        <w:tc>
          <w:tcPr>
            <w:tcW w:w="2069" w:type="dxa"/>
            <w:tcBorders>
              <w:left w:val="thinThickThinLargeGap" w:sz="24" w:space="0" w:color="auto"/>
            </w:tcBorders>
          </w:tcPr>
          <w:p w14:paraId="11EA957C" w14:textId="77777777" w:rsidR="009F052E" w:rsidRPr="00911C5B" w:rsidRDefault="009F052E" w:rsidP="00A175A4">
            <w:pPr>
              <w:jc w:val="left"/>
              <w:rPr>
                <w:rFonts w:ascii="Arial Narrow" w:hAnsi="Arial Narrow"/>
                <w:i/>
              </w:rPr>
            </w:pPr>
            <w:r w:rsidRPr="00911C5B">
              <w:rPr>
                <w:rFonts w:ascii="Arial Narrow" w:hAnsi="Arial Narrow"/>
                <w:i/>
              </w:rPr>
              <w:t>Porites rus</w:t>
            </w:r>
          </w:p>
        </w:tc>
        <w:tc>
          <w:tcPr>
            <w:tcW w:w="766" w:type="dxa"/>
            <w:vAlign w:val="center"/>
          </w:tcPr>
          <w:p w14:paraId="11EA957D" w14:textId="77777777" w:rsidR="009F052E" w:rsidRPr="00911C5B" w:rsidRDefault="009F052E" w:rsidP="00A175A4">
            <w:pPr>
              <w:jc w:val="center"/>
              <w:rPr>
                <w:rFonts w:ascii="Arial Narrow" w:hAnsi="Arial Narrow"/>
              </w:rPr>
            </w:pPr>
            <w:r w:rsidRPr="00911C5B">
              <w:rPr>
                <w:rFonts w:ascii="Arial Narrow" w:hAnsi="Arial Narrow"/>
              </w:rPr>
              <w:t>0.122</w:t>
            </w:r>
          </w:p>
        </w:tc>
        <w:tc>
          <w:tcPr>
            <w:tcW w:w="851" w:type="dxa"/>
            <w:vAlign w:val="center"/>
          </w:tcPr>
          <w:p w14:paraId="11EA957E" w14:textId="77777777" w:rsidR="009F052E" w:rsidRPr="00911C5B" w:rsidRDefault="009F052E" w:rsidP="00A175A4">
            <w:pPr>
              <w:jc w:val="center"/>
              <w:rPr>
                <w:rFonts w:ascii="Arial Narrow" w:hAnsi="Arial Narrow"/>
              </w:rPr>
            </w:pPr>
            <w:r w:rsidRPr="00911C5B">
              <w:rPr>
                <w:rFonts w:ascii="Arial Narrow" w:hAnsi="Arial Narrow"/>
              </w:rPr>
              <w:t>0.087</w:t>
            </w:r>
          </w:p>
        </w:tc>
      </w:tr>
      <w:tr w:rsidR="009F052E" w:rsidRPr="00911C5B" w14:paraId="11EA9586" w14:textId="77777777" w:rsidTr="00A175A4">
        <w:trPr>
          <w:trHeight w:val="255"/>
        </w:trPr>
        <w:tc>
          <w:tcPr>
            <w:tcW w:w="2093" w:type="dxa"/>
            <w:noWrap/>
            <w:hideMark/>
          </w:tcPr>
          <w:p w14:paraId="11EA9580" w14:textId="77777777" w:rsidR="009F052E" w:rsidRPr="00911C5B" w:rsidRDefault="009F052E" w:rsidP="00A175A4">
            <w:pPr>
              <w:jc w:val="left"/>
              <w:rPr>
                <w:rFonts w:ascii="Arial Narrow" w:hAnsi="Arial Narrow"/>
                <w:i/>
              </w:rPr>
            </w:pPr>
            <w:r w:rsidRPr="00911C5B">
              <w:rPr>
                <w:rFonts w:ascii="Arial Narrow" w:hAnsi="Arial Narrow"/>
                <w:i/>
              </w:rPr>
              <w:t>Herpolitha</w:t>
            </w:r>
          </w:p>
        </w:tc>
        <w:tc>
          <w:tcPr>
            <w:tcW w:w="850" w:type="dxa"/>
            <w:noWrap/>
            <w:vAlign w:val="center"/>
            <w:hideMark/>
          </w:tcPr>
          <w:p w14:paraId="11EA9581" w14:textId="77777777" w:rsidR="009F052E" w:rsidRPr="00911C5B" w:rsidRDefault="009F052E" w:rsidP="00A175A4">
            <w:pPr>
              <w:jc w:val="center"/>
              <w:rPr>
                <w:rFonts w:ascii="Arial Narrow" w:hAnsi="Arial Narrow"/>
              </w:rPr>
            </w:pPr>
            <w:r w:rsidRPr="00911C5B">
              <w:rPr>
                <w:rFonts w:ascii="Arial Narrow" w:hAnsi="Arial Narrow"/>
              </w:rPr>
              <w:t>-0.013</w:t>
            </w:r>
          </w:p>
        </w:tc>
        <w:tc>
          <w:tcPr>
            <w:tcW w:w="851" w:type="dxa"/>
            <w:tcBorders>
              <w:right w:val="thinThickThinLargeGap" w:sz="24" w:space="0" w:color="auto"/>
            </w:tcBorders>
            <w:noWrap/>
            <w:vAlign w:val="center"/>
            <w:hideMark/>
          </w:tcPr>
          <w:p w14:paraId="11EA9582" w14:textId="77777777" w:rsidR="009F052E" w:rsidRPr="00911C5B" w:rsidRDefault="009F052E" w:rsidP="00A175A4">
            <w:pPr>
              <w:jc w:val="center"/>
              <w:rPr>
                <w:rFonts w:ascii="Arial Narrow" w:hAnsi="Arial Narrow"/>
              </w:rPr>
            </w:pPr>
            <w:r w:rsidRPr="00911C5B">
              <w:rPr>
                <w:rFonts w:ascii="Arial Narrow" w:hAnsi="Arial Narrow"/>
              </w:rPr>
              <w:t>-0.034</w:t>
            </w:r>
          </w:p>
        </w:tc>
        <w:tc>
          <w:tcPr>
            <w:tcW w:w="2069" w:type="dxa"/>
            <w:tcBorders>
              <w:left w:val="thinThickThinLargeGap" w:sz="24" w:space="0" w:color="auto"/>
            </w:tcBorders>
          </w:tcPr>
          <w:p w14:paraId="11EA9583" w14:textId="77777777" w:rsidR="009F052E" w:rsidRPr="00911C5B" w:rsidRDefault="009F052E" w:rsidP="00A175A4">
            <w:pPr>
              <w:jc w:val="left"/>
              <w:rPr>
                <w:rFonts w:ascii="Arial Narrow" w:hAnsi="Arial Narrow"/>
                <w:i/>
              </w:rPr>
            </w:pPr>
            <w:r w:rsidRPr="00911C5B">
              <w:rPr>
                <w:rFonts w:ascii="Arial Narrow" w:hAnsi="Arial Narrow"/>
                <w:i/>
              </w:rPr>
              <w:t>Echinopora</w:t>
            </w:r>
          </w:p>
        </w:tc>
        <w:tc>
          <w:tcPr>
            <w:tcW w:w="766" w:type="dxa"/>
            <w:vAlign w:val="center"/>
          </w:tcPr>
          <w:p w14:paraId="11EA9584" w14:textId="77777777" w:rsidR="009F052E" w:rsidRPr="00911C5B" w:rsidRDefault="009F052E" w:rsidP="00A175A4">
            <w:pPr>
              <w:jc w:val="center"/>
              <w:rPr>
                <w:rFonts w:ascii="Arial Narrow" w:hAnsi="Arial Narrow"/>
              </w:rPr>
            </w:pPr>
            <w:r w:rsidRPr="00911C5B">
              <w:rPr>
                <w:rFonts w:ascii="Arial Narrow" w:hAnsi="Arial Narrow"/>
              </w:rPr>
              <w:t>0.076</w:t>
            </w:r>
          </w:p>
        </w:tc>
        <w:tc>
          <w:tcPr>
            <w:tcW w:w="851" w:type="dxa"/>
            <w:vAlign w:val="center"/>
          </w:tcPr>
          <w:p w14:paraId="11EA9585" w14:textId="77777777" w:rsidR="009F052E" w:rsidRPr="00911C5B" w:rsidRDefault="009F052E" w:rsidP="00A175A4">
            <w:pPr>
              <w:jc w:val="center"/>
              <w:rPr>
                <w:rFonts w:ascii="Arial Narrow" w:hAnsi="Arial Narrow"/>
              </w:rPr>
            </w:pPr>
            <w:r w:rsidRPr="00911C5B">
              <w:rPr>
                <w:rFonts w:ascii="Arial Narrow" w:hAnsi="Arial Narrow"/>
              </w:rPr>
              <w:t>0.096</w:t>
            </w:r>
          </w:p>
        </w:tc>
      </w:tr>
      <w:tr w:rsidR="009F052E" w:rsidRPr="00911C5B" w14:paraId="11EA958D" w14:textId="77777777" w:rsidTr="00A175A4">
        <w:trPr>
          <w:trHeight w:val="255"/>
        </w:trPr>
        <w:tc>
          <w:tcPr>
            <w:tcW w:w="2093" w:type="dxa"/>
            <w:noWrap/>
            <w:hideMark/>
          </w:tcPr>
          <w:p w14:paraId="11EA9587" w14:textId="77777777" w:rsidR="009F052E" w:rsidRPr="00911C5B" w:rsidRDefault="009F052E" w:rsidP="00A175A4">
            <w:pPr>
              <w:jc w:val="left"/>
              <w:rPr>
                <w:rFonts w:ascii="Arial Narrow" w:hAnsi="Arial Narrow"/>
                <w:i/>
              </w:rPr>
            </w:pPr>
            <w:r w:rsidRPr="00911C5B">
              <w:rPr>
                <w:rFonts w:ascii="Arial Narrow" w:hAnsi="Arial Narrow"/>
                <w:i/>
              </w:rPr>
              <w:t>Lobophyllia</w:t>
            </w:r>
          </w:p>
        </w:tc>
        <w:tc>
          <w:tcPr>
            <w:tcW w:w="850" w:type="dxa"/>
            <w:noWrap/>
            <w:vAlign w:val="center"/>
            <w:hideMark/>
          </w:tcPr>
          <w:p w14:paraId="11EA9588" w14:textId="77777777" w:rsidR="009F052E" w:rsidRPr="00911C5B" w:rsidRDefault="009F052E" w:rsidP="00A175A4">
            <w:pPr>
              <w:jc w:val="center"/>
              <w:rPr>
                <w:rFonts w:ascii="Arial Narrow" w:hAnsi="Arial Narrow"/>
              </w:rPr>
            </w:pPr>
            <w:r w:rsidRPr="00911C5B">
              <w:rPr>
                <w:rFonts w:ascii="Arial Narrow" w:hAnsi="Arial Narrow"/>
              </w:rPr>
              <w:t>0.018</w:t>
            </w:r>
          </w:p>
        </w:tc>
        <w:tc>
          <w:tcPr>
            <w:tcW w:w="851" w:type="dxa"/>
            <w:tcBorders>
              <w:right w:val="thinThickThinLargeGap" w:sz="24" w:space="0" w:color="auto"/>
            </w:tcBorders>
            <w:noWrap/>
            <w:vAlign w:val="center"/>
            <w:hideMark/>
          </w:tcPr>
          <w:p w14:paraId="11EA9589" w14:textId="77777777" w:rsidR="009F052E" w:rsidRPr="00911C5B" w:rsidRDefault="009F052E" w:rsidP="00A175A4">
            <w:pPr>
              <w:jc w:val="center"/>
              <w:rPr>
                <w:rFonts w:ascii="Arial Narrow" w:hAnsi="Arial Narrow"/>
              </w:rPr>
            </w:pPr>
            <w:r w:rsidRPr="00911C5B">
              <w:rPr>
                <w:rFonts w:ascii="Arial Narrow" w:hAnsi="Arial Narrow"/>
              </w:rPr>
              <w:t>-0.034</w:t>
            </w:r>
          </w:p>
        </w:tc>
        <w:tc>
          <w:tcPr>
            <w:tcW w:w="2069" w:type="dxa"/>
            <w:tcBorders>
              <w:left w:val="thinThickThinLargeGap" w:sz="24" w:space="0" w:color="auto"/>
            </w:tcBorders>
          </w:tcPr>
          <w:p w14:paraId="11EA958A" w14:textId="77777777" w:rsidR="009F052E" w:rsidRPr="00911C5B" w:rsidRDefault="009F052E" w:rsidP="00A175A4">
            <w:pPr>
              <w:jc w:val="left"/>
              <w:rPr>
                <w:rFonts w:ascii="Arial Narrow" w:hAnsi="Arial Narrow"/>
                <w:i/>
              </w:rPr>
            </w:pPr>
            <w:r w:rsidRPr="00911C5B">
              <w:rPr>
                <w:rFonts w:ascii="Arial Narrow" w:hAnsi="Arial Narrow"/>
              </w:rPr>
              <w:t xml:space="preserve">Massive </w:t>
            </w:r>
            <w:r w:rsidRPr="00911C5B">
              <w:rPr>
                <w:rFonts w:ascii="Arial Narrow" w:hAnsi="Arial Narrow"/>
                <w:i/>
              </w:rPr>
              <w:t>Porites</w:t>
            </w:r>
          </w:p>
        </w:tc>
        <w:tc>
          <w:tcPr>
            <w:tcW w:w="766" w:type="dxa"/>
            <w:vAlign w:val="center"/>
          </w:tcPr>
          <w:p w14:paraId="11EA958B" w14:textId="77777777" w:rsidR="009F052E" w:rsidRPr="00911C5B" w:rsidRDefault="009F052E" w:rsidP="00A175A4">
            <w:pPr>
              <w:jc w:val="center"/>
              <w:rPr>
                <w:rFonts w:ascii="Arial Narrow" w:hAnsi="Arial Narrow"/>
              </w:rPr>
            </w:pPr>
            <w:r w:rsidRPr="00911C5B">
              <w:rPr>
                <w:rFonts w:ascii="Arial Narrow" w:hAnsi="Arial Narrow"/>
              </w:rPr>
              <w:t>-0.054</w:t>
            </w:r>
          </w:p>
        </w:tc>
        <w:tc>
          <w:tcPr>
            <w:tcW w:w="851" w:type="dxa"/>
            <w:vAlign w:val="center"/>
          </w:tcPr>
          <w:p w14:paraId="11EA958C" w14:textId="77777777" w:rsidR="009F052E" w:rsidRPr="00911C5B" w:rsidRDefault="009F052E" w:rsidP="00A175A4">
            <w:pPr>
              <w:jc w:val="center"/>
              <w:rPr>
                <w:rFonts w:ascii="Arial Narrow" w:hAnsi="Arial Narrow"/>
              </w:rPr>
            </w:pPr>
            <w:r w:rsidRPr="00911C5B">
              <w:rPr>
                <w:rFonts w:ascii="Arial Narrow" w:hAnsi="Arial Narrow"/>
              </w:rPr>
              <w:t>0.122</w:t>
            </w:r>
          </w:p>
        </w:tc>
      </w:tr>
      <w:tr w:rsidR="009F052E" w:rsidRPr="00911C5B" w14:paraId="11EA9594" w14:textId="77777777" w:rsidTr="00A175A4">
        <w:trPr>
          <w:trHeight w:val="255"/>
        </w:trPr>
        <w:tc>
          <w:tcPr>
            <w:tcW w:w="2093" w:type="dxa"/>
            <w:noWrap/>
            <w:hideMark/>
          </w:tcPr>
          <w:p w14:paraId="11EA958E" w14:textId="77777777" w:rsidR="009F052E" w:rsidRPr="00911C5B" w:rsidRDefault="009F052E" w:rsidP="00A175A4">
            <w:pPr>
              <w:jc w:val="left"/>
              <w:rPr>
                <w:rFonts w:ascii="Arial Narrow" w:hAnsi="Arial Narrow"/>
                <w:i/>
              </w:rPr>
            </w:pPr>
            <w:r w:rsidRPr="00911C5B">
              <w:rPr>
                <w:rFonts w:ascii="Arial Narrow" w:hAnsi="Arial Narrow"/>
                <w:i/>
              </w:rPr>
              <w:t>Pavona</w:t>
            </w:r>
          </w:p>
        </w:tc>
        <w:tc>
          <w:tcPr>
            <w:tcW w:w="850" w:type="dxa"/>
            <w:noWrap/>
            <w:vAlign w:val="center"/>
            <w:hideMark/>
          </w:tcPr>
          <w:p w14:paraId="11EA958F" w14:textId="77777777" w:rsidR="009F052E" w:rsidRPr="00911C5B" w:rsidRDefault="009F052E" w:rsidP="00A175A4">
            <w:pPr>
              <w:jc w:val="center"/>
              <w:rPr>
                <w:rFonts w:ascii="Arial Narrow" w:hAnsi="Arial Narrow"/>
              </w:rPr>
            </w:pPr>
            <w:r w:rsidRPr="00911C5B">
              <w:rPr>
                <w:rFonts w:ascii="Arial Narrow" w:hAnsi="Arial Narrow"/>
              </w:rPr>
              <w:t>-0.152</w:t>
            </w:r>
          </w:p>
        </w:tc>
        <w:tc>
          <w:tcPr>
            <w:tcW w:w="851" w:type="dxa"/>
            <w:tcBorders>
              <w:right w:val="thinThickThinLargeGap" w:sz="24" w:space="0" w:color="auto"/>
            </w:tcBorders>
            <w:noWrap/>
            <w:vAlign w:val="center"/>
            <w:hideMark/>
          </w:tcPr>
          <w:p w14:paraId="11EA9590" w14:textId="77777777" w:rsidR="009F052E" w:rsidRPr="00911C5B" w:rsidRDefault="009F052E" w:rsidP="00A175A4">
            <w:pPr>
              <w:jc w:val="center"/>
              <w:rPr>
                <w:rFonts w:ascii="Arial Narrow" w:hAnsi="Arial Narrow"/>
              </w:rPr>
            </w:pPr>
            <w:r w:rsidRPr="00911C5B">
              <w:rPr>
                <w:rFonts w:ascii="Arial Narrow" w:hAnsi="Arial Narrow"/>
              </w:rPr>
              <w:t>-0.024</w:t>
            </w:r>
          </w:p>
        </w:tc>
        <w:tc>
          <w:tcPr>
            <w:tcW w:w="2069" w:type="dxa"/>
            <w:tcBorders>
              <w:left w:val="thinThickThinLargeGap" w:sz="24" w:space="0" w:color="auto"/>
            </w:tcBorders>
          </w:tcPr>
          <w:p w14:paraId="11EA9591" w14:textId="77777777" w:rsidR="009F052E" w:rsidRPr="00911C5B" w:rsidRDefault="009F052E" w:rsidP="00A175A4">
            <w:pPr>
              <w:jc w:val="left"/>
              <w:rPr>
                <w:rFonts w:ascii="Arial Narrow" w:hAnsi="Arial Narrow"/>
              </w:rPr>
            </w:pPr>
            <w:r w:rsidRPr="00911C5B">
              <w:rPr>
                <w:rFonts w:ascii="Arial Narrow" w:hAnsi="Arial Narrow"/>
                <w:i/>
              </w:rPr>
              <w:t>Diploastrea</w:t>
            </w:r>
          </w:p>
        </w:tc>
        <w:tc>
          <w:tcPr>
            <w:tcW w:w="766" w:type="dxa"/>
            <w:vAlign w:val="center"/>
          </w:tcPr>
          <w:p w14:paraId="11EA9592" w14:textId="77777777" w:rsidR="009F052E" w:rsidRPr="00911C5B" w:rsidRDefault="009F052E" w:rsidP="00A175A4">
            <w:pPr>
              <w:jc w:val="center"/>
              <w:rPr>
                <w:rFonts w:ascii="Arial Narrow" w:hAnsi="Arial Narrow"/>
              </w:rPr>
            </w:pPr>
            <w:r w:rsidRPr="00911C5B">
              <w:rPr>
                <w:rFonts w:ascii="Arial Narrow" w:hAnsi="Arial Narrow"/>
              </w:rPr>
              <w:t>0.003</w:t>
            </w:r>
          </w:p>
        </w:tc>
        <w:tc>
          <w:tcPr>
            <w:tcW w:w="851" w:type="dxa"/>
            <w:vAlign w:val="center"/>
          </w:tcPr>
          <w:p w14:paraId="11EA9593" w14:textId="77777777" w:rsidR="009F052E" w:rsidRPr="00911C5B" w:rsidRDefault="009F052E" w:rsidP="00A175A4">
            <w:pPr>
              <w:jc w:val="center"/>
              <w:rPr>
                <w:rFonts w:ascii="Arial Narrow" w:hAnsi="Arial Narrow"/>
              </w:rPr>
            </w:pPr>
            <w:r w:rsidRPr="00911C5B">
              <w:rPr>
                <w:rFonts w:ascii="Arial Narrow" w:hAnsi="Arial Narrow"/>
              </w:rPr>
              <w:t>0.173</w:t>
            </w:r>
          </w:p>
        </w:tc>
      </w:tr>
      <w:tr w:rsidR="009F052E" w:rsidRPr="00911C5B" w14:paraId="11EA959B" w14:textId="77777777" w:rsidTr="00A175A4">
        <w:trPr>
          <w:trHeight w:val="255"/>
        </w:trPr>
        <w:tc>
          <w:tcPr>
            <w:tcW w:w="2093" w:type="dxa"/>
            <w:noWrap/>
            <w:hideMark/>
          </w:tcPr>
          <w:p w14:paraId="11EA9595" w14:textId="77777777" w:rsidR="009F052E" w:rsidRPr="00911C5B" w:rsidRDefault="009F052E" w:rsidP="00A175A4">
            <w:pPr>
              <w:jc w:val="left"/>
              <w:rPr>
                <w:rFonts w:ascii="Arial Narrow" w:hAnsi="Arial Narrow"/>
                <w:i/>
              </w:rPr>
            </w:pPr>
            <w:r w:rsidRPr="00911C5B">
              <w:rPr>
                <w:rFonts w:ascii="Arial Narrow" w:hAnsi="Arial Narrow"/>
                <w:i/>
              </w:rPr>
              <w:t>Astreopora</w:t>
            </w:r>
          </w:p>
        </w:tc>
        <w:tc>
          <w:tcPr>
            <w:tcW w:w="850" w:type="dxa"/>
            <w:noWrap/>
            <w:vAlign w:val="center"/>
            <w:hideMark/>
          </w:tcPr>
          <w:p w14:paraId="11EA9596" w14:textId="77777777" w:rsidR="009F052E" w:rsidRPr="00911C5B" w:rsidRDefault="009F052E" w:rsidP="00A175A4">
            <w:pPr>
              <w:jc w:val="center"/>
              <w:rPr>
                <w:rFonts w:ascii="Arial Narrow" w:hAnsi="Arial Narrow"/>
              </w:rPr>
            </w:pPr>
            <w:r w:rsidRPr="00911C5B">
              <w:rPr>
                <w:rFonts w:ascii="Arial Narrow" w:hAnsi="Arial Narrow"/>
              </w:rPr>
              <w:t>0.031</w:t>
            </w:r>
          </w:p>
        </w:tc>
        <w:tc>
          <w:tcPr>
            <w:tcW w:w="851" w:type="dxa"/>
            <w:tcBorders>
              <w:right w:val="thinThickThinLargeGap" w:sz="24" w:space="0" w:color="auto"/>
            </w:tcBorders>
            <w:noWrap/>
            <w:vAlign w:val="center"/>
            <w:hideMark/>
          </w:tcPr>
          <w:p w14:paraId="11EA9597" w14:textId="77777777" w:rsidR="009F052E" w:rsidRPr="00911C5B" w:rsidRDefault="009F052E" w:rsidP="00A175A4">
            <w:pPr>
              <w:jc w:val="center"/>
              <w:rPr>
                <w:rFonts w:ascii="Arial Narrow" w:hAnsi="Arial Narrow"/>
              </w:rPr>
            </w:pPr>
            <w:r w:rsidRPr="00911C5B">
              <w:rPr>
                <w:rFonts w:ascii="Arial Narrow" w:hAnsi="Arial Narrow"/>
              </w:rPr>
              <w:t>-0.023</w:t>
            </w:r>
          </w:p>
        </w:tc>
        <w:tc>
          <w:tcPr>
            <w:tcW w:w="2069" w:type="dxa"/>
            <w:tcBorders>
              <w:left w:val="thinThickThinLargeGap" w:sz="24" w:space="0" w:color="auto"/>
            </w:tcBorders>
          </w:tcPr>
          <w:p w14:paraId="11EA9598" w14:textId="77777777" w:rsidR="009F052E" w:rsidRPr="00911C5B" w:rsidRDefault="009F052E" w:rsidP="00A175A4">
            <w:pPr>
              <w:jc w:val="left"/>
              <w:rPr>
                <w:rFonts w:ascii="Arial Narrow" w:hAnsi="Arial Narrow"/>
                <w:i/>
              </w:rPr>
            </w:pPr>
            <w:r w:rsidRPr="00911C5B">
              <w:rPr>
                <w:rFonts w:ascii="Arial Narrow" w:hAnsi="Arial Narrow"/>
              </w:rPr>
              <w:t xml:space="preserve">Tabulate </w:t>
            </w:r>
            <w:r w:rsidRPr="00911C5B">
              <w:rPr>
                <w:rFonts w:ascii="Arial Narrow" w:hAnsi="Arial Narrow"/>
                <w:i/>
              </w:rPr>
              <w:t>Acropora</w:t>
            </w:r>
          </w:p>
        </w:tc>
        <w:tc>
          <w:tcPr>
            <w:tcW w:w="766" w:type="dxa"/>
            <w:vAlign w:val="center"/>
          </w:tcPr>
          <w:p w14:paraId="11EA9599" w14:textId="77777777" w:rsidR="009F052E" w:rsidRPr="00911C5B" w:rsidRDefault="009F052E" w:rsidP="00A175A4">
            <w:pPr>
              <w:jc w:val="center"/>
              <w:rPr>
                <w:rFonts w:ascii="Arial Narrow" w:hAnsi="Arial Narrow"/>
              </w:rPr>
            </w:pPr>
            <w:r w:rsidRPr="00911C5B">
              <w:rPr>
                <w:rFonts w:ascii="Arial Narrow" w:hAnsi="Arial Narrow"/>
              </w:rPr>
              <w:t>0.052</w:t>
            </w:r>
          </w:p>
        </w:tc>
        <w:tc>
          <w:tcPr>
            <w:tcW w:w="851" w:type="dxa"/>
            <w:vAlign w:val="center"/>
          </w:tcPr>
          <w:p w14:paraId="11EA959A" w14:textId="77777777" w:rsidR="009F052E" w:rsidRPr="00911C5B" w:rsidRDefault="009F052E" w:rsidP="00A175A4">
            <w:pPr>
              <w:jc w:val="center"/>
              <w:rPr>
                <w:rFonts w:ascii="Arial Narrow" w:hAnsi="Arial Narrow"/>
              </w:rPr>
            </w:pPr>
            <w:r w:rsidRPr="00911C5B">
              <w:rPr>
                <w:rFonts w:ascii="Arial Narrow" w:hAnsi="Arial Narrow"/>
              </w:rPr>
              <w:t>0.224</w:t>
            </w:r>
          </w:p>
        </w:tc>
      </w:tr>
      <w:tr w:rsidR="009F052E" w:rsidRPr="00911C5B" w14:paraId="11EA95A2" w14:textId="77777777" w:rsidTr="00A175A4">
        <w:trPr>
          <w:trHeight w:val="255"/>
        </w:trPr>
        <w:tc>
          <w:tcPr>
            <w:tcW w:w="2093" w:type="dxa"/>
            <w:noWrap/>
            <w:hideMark/>
          </w:tcPr>
          <w:p w14:paraId="11EA959C" w14:textId="77777777" w:rsidR="009F052E" w:rsidRPr="00911C5B" w:rsidRDefault="009F052E" w:rsidP="00A175A4">
            <w:pPr>
              <w:jc w:val="left"/>
              <w:rPr>
                <w:rFonts w:ascii="Arial Narrow" w:hAnsi="Arial Narrow"/>
                <w:i/>
              </w:rPr>
            </w:pPr>
            <w:r w:rsidRPr="00911C5B">
              <w:rPr>
                <w:rFonts w:ascii="Arial Narrow" w:hAnsi="Arial Narrow"/>
                <w:i/>
              </w:rPr>
              <w:t xml:space="preserve">Euphyllia </w:t>
            </w:r>
          </w:p>
        </w:tc>
        <w:tc>
          <w:tcPr>
            <w:tcW w:w="850" w:type="dxa"/>
            <w:noWrap/>
            <w:vAlign w:val="center"/>
            <w:hideMark/>
          </w:tcPr>
          <w:p w14:paraId="11EA959D" w14:textId="77777777" w:rsidR="009F052E" w:rsidRPr="00911C5B" w:rsidRDefault="009F052E" w:rsidP="00A175A4">
            <w:pPr>
              <w:jc w:val="center"/>
              <w:rPr>
                <w:rFonts w:ascii="Arial Narrow" w:hAnsi="Arial Narrow"/>
              </w:rPr>
            </w:pPr>
            <w:r w:rsidRPr="00911C5B">
              <w:rPr>
                <w:rFonts w:ascii="Arial Narrow" w:hAnsi="Arial Narrow"/>
              </w:rPr>
              <w:t>-0.012</w:t>
            </w:r>
          </w:p>
        </w:tc>
        <w:tc>
          <w:tcPr>
            <w:tcW w:w="851" w:type="dxa"/>
            <w:tcBorders>
              <w:right w:val="thinThickThinLargeGap" w:sz="24" w:space="0" w:color="auto"/>
            </w:tcBorders>
            <w:noWrap/>
            <w:vAlign w:val="center"/>
            <w:hideMark/>
          </w:tcPr>
          <w:p w14:paraId="11EA959E" w14:textId="77777777" w:rsidR="009F052E" w:rsidRPr="00911C5B" w:rsidRDefault="009F052E" w:rsidP="00A175A4">
            <w:pPr>
              <w:jc w:val="center"/>
              <w:rPr>
                <w:rFonts w:ascii="Arial Narrow" w:hAnsi="Arial Narrow"/>
              </w:rPr>
            </w:pPr>
            <w:r w:rsidRPr="00911C5B">
              <w:rPr>
                <w:rFonts w:ascii="Arial Narrow" w:hAnsi="Arial Narrow"/>
              </w:rPr>
              <w:t>-0.023</w:t>
            </w:r>
          </w:p>
        </w:tc>
        <w:tc>
          <w:tcPr>
            <w:tcW w:w="2069" w:type="dxa"/>
            <w:tcBorders>
              <w:left w:val="thinThickThinLargeGap" w:sz="24" w:space="0" w:color="auto"/>
            </w:tcBorders>
          </w:tcPr>
          <w:p w14:paraId="11EA959F" w14:textId="77777777" w:rsidR="009F052E" w:rsidRPr="00911C5B" w:rsidRDefault="009F052E" w:rsidP="00A175A4">
            <w:pPr>
              <w:jc w:val="left"/>
              <w:rPr>
                <w:rFonts w:ascii="Arial Narrow" w:hAnsi="Arial Narrow"/>
              </w:rPr>
            </w:pPr>
            <w:r w:rsidRPr="00911C5B">
              <w:rPr>
                <w:rFonts w:ascii="Arial Narrow" w:hAnsi="Arial Narrow"/>
              </w:rPr>
              <w:t xml:space="preserve">Corymbose </w:t>
            </w:r>
            <w:r w:rsidRPr="00911C5B">
              <w:rPr>
                <w:rFonts w:ascii="Arial Narrow" w:hAnsi="Arial Narrow"/>
                <w:i/>
              </w:rPr>
              <w:t>Acropora</w:t>
            </w:r>
          </w:p>
        </w:tc>
        <w:tc>
          <w:tcPr>
            <w:tcW w:w="766" w:type="dxa"/>
            <w:vAlign w:val="center"/>
          </w:tcPr>
          <w:p w14:paraId="11EA95A0" w14:textId="77777777" w:rsidR="009F052E" w:rsidRPr="00911C5B" w:rsidRDefault="009F052E" w:rsidP="00A175A4">
            <w:pPr>
              <w:jc w:val="center"/>
              <w:rPr>
                <w:rFonts w:ascii="Arial Narrow" w:hAnsi="Arial Narrow"/>
              </w:rPr>
            </w:pPr>
            <w:r w:rsidRPr="00911C5B">
              <w:rPr>
                <w:rFonts w:ascii="Arial Narrow" w:hAnsi="Arial Narrow"/>
              </w:rPr>
              <w:t>0.060</w:t>
            </w:r>
          </w:p>
        </w:tc>
        <w:tc>
          <w:tcPr>
            <w:tcW w:w="851" w:type="dxa"/>
            <w:vAlign w:val="center"/>
          </w:tcPr>
          <w:p w14:paraId="11EA95A1" w14:textId="77777777" w:rsidR="009F052E" w:rsidRPr="00911C5B" w:rsidRDefault="009F052E" w:rsidP="00A175A4">
            <w:pPr>
              <w:jc w:val="center"/>
              <w:rPr>
                <w:rFonts w:ascii="Arial Narrow" w:hAnsi="Arial Narrow"/>
              </w:rPr>
            </w:pPr>
            <w:r w:rsidRPr="00911C5B">
              <w:rPr>
                <w:rFonts w:ascii="Arial Narrow" w:hAnsi="Arial Narrow"/>
              </w:rPr>
              <w:t>0.240</w:t>
            </w:r>
          </w:p>
        </w:tc>
      </w:tr>
      <w:tr w:rsidR="009F052E" w:rsidRPr="00911C5B" w14:paraId="11EA95A9" w14:textId="77777777" w:rsidTr="00A175A4">
        <w:trPr>
          <w:trHeight w:val="255"/>
        </w:trPr>
        <w:tc>
          <w:tcPr>
            <w:tcW w:w="2093" w:type="dxa"/>
            <w:noWrap/>
            <w:hideMark/>
          </w:tcPr>
          <w:p w14:paraId="11EA95A3" w14:textId="77777777" w:rsidR="009F052E" w:rsidRPr="00911C5B" w:rsidRDefault="009F052E" w:rsidP="00A175A4">
            <w:pPr>
              <w:jc w:val="left"/>
              <w:rPr>
                <w:rFonts w:ascii="Arial Narrow" w:hAnsi="Arial Narrow"/>
              </w:rPr>
            </w:pPr>
            <w:r w:rsidRPr="00911C5B">
              <w:rPr>
                <w:rFonts w:ascii="Arial Narrow" w:hAnsi="Arial Narrow"/>
                <w:i/>
              </w:rPr>
              <w:t>Leptoseris</w:t>
            </w:r>
          </w:p>
        </w:tc>
        <w:tc>
          <w:tcPr>
            <w:tcW w:w="850" w:type="dxa"/>
            <w:noWrap/>
            <w:vAlign w:val="center"/>
            <w:hideMark/>
          </w:tcPr>
          <w:p w14:paraId="11EA95A4" w14:textId="77777777" w:rsidR="009F052E" w:rsidRPr="00911C5B" w:rsidRDefault="009F052E" w:rsidP="00A175A4">
            <w:pPr>
              <w:jc w:val="center"/>
              <w:rPr>
                <w:rFonts w:ascii="Arial Narrow" w:hAnsi="Arial Narrow"/>
              </w:rPr>
            </w:pPr>
            <w:r w:rsidRPr="00911C5B">
              <w:rPr>
                <w:rFonts w:ascii="Arial Narrow" w:hAnsi="Arial Narrow"/>
              </w:rPr>
              <w:t>-0.011</w:t>
            </w:r>
          </w:p>
        </w:tc>
        <w:tc>
          <w:tcPr>
            <w:tcW w:w="851" w:type="dxa"/>
            <w:tcBorders>
              <w:right w:val="thinThickThinLargeGap" w:sz="24" w:space="0" w:color="auto"/>
            </w:tcBorders>
            <w:noWrap/>
            <w:vAlign w:val="center"/>
            <w:hideMark/>
          </w:tcPr>
          <w:p w14:paraId="11EA95A5" w14:textId="77777777" w:rsidR="009F052E" w:rsidRPr="00911C5B" w:rsidRDefault="009F052E" w:rsidP="00A175A4">
            <w:pPr>
              <w:jc w:val="center"/>
              <w:rPr>
                <w:rFonts w:ascii="Arial Narrow" w:hAnsi="Arial Narrow"/>
              </w:rPr>
            </w:pPr>
            <w:r w:rsidRPr="00911C5B">
              <w:rPr>
                <w:rFonts w:ascii="Arial Narrow" w:hAnsi="Arial Narrow"/>
              </w:rPr>
              <w:t>-0.021</w:t>
            </w:r>
          </w:p>
        </w:tc>
        <w:tc>
          <w:tcPr>
            <w:tcW w:w="2069" w:type="dxa"/>
            <w:tcBorders>
              <w:left w:val="thinThickThinLargeGap" w:sz="24" w:space="0" w:color="auto"/>
            </w:tcBorders>
          </w:tcPr>
          <w:p w14:paraId="11EA95A6" w14:textId="77777777" w:rsidR="009F052E" w:rsidRPr="00911C5B" w:rsidRDefault="009F052E" w:rsidP="00A175A4">
            <w:pPr>
              <w:jc w:val="left"/>
              <w:rPr>
                <w:rFonts w:ascii="Arial Narrow" w:hAnsi="Arial Narrow"/>
              </w:rPr>
            </w:pPr>
            <w:r w:rsidRPr="00911C5B">
              <w:rPr>
                <w:rFonts w:ascii="Arial Narrow" w:hAnsi="Arial Narrow"/>
              </w:rPr>
              <w:t xml:space="preserve">Branching </w:t>
            </w:r>
            <w:r w:rsidRPr="00911C5B">
              <w:rPr>
                <w:rFonts w:ascii="Arial Narrow" w:hAnsi="Arial Narrow"/>
                <w:i/>
              </w:rPr>
              <w:t>Acropora</w:t>
            </w:r>
          </w:p>
        </w:tc>
        <w:tc>
          <w:tcPr>
            <w:tcW w:w="766" w:type="dxa"/>
            <w:vAlign w:val="center"/>
          </w:tcPr>
          <w:p w14:paraId="11EA95A7" w14:textId="77777777" w:rsidR="009F052E" w:rsidRPr="00911C5B" w:rsidRDefault="009F052E" w:rsidP="00A175A4">
            <w:pPr>
              <w:jc w:val="center"/>
              <w:rPr>
                <w:rFonts w:ascii="Arial Narrow" w:hAnsi="Arial Narrow"/>
              </w:rPr>
            </w:pPr>
            <w:r w:rsidRPr="00911C5B">
              <w:rPr>
                <w:rFonts w:ascii="Arial Narrow" w:hAnsi="Arial Narrow"/>
              </w:rPr>
              <w:t>0.657</w:t>
            </w:r>
          </w:p>
        </w:tc>
        <w:tc>
          <w:tcPr>
            <w:tcW w:w="851" w:type="dxa"/>
            <w:vAlign w:val="center"/>
          </w:tcPr>
          <w:p w14:paraId="11EA95A8" w14:textId="77777777" w:rsidR="009F052E" w:rsidRPr="00911C5B" w:rsidRDefault="009F052E" w:rsidP="00A175A4">
            <w:pPr>
              <w:jc w:val="center"/>
              <w:rPr>
                <w:rFonts w:ascii="Arial Narrow" w:hAnsi="Arial Narrow"/>
              </w:rPr>
            </w:pPr>
            <w:r w:rsidRPr="00911C5B">
              <w:rPr>
                <w:rFonts w:ascii="Arial Narrow" w:hAnsi="Arial Narrow"/>
              </w:rPr>
              <w:t>0.810</w:t>
            </w:r>
          </w:p>
        </w:tc>
      </w:tr>
      <w:tr w:rsidR="009F052E" w:rsidRPr="00911C5B" w14:paraId="11EA95B0" w14:textId="77777777" w:rsidTr="00A175A4">
        <w:trPr>
          <w:trHeight w:val="255"/>
        </w:trPr>
        <w:tc>
          <w:tcPr>
            <w:tcW w:w="2093" w:type="dxa"/>
            <w:noWrap/>
          </w:tcPr>
          <w:p w14:paraId="11EA95AA" w14:textId="77777777" w:rsidR="009F052E" w:rsidRPr="00911C5B" w:rsidRDefault="009F052E" w:rsidP="00A175A4">
            <w:pPr>
              <w:jc w:val="left"/>
              <w:rPr>
                <w:rFonts w:ascii="Arial Narrow" w:hAnsi="Arial Narrow"/>
                <w:i/>
              </w:rPr>
            </w:pPr>
            <w:r w:rsidRPr="00911C5B">
              <w:rPr>
                <w:rFonts w:ascii="Arial Narrow" w:hAnsi="Arial Narrow"/>
                <w:i/>
              </w:rPr>
              <w:t>Palauastrea *</w:t>
            </w:r>
          </w:p>
        </w:tc>
        <w:tc>
          <w:tcPr>
            <w:tcW w:w="850" w:type="dxa"/>
            <w:noWrap/>
            <w:vAlign w:val="center"/>
          </w:tcPr>
          <w:p w14:paraId="11EA95AB" w14:textId="77777777" w:rsidR="009F052E" w:rsidRPr="00911C5B" w:rsidRDefault="009F052E" w:rsidP="00A175A4">
            <w:pPr>
              <w:jc w:val="center"/>
              <w:rPr>
                <w:rFonts w:ascii="Arial Narrow" w:hAnsi="Arial Narrow"/>
              </w:rPr>
            </w:pPr>
            <w:r w:rsidRPr="00911C5B">
              <w:rPr>
                <w:rFonts w:ascii="Arial Narrow" w:hAnsi="Arial Narrow"/>
              </w:rPr>
              <w:t>0.002</w:t>
            </w:r>
          </w:p>
        </w:tc>
        <w:tc>
          <w:tcPr>
            <w:tcW w:w="851" w:type="dxa"/>
            <w:tcBorders>
              <w:right w:val="thinThickThinLargeGap" w:sz="24" w:space="0" w:color="auto"/>
            </w:tcBorders>
            <w:noWrap/>
            <w:vAlign w:val="center"/>
          </w:tcPr>
          <w:p w14:paraId="11EA95AC" w14:textId="77777777" w:rsidR="009F052E" w:rsidRPr="00911C5B" w:rsidRDefault="009F052E" w:rsidP="00A175A4">
            <w:pPr>
              <w:jc w:val="center"/>
              <w:rPr>
                <w:rFonts w:ascii="Arial Narrow" w:hAnsi="Arial Narrow"/>
              </w:rPr>
            </w:pPr>
            <w:r w:rsidRPr="00911C5B">
              <w:rPr>
                <w:rFonts w:ascii="Arial Narrow" w:hAnsi="Arial Narrow"/>
              </w:rPr>
              <w:t>-0.021</w:t>
            </w:r>
          </w:p>
        </w:tc>
        <w:tc>
          <w:tcPr>
            <w:tcW w:w="2069" w:type="dxa"/>
            <w:tcBorders>
              <w:left w:val="thinThickThinLargeGap" w:sz="24" w:space="0" w:color="auto"/>
            </w:tcBorders>
          </w:tcPr>
          <w:p w14:paraId="11EA95AD" w14:textId="77777777" w:rsidR="009F052E" w:rsidRPr="00911C5B" w:rsidRDefault="009F052E" w:rsidP="00A175A4">
            <w:pPr>
              <w:jc w:val="left"/>
              <w:rPr>
                <w:rFonts w:ascii="Arial Narrow" w:hAnsi="Arial Narrow"/>
              </w:rPr>
            </w:pPr>
          </w:p>
        </w:tc>
        <w:tc>
          <w:tcPr>
            <w:tcW w:w="766" w:type="dxa"/>
          </w:tcPr>
          <w:p w14:paraId="11EA95AE" w14:textId="77777777" w:rsidR="009F052E" w:rsidRPr="00911C5B" w:rsidRDefault="009F052E" w:rsidP="00A175A4">
            <w:pPr>
              <w:jc w:val="left"/>
              <w:rPr>
                <w:rFonts w:ascii="Arial Narrow" w:hAnsi="Arial Narrow"/>
              </w:rPr>
            </w:pPr>
          </w:p>
        </w:tc>
        <w:tc>
          <w:tcPr>
            <w:tcW w:w="851" w:type="dxa"/>
          </w:tcPr>
          <w:p w14:paraId="11EA95AF" w14:textId="77777777" w:rsidR="009F052E" w:rsidRPr="00911C5B" w:rsidRDefault="009F052E" w:rsidP="00A175A4">
            <w:pPr>
              <w:jc w:val="left"/>
              <w:rPr>
                <w:rFonts w:ascii="Arial Narrow" w:hAnsi="Arial Narrow"/>
              </w:rPr>
            </w:pPr>
          </w:p>
        </w:tc>
      </w:tr>
      <w:tr w:rsidR="009F052E" w:rsidRPr="00911C5B" w14:paraId="11EA95B7" w14:textId="77777777" w:rsidTr="00A175A4">
        <w:trPr>
          <w:trHeight w:val="255"/>
        </w:trPr>
        <w:tc>
          <w:tcPr>
            <w:tcW w:w="2093" w:type="dxa"/>
            <w:noWrap/>
          </w:tcPr>
          <w:p w14:paraId="11EA95B1" w14:textId="77777777" w:rsidR="009F052E" w:rsidRPr="00911C5B" w:rsidRDefault="009F052E" w:rsidP="00A175A4">
            <w:pPr>
              <w:jc w:val="left"/>
              <w:rPr>
                <w:rFonts w:ascii="Arial Narrow" w:hAnsi="Arial Narrow"/>
                <w:i/>
              </w:rPr>
            </w:pPr>
            <w:r w:rsidRPr="00911C5B">
              <w:rPr>
                <w:rFonts w:ascii="Arial Narrow" w:hAnsi="Arial Narrow"/>
                <w:i/>
              </w:rPr>
              <w:t>Polyphyllia *</w:t>
            </w:r>
          </w:p>
        </w:tc>
        <w:tc>
          <w:tcPr>
            <w:tcW w:w="850" w:type="dxa"/>
            <w:noWrap/>
            <w:vAlign w:val="center"/>
          </w:tcPr>
          <w:p w14:paraId="11EA95B2" w14:textId="77777777" w:rsidR="009F052E" w:rsidRPr="00911C5B" w:rsidRDefault="009F052E" w:rsidP="00A175A4">
            <w:pPr>
              <w:jc w:val="center"/>
              <w:rPr>
                <w:rFonts w:ascii="Arial Narrow" w:hAnsi="Arial Narrow"/>
              </w:rPr>
            </w:pPr>
            <w:r w:rsidRPr="00911C5B">
              <w:rPr>
                <w:rFonts w:ascii="Arial Narrow" w:hAnsi="Arial Narrow"/>
              </w:rPr>
              <w:t>0</w:t>
            </w:r>
          </w:p>
        </w:tc>
        <w:tc>
          <w:tcPr>
            <w:tcW w:w="851" w:type="dxa"/>
            <w:tcBorders>
              <w:right w:val="thinThickThinLargeGap" w:sz="24" w:space="0" w:color="auto"/>
            </w:tcBorders>
            <w:noWrap/>
            <w:vAlign w:val="center"/>
          </w:tcPr>
          <w:p w14:paraId="11EA95B3" w14:textId="77777777" w:rsidR="009F052E" w:rsidRPr="00911C5B" w:rsidRDefault="009F052E" w:rsidP="00A175A4">
            <w:pPr>
              <w:jc w:val="center"/>
              <w:rPr>
                <w:rFonts w:ascii="Arial Narrow" w:hAnsi="Arial Narrow"/>
              </w:rPr>
            </w:pPr>
            <w:r w:rsidRPr="00911C5B">
              <w:rPr>
                <w:rFonts w:ascii="Arial Narrow" w:hAnsi="Arial Narrow"/>
              </w:rPr>
              <w:t>-0.020</w:t>
            </w:r>
          </w:p>
        </w:tc>
        <w:tc>
          <w:tcPr>
            <w:tcW w:w="2069" w:type="dxa"/>
            <w:tcBorders>
              <w:left w:val="thinThickThinLargeGap" w:sz="24" w:space="0" w:color="auto"/>
            </w:tcBorders>
          </w:tcPr>
          <w:p w14:paraId="11EA95B4" w14:textId="77777777" w:rsidR="009F052E" w:rsidRPr="00911C5B" w:rsidRDefault="009F052E" w:rsidP="00A175A4">
            <w:pPr>
              <w:jc w:val="left"/>
              <w:rPr>
                <w:rFonts w:ascii="Arial Narrow" w:hAnsi="Arial Narrow"/>
                <w:i/>
              </w:rPr>
            </w:pPr>
          </w:p>
        </w:tc>
        <w:tc>
          <w:tcPr>
            <w:tcW w:w="766" w:type="dxa"/>
          </w:tcPr>
          <w:p w14:paraId="11EA95B5" w14:textId="77777777" w:rsidR="009F052E" w:rsidRPr="00911C5B" w:rsidRDefault="009F052E" w:rsidP="00A175A4">
            <w:pPr>
              <w:jc w:val="left"/>
              <w:rPr>
                <w:rFonts w:ascii="Arial Narrow" w:hAnsi="Arial Narrow"/>
              </w:rPr>
            </w:pPr>
          </w:p>
        </w:tc>
        <w:tc>
          <w:tcPr>
            <w:tcW w:w="851" w:type="dxa"/>
          </w:tcPr>
          <w:p w14:paraId="11EA95B6" w14:textId="77777777" w:rsidR="009F052E" w:rsidRPr="00911C5B" w:rsidRDefault="009F052E" w:rsidP="00A175A4">
            <w:pPr>
              <w:jc w:val="left"/>
              <w:rPr>
                <w:rFonts w:ascii="Arial Narrow" w:hAnsi="Arial Narrow"/>
              </w:rPr>
            </w:pPr>
          </w:p>
        </w:tc>
      </w:tr>
      <w:tr w:rsidR="009F052E" w:rsidRPr="00911C5B" w14:paraId="11EA95BE" w14:textId="77777777" w:rsidTr="00A175A4">
        <w:trPr>
          <w:trHeight w:val="255"/>
        </w:trPr>
        <w:tc>
          <w:tcPr>
            <w:tcW w:w="2093" w:type="dxa"/>
            <w:noWrap/>
            <w:hideMark/>
          </w:tcPr>
          <w:p w14:paraId="11EA95B8" w14:textId="77777777" w:rsidR="009F052E" w:rsidRPr="00911C5B" w:rsidRDefault="009F052E" w:rsidP="00A175A4">
            <w:pPr>
              <w:jc w:val="left"/>
              <w:rPr>
                <w:rFonts w:ascii="Arial Narrow" w:hAnsi="Arial Narrow"/>
                <w:i/>
              </w:rPr>
            </w:pPr>
            <w:r w:rsidRPr="00911C5B">
              <w:rPr>
                <w:rFonts w:ascii="Arial Narrow" w:hAnsi="Arial Narrow"/>
                <w:i/>
              </w:rPr>
              <w:t>Heliofungia</w:t>
            </w:r>
          </w:p>
        </w:tc>
        <w:tc>
          <w:tcPr>
            <w:tcW w:w="850" w:type="dxa"/>
            <w:noWrap/>
            <w:vAlign w:val="center"/>
            <w:hideMark/>
          </w:tcPr>
          <w:p w14:paraId="11EA95B9" w14:textId="77777777" w:rsidR="009F052E" w:rsidRPr="00911C5B" w:rsidRDefault="009F052E" w:rsidP="00A175A4">
            <w:pPr>
              <w:jc w:val="center"/>
              <w:rPr>
                <w:rFonts w:ascii="Arial Narrow" w:hAnsi="Arial Narrow"/>
              </w:rPr>
            </w:pPr>
            <w:r w:rsidRPr="00911C5B">
              <w:rPr>
                <w:rFonts w:ascii="Arial Narrow" w:hAnsi="Arial Narrow"/>
              </w:rPr>
              <w:t>0.015</w:t>
            </w:r>
          </w:p>
        </w:tc>
        <w:tc>
          <w:tcPr>
            <w:tcW w:w="851" w:type="dxa"/>
            <w:tcBorders>
              <w:right w:val="thinThickThinLargeGap" w:sz="24" w:space="0" w:color="auto"/>
            </w:tcBorders>
            <w:noWrap/>
            <w:vAlign w:val="center"/>
            <w:hideMark/>
          </w:tcPr>
          <w:p w14:paraId="11EA95BA" w14:textId="77777777" w:rsidR="009F052E" w:rsidRPr="00911C5B" w:rsidRDefault="009F052E" w:rsidP="00A175A4">
            <w:pPr>
              <w:jc w:val="center"/>
              <w:rPr>
                <w:rFonts w:ascii="Arial Narrow" w:hAnsi="Arial Narrow"/>
              </w:rPr>
            </w:pPr>
            <w:r w:rsidRPr="00911C5B">
              <w:rPr>
                <w:rFonts w:ascii="Arial Narrow" w:hAnsi="Arial Narrow"/>
              </w:rPr>
              <w:t>-0.007</w:t>
            </w:r>
          </w:p>
        </w:tc>
        <w:tc>
          <w:tcPr>
            <w:tcW w:w="2069" w:type="dxa"/>
            <w:tcBorders>
              <w:left w:val="thinThickThinLargeGap" w:sz="24" w:space="0" w:color="auto"/>
            </w:tcBorders>
          </w:tcPr>
          <w:p w14:paraId="11EA95BB" w14:textId="77777777" w:rsidR="009F052E" w:rsidRPr="00911C5B" w:rsidRDefault="009F052E" w:rsidP="00A175A4">
            <w:pPr>
              <w:jc w:val="left"/>
              <w:rPr>
                <w:rFonts w:ascii="Arial Narrow" w:hAnsi="Arial Narrow"/>
              </w:rPr>
            </w:pPr>
          </w:p>
        </w:tc>
        <w:tc>
          <w:tcPr>
            <w:tcW w:w="766" w:type="dxa"/>
          </w:tcPr>
          <w:p w14:paraId="11EA95BC" w14:textId="77777777" w:rsidR="009F052E" w:rsidRPr="00911C5B" w:rsidRDefault="009F052E" w:rsidP="00A175A4">
            <w:pPr>
              <w:jc w:val="left"/>
              <w:rPr>
                <w:rFonts w:ascii="Arial Narrow" w:hAnsi="Arial Narrow"/>
              </w:rPr>
            </w:pPr>
          </w:p>
        </w:tc>
        <w:tc>
          <w:tcPr>
            <w:tcW w:w="851" w:type="dxa"/>
          </w:tcPr>
          <w:p w14:paraId="11EA95BD" w14:textId="77777777" w:rsidR="009F052E" w:rsidRPr="00911C5B" w:rsidRDefault="009F052E" w:rsidP="00A175A4">
            <w:pPr>
              <w:jc w:val="left"/>
              <w:rPr>
                <w:rFonts w:ascii="Arial Narrow" w:hAnsi="Arial Narrow"/>
              </w:rPr>
            </w:pPr>
          </w:p>
        </w:tc>
      </w:tr>
      <w:tr w:rsidR="009F052E" w:rsidRPr="00911C5B" w14:paraId="11EA95C5" w14:textId="77777777" w:rsidTr="00A175A4">
        <w:trPr>
          <w:trHeight w:val="255"/>
        </w:trPr>
        <w:tc>
          <w:tcPr>
            <w:tcW w:w="2093" w:type="dxa"/>
            <w:noWrap/>
          </w:tcPr>
          <w:p w14:paraId="11EA95BF" w14:textId="77777777" w:rsidR="009F052E" w:rsidRPr="00911C5B" w:rsidRDefault="009F052E" w:rsidP="00A175A4">
            <w:pPr>
              <w:jc w:val="left"/>
              <w:rPr>
                <w:rFonts w:ascii="Arial Narrow" w:hAnsi="Arial Narrow"/>
                <w:i/>
              </w:rPr>
            </w:pPr>
            <w:r w:rsidRPr="00911C5B">
              <w:rPr>
                <w:rFonts w:ascii="Arial Narrow" w:hAnsi="Arial Narrow"/>
                <w:i/>
              </w:rPr>
              <w:t>Catalaphyllia *</w:t>
            </w:r>
          </w:p>
        </w:tc>
        <w:tc>
          <w:tcPr>
            <w:tcW w:w="850" w:type="dxa"/>
            <w:noWrap/>
            <w:vAlign w:val="center"/>
          </w:tcPr>
          <w:p w14:paraId="11EA95C0" w14:textId="77777777" w:rsidR="009F052E" w:rsidRPr="00911C5B" w:rsidRDefault="009F052E" w:rsidP="00A175A4">
            <w:pPr>
              <w:jc w:val="center"/>
              <w:rPr>
                <w:rFonts w:ascii="Arial Narrow" w:hAnsi="Arial Narrow"/>
              </w:rPr>
            </w:pPr>
            <w:r w:rsidRPr="00911C5B">
              <w:rPr>
                <w:rFonts w:ascii="Arial Narrow" w:hAnsi="Arial Narrow"/>
              </w:rPr>
              <w:t>-0.002</w:t>
            </w:r>
          </w:p>
        </w:tc>
        <w:tc>
          <w:tcPr>
            <w:tcW w:w="851" w:type="dxa"/>
            <w:tcBorders>
              <w:right w:val="thinThickThinLargeGap" w:sz="24" w:space="0" w:color="auto"/>
            </w:tcBorders>
            <w:noWrap/>
            <w:vAlign w:val="center"/>
          </w:tcPr>
          <w:p w14:paraId="11EA95C1" w14:textId="77777777" w:rsidR="009F052E" w:rsidRPr="00911C5B" w:rsidRDefault="009F052E" w:rsidP="00A175A4">
            <w:pPr>
              <w:jc w:val="center"/>
              <w:rPr>
                <w:rFonts w:ascii="Arial Narrow" w:hAnsi="Arial Narrow"/>
              </w:rPr>
            </w:pPr>
            <w:r w:rsidRPr="00911C5B">
              <w:rPr>
                <w:rFonts w:ascii="Arial Narrow" w:hAnsi="Arial Narrow"/>
              </w:rPr>
              <w:t>-0.006</w:t>
            </w:r>
          </w:p>
        </w:tc>
        <w:tc>
          <w:tcPr>
            <w:tcW w:w="2069" w:type="dxa"/>
            <w:tcBorders>
              <w:left w:val="thinThickThinLargeGap" w:sz="24" w:space="0" w:color="auto"/>
            </w:tcBorders>
          </w:tcPr>
          <w:p w14:paraId="11EA95C2" w14:textId="77777777" w:rsidR="009F052E" w:rsidRPr="00911C5B" w:rsidRDefault="009F052E" w:rsidP="00A175A4">
            <w:pPr>
              <w:jc w:val="left"/>
              <w:rPr>
                <w:rFonts w:ascii="Arial Narrow" w:hAnsi="Arial Narrow"/>
                <w:i/>
              </w:rPr>
            </w:pPr>
          </w:p>
        </w:tc>
        <w:tc>
          <w:tcPr>
            <w:tcW w:w="766" w:type="dxa"/>
          </w:tcPr>
          <w:p w14:paraId="11EA95C3" w14:textId="77777777" w:rsidR="009F052E" w:rsidRPr="00911C5B" w:rsidRDefault="009F052E" w:rsidP="00A175A4">
            <w:pPr>
              <w:jc w:val="left"/>
              <w:rPr>
                <w:rFonts w:ascii="Arial Narrow" w:hAnsi="Arial Narrow"/>
              </w:rPr>
            </w:pPr>
          </w:p>
        </w:tc>
        <w:tc>
          <w:tcPr>
            <w:tcW w:w="851" w:type="dxa"/>
          </w:tcPr>
          <w:p w14:paraId="11EA95C4" w14:textId="77777777" w:rsidR="009F052E" w:rsidRPr="00911C5B" w:rsidRDefault="009F052E" w:rsidP="00A175A4">
            <w:pPr>
              <w:jc w:val="left"/>
              <w:rPr>
                <w:rFonts w:ascii="Arial Narrow" w:hAnsi="Arial Narrow"/>
              </w:rPr>
            </w:pPr>
          </w:p>
        </w:tc>
      </w:tr>
      <w:tr w:rsidR="009F052E" w:rsidRPr="00911C5B" w14:paraId="11EA95CC" w14:textId="77777777" w:rsidTr="00A175A4">
        <w:trPr>
          <w:trHeight w:val="255"/>
        </w:trPr>
        <w:tc>
          <w:tcPr>
            <w:tcW w:w="2093" w:type="dxa"/>
            <w:noWrap/>
          </w:tcPr>
          <w:p w14:paraId="11EA95C6" w14:textId="77777777" w:rsidR="009F052E" w:rsidRPr="00911C5B" w:rsidRDefault="009F052E" w:rsidP="00A175A4">
            <w:pPr>
              <w:jc w:val="left"/>
              <w:rPr>
                <w:rFonts w:ascii="Arial Narrow" w:hAnsi="Arial Narrow"/>
                <w:i/>
              </w:rPr>
            </w:pPr>
            <w:r w:rsidRPr="00911C5B">
              <w:rPr>
                <w:rFonts w:ascii="Arial Narrow" w:hAnsi="Arial Narrow"/>
                <w:i/>
              </w:rPr>
              <w:t>Stylocoeniella *</w:t>
            </w:r>
          </w:p>
        </w:tc>
        <w:tc>
          <w:tcPr>
            <w:tcW w:w="850" w:type="dxa"/>
            <w:noWrap/>
            <w:vAlign w:val="center"/>
          </w:tcPr>
          <w:p w14:paraId="11EA95C7" w14:textId="77777777" w:rsidR="009F052E" w:rsidRPr="00911C5B" w:rsidRDefault="009F052E" w:rsidP="00A175A4">
            <w:pPr>
              <w:jc w:val="center"/>
              <w:rPr>
                <w:rFonts w:ascii="Arial Narrow" w:hAnsi="Arial Narrow"/>
              </w:rPr>
            </w:pPr>
            <w:r w:rsidRPr="00911C5B">
              <w:rPr>
                <w:rFonts w:ascii="Arial Narrow" w:hAnsi="Arial Narrow"/>
              </w:rPr>
              <w:t>0.004</w:t>
            </w:r>
          </w:p>
        </w:tc>
        <w:tc>
          <w:tcPr>
            <w:tcW w:w="851" w:type="dxa"/>
            <w:tcBorders>
              <w:right w:val="thinThickThinLargeGap" w:sz="24" w:space="0" w:color="auto"/>
            </w:tcBorders>
            <w:noWrap/>
            <w:vAlign w:val="center"/>
          </w:tcPr>
          <w:p w14:paraId="11EA95C8" w14:textId="77777777" w:rsidR="009F052E" w:rsidRPr="00911C5B" w:rsidRDefault="009F052E" w:rsidP="00A175A4">
            <w:pPr>
              <w:jc w:val="center"/>
              <w:rPr>
                <w:rFonts w:ascii="Arial Narrow" w:hAnsi="Arial Narrow"/>
              </w:rPr>
            </w:pPr>
            <w:r w:rsidRPr="00911C5B">
              <w:rPr>
                <w:rFonts w:ascii="Arial Narrow" w:hAnsi="Arial Narrow"/>
              </w:rPr>
              <w:t>-0.006</w:t>
            </w:r>
          </w:p>
        </w:tc>
        <w:tc>
          <w:tcPr>
            <w:tcW w:w="2069" w:type="dxa"/>
            <w:tcBorders>
              <w:left w:val="thinThickThinLargeGap" w:sz="24" w:space="0" w:color="auto"/>
            </w:tcBorders>
          </w:tcPr>
          <w:p w14:paraId="11EA95C9" w14:textId="77777777" w:rsidR="009F052E" w:rsidRPr="00911C5B" w:rsidRDefault="009F052E" w:rsidP="00A175A4">
            <w:pPr>
              <w:jc w:val="left"/>
              <w:rPr>
                <w:rFonts w:ascii="Arial Narrow" w:hAnsi="Arial Narrow"/>
                <w:i/>
              </w:rPr>
            </w:pPr>
          </w:p>
        </w:tc>
        <w:tc>
          <w:tcPr>
            <w:tcW w:w="766" w:type="dxa"/>
          </w:tcPr>
          <w:p w14:paraId="11EA95CA" w14:textId="77777777" w:rsidR="009F052E" w:rsidRPr="00911C5B" w:rsidRDefault="009F052E" w:rsidP="00A175A4">
            <w:pPr>
              <w:jc w:val="left"/>
              <w:rPr>
                <w:rFonts w:ascii="Arial Narrow" w:hAnsi="Arial Narrow"/>
              </w:rPr>
            </w:pPr>
          </w:p>
        </w:tc>
        <w:tc>
          <w:tcPr>
            <w:tcW w:w="851" w:type="dxa"/>
          </w:tcPr>
          <w:p w14:paraId="11EA95CB" w14:textId="77777777" w:rsidR="009F052E" w:rsidRPr="00911C5B" w:rsidRDefault="009F052E" w:rsidP="00A175A4">
            <w:pPr>
              <w:jc w:val="left"/>
              <w:rPr>
                <w:rFonts w:ascii="Arial Narrow" w:hAnsi="Arial Narrow"/>
              </w:rPr>
            </w:pPr>
          </w:p>
        </w:tc>
      </w:tr>
      <w:tr w:rsidR="009F052E" w:rsidRPr="00911C5B" w14:paraId="11EA95D3" w14:textId="77777777" w:rsidTr="00A175A4">
        <w:trPr>
          <w:trHeight w:val="255"/>
        </w:trPr>
        <w:tc>
          <w:tcPr>
            <w:tcW w:w="2093" w:type="dxa"/>
            <w:noWrap/>
          </w:tcPr>
          <w:p w14:paraId="11EA95CD" w14:textId="77777777" w:rsidR="009F052E" w:rsidRPr="00911C5B" w:rsidRDefault="009F052E" w:rsidP="00A175A4">
            <w:pPr>
              <w:jc w:val="left"/>
              <w:rPr>
                <w:rFonts w:ascii="Arial Narrow" w:hAnsi="Arial Narrow"/>
                <w:i/>
              </w:rPr>
            </w:pPr>
            <w:r w:rsidRPr="00911C5B">
              <w:rPr>
                <w:rFonts w:ascii="Arial Narrow" w:hAnsi="Arial Narrow"/>
                <w:i/>
              </w:rPr>
              <w:t>Pseudosiderastrea *</w:t>
            </w:r>
          </w:p>
        </w:tc>
        <w:tc>
          <w:tcPr>
            <w:tcW w:w="850" w:type="dxa"/>
            <w:noWrap/>
            <w:vAlign w:val="center"/>
          </w:tcPr>
          <w:p w14:paraId="11EA95CE" w14:textId="77777777" w:rsidR="009F052E" w:rsidRPr="00911C5B" w:rsidRDefault="009F052E" w:rsidP="00A175A4">
            <w:pPr>
              <w:jc w:val="center"/>
              <w:rPr>
                <w:rFonts w:ascii="Arial Narrow" w:hAnsi="Arial Narrow"/>
              </w:rPr>
            </w:pPr>
            <w:r w:rsidRPr="00911C5B">
              <w:rPr>
                <w:rFonts w:ascii="Arial Narrow" w:hAnsi="Arial Narrow"/>
              </w:rPr>
              <w:t>-0.001</w:t>
            </w:r>
          </w:p>
        </w:tc>
        <w:tc>
          <w:tcPr>
            <w:tcW w:w="851" w:type="dxa"/>
            <w:tcBorders>
              <w:right w:val="thinThickThinLargeGap" w:sz="24" w:space="0" w:color="auto"/>
            </w:tcBorders>
            <w:noWrap/>
            <w:vAlign w:val="center"/>
          </w:tcPr>
          <w:p w14:paraId="11EA95CF" w14:textId="77777777" w:rsidR="009F052E" w:rsidRPr="00911C5B" w:rsidRDefault="009F052E" w:rsidP="00A175A4">
            <w:pPr>
              <w:jc w:val="center"/>
              <w:rPr>
                <w:rFonts w:ascii="Arial Narrow" w:hAnsi="Arial Narrow"/>
              </w:rPr>
            </w:pPr>
            <w:r w:rsidRPr="00911C5B">
              <w:rPr>
                <w:rFonts w:ascii="Arial Narrow" w:hAnsi="Arial Narrow"/>
              </w:rPr>
              <w:t>-0.006</w:t>
            </w:r>
          </w:p>
        </w:tc>
        <w:tc>
          <w:tcPr>
            <w:tcW w:w="2069" w:type="dxa"/>
            <w:tcBorders>
              <w:left w:val="thinThickThinLargeGap" w:sz="24" w:space="0" w:color="auto"/>
            </w:tcBorders>
          </w:tcPr>
          <w:p w14:paraId="11EA95D0" w14:textId="77777777" w:rsidR="009F052E" w:rsidRPr="00911C5B" w:rsidRDefault="009F052E" w:rsidP="00A175A4">
            <w:pPr>
              <w:jc w:val="left"/>
              <w:rPr>
                <w:rFonts w:ascii="Arial Narrow" w:hAnsi="Arial Narrow"/>
                <w:i/>
              </w:rPr>
            </w:pPr>
          </w:p>
        </w:tc>
        <w:tc>
          <w:tcPr>
            <w:tcW w:w="766" w:type="dxa"/>
          </w:tcPr>
          <w:p w14:paraId="11EA95D1" w14:textId="77777777" w:rsidR="009F052E" w:rsidRPr="00911C5B" w:rsidRDefault="009F052E" w:rsidP="00A175A4">
            <w:pPr>
              <w:jc w:val="left"/>
              <w:rPr>
                <w:rFonts w:ascii="Arial Narrow" w:hAnsi="Arial Narrow"/>
              </w:rPr>
            </w:pPr>
          </w:p>
        </w:tc>
        <w:tc>
          <w:tcPr>
            <w:tcW w:w="851" w:type="dxa"/>
          </w:tcPr>
          <w:p w14:paraId="11EA95D2" w14:textId="77777777" w:rsidR="009F052E" w:rsidRPr="00911C5B" w:rsidRDefault="009F052E" w:rsidP="00A175A4">
            <w:pPr>
              <w:jc w:val="left"/>
              <w:rPr>
                <w:rFonts w:ascii="Arial Narrow" w:hAnsi="Arial Narrow"/>
              </w:rPr>
            </w:pPr>
          </w:p>
        </w:tc>
      </w:tr>
      <w:tr w:rsidR="009F052E" w:rsidRPr="00911C5B" w14:paraId="11EA95DA" w14:textId="77777777" w:rsidTr="00A175A4">
        <w:trPr>
          <w:trHeight w:val="255"/>
        </w:trPr>
        <w:tc>
          <w:tcPr>
            <w:tcW w:w="2093" w:type="dxa"/>
            <w:noWrap/>
          </w:tcPr>
          <w:p w14:paraId="11EA95D4" w14:textId="77777777" w:rsidR="009F052E" w:rsidRPr="00911C5B" w:rsidRDefault="009F052E" w:rsidP="00A175A4">
            <w:pPr>
              <w:jc w:val="left"/>
              <w:rPr>
                <w:rFonts w:ascii="Arial Narrow" w:hAnsi="Arial Narrow"/>
                <w:i/>
              </w:rPr>
            </w:pPr>
            <w:r w:rsidRPr="00911C5B">
              <w:rPr>
                <w:rFonts w:ascii="Arial Narrow" w:hAnsi="Arial Narrow"/>
                <w:i/>
              </w:rPr>
              <w:t>Gardineroseris *</w:t>
            </w:r>
          </w:p>
        </w:tc>
        <w:tc>
          <w:tcPr>
            <w:tcW w:w="850" w:type="dxa"/>
            <w:noWrap/>
            <w:vAlign w:val="center"/>
          </w:tcPr>
          <w:p w14:paraId="11EA95D5" w14:textId="77777777" w:rsidR="009F052E" w:rsidRPr="00911C5B" w:rsidRDefault="009F052E" w:rsidP="00A175A4">
            <w:pPr>
              <w:jc w:val="center"/>
              <w:rPr>
                <w:rFonts w:ascii="Arial Narrow" w:hAnsi="Arial Narrow"/>
              </w:rPr>
            </w:pPr>
            <w:r w:rsidRPr="00911C5B">
              <w:rPr>
                <w:rFonts w:ascii="Arial Narrow" w:hAnsi="Arial Narrow"/>
              </w:rPr>
              <w:t>-0.004</w:t>
            </w:r>
          </w:p>
        </w:tc>
        <w:tc>
          <w:tcPr>
            <w:tcW w:w="851" w:type="dxa"/>
            <w:tcBorders>
              <w:right w:val="thinThickThinLargeGap" w:sz="24" w:space="0" w:color="auto"/>
            </w:tcBorders>
            <w:noWrap/>
            <w:vAlign w:val="center"/>
          </w:tcPr>
          <w:p w14:paraId="11EA95D6" w14:textId="77777777" w:rsidR="009F052E" w:rsidRPr="00911C5B" w:rsidRDefault="009F052E" w:rsidP="00A175A4">
            <w:pPr>
              <w:jc w:val="center"/>
              <w:rPr>
                <w:rFonts w:ascii="Arial Narrow" w:hAnsi="Arial Narrow"/>
              </w:rPr>
            </w:pPr>
          </w:p>
        </w:tc>
        <w:tc>
          <w:tcPr>
            <w:tcW w:w="2069" w:type="dxa"/>
            <w:tcBorders>
              <w:left w:val="thinThickThinLargeGap" w:sz="24" w:space="0" w:color="auto"/>
            </w:tcBorders>
          </w:tcPr>
          <w:p w14:paraId="11EA95D7" w14:textId="77777777" w:rsidR="009F052E" w:rsidRPr="00911C5B" w:rsidRDefault="009F052E" w:rsidP="00A175A4">
            <w:pPr>
              <w:jc w:val="left"/>
              <w:rPr>
                <w:rFonts w:ascii="Arial Narrow" w:hAnsi="Arial Narrow"/>
                <w:i/>
              </w:rPr>
            </w:pPr>
          </w:p>
        </w:tc>
        <w:tc>
          <w:tcPr>
            <w:tcW w:w="766" w:type="dxa"/>
          </w:tcPr>
          <w:p w14:paraId="11EA95D8" w14:textId="77777777" w:rsidR="009F052E" w:rsidRPr="00911C5B" w:rsidRDefault="009F052E" w:rsidP="00A175A4">
            <w:pPr>
              <w:jc w:val="left"/>
              <w:rPr>
                <w:rFonts w:ascii="Arial Narrow" w:hAnsi="Arial Narrow"/>
              </w:rPr>
            </w:pPr>
          </w:p>
        </w:tc>
        <w:tc>
          <w:tcPr>
            <w:tcW w:w="851" w:type="dxa"/>
          </w:tcPr>
          <w:p w14:paraId="11EA95D9" w14:textId="77777777" w:rsidR="009F052E" w:rsidRPr="00911C5B" w:rsidRDefault="009F052E" w:rsidP="00A175A4">
            <w:pPr>
              <w:jc w:val="left"/>
              <w:rPr>
                <w:rFonts w:ascii="Arial Narrow" w:hAnsi="Arial Narrow"/>
              </w:rPr>
            </w:pPr>
          </w:p>
        </w:tc>
      </w:tr>
      <w:tr w:rsidR="009F052E" w:rsidRPr="00911C5B" w14:paraId="11EA95E1" w14:textId="77777777" w:rsidTr="00A175A4">
        <w:trPr>
          <w:trHeight w:val="255"/>
        </w:trPr>
        <w:tc>
          <w:tcPr>
            <w:tcW w:w="2093" w:type="dxa"/>
            <w:noWrap/>
            <w:hideMark/>
          </w:tcPr>
          <w:p w14:paraId="11EA95DB" w14:textId="77777777" w:rsidR="009F052E" w:rsidRPr="00911C5B" w:rsidRDefault="009F052E" w:rsidP="00A175A4">
            <w:pPr>
              <w:jc w:val="left"/>
              <w:rPr>
                <w:rFonts w:ascii="Arial Narrow" w:hAnsi="Arial Narrow"/>
                <w:i/>
              </w:rPr>
            </w:pPr>
            <w:r w:rsidRPr="00911C5B">
              <w:rPr>
                <w:rFonts w:ascii="Arial Narrow" w:hAnsi="Arial Narrow"/>
              </w:rPr>
              <w:t xml:space="preserve">Submassive </w:t>
            </w:r>
            <w:r w:rsidRPr="00911C5B">
              <w:rPr>
                <w:rFonts w:ascii="Arial Narrow" w:hAnsi="Arial Narrow"/>
                <w:i/>
              </w:rPr>
              <w:t>Porites</w:t>
            </w:r>
          </w:p>
        </w:tc>
        <w:tc>
          <w:tcPr>
            <w:tcW w:w="850" w:type="dxa"/>
            <w:noWrap/>
            <w:vAlign w:val="center"/>
            <w:hideMark/>
          </w:tcPr>
          <w:p w14:paraId="11EA95DC" w14:textId="77777777" w:rsidR="009F052E" w:rsidRPr="00911C5B" w:rsidRDefault="009F052E" w:rsidP="00A175A4">
            <w:pPr>
              <w:jc w:val="center"/>
              <w:rPr>
                <w:rFonts w:ascii="Arial Narrow" w:hAnsi="Arial Narrow"/>
              </w:rPr>
            </w:pPr>
            <w:r w:rsidRPr="00911C5B">
              <w:rPr>
                <w:rFonts w:ascii="Arial Narrow" w:hAnsi="Arial Narrow"/>
              </w:rPr>
              <w:t>-0.047</w:t>
            </w:r>
          </w:p>
        </w:tc>
        <w:tc>
          <w:tcPr>
            <w:tcW w:w="851" w:type="dxa"/>
            <w:tcBorders>
              <w:right w:val="thinThickThinLargeGap" w:sz="24" w:space="0" w:color="auto"/>
            </w:tcBorders>
            <w:noWrap/>
            <w:vAlign w:val="center"/>
            <w:hideMark/>
          </w:tcPr>
          <w:p w14:paraId="11EA95DD" w14:textId="77777777" w:rsidR="009F052E" w:rsidRPr="00911C5B" w:rsidRDefault="009F052E" w:rsidP="00A175A4">
            <w:pPr>
              <w:jc w:val="center"/>
              <w:rPr>
                <w:rFonts w:ascii="Arial Narrow" w:hAnsi="Arial Narrow"/>
              </w:rPr>
            </w:pPr>
            <w:r w:rsidRPr="00911C5B">
              <w:rPr>
                <w:rFonts w:ascii="Arial Narrow" w:hAnsi="Arial Narrow"/>
              </w:rPr>
              <w:t>-0.005</w:t>
            </w:r>
          </w:p>
        </w:tc>
        <w:tc>
          <w:tcPr>
            <w:tcW w:w="2069" w:type="dxa"/>
            <w:tcBorders>
              <w:left w:val="thinThickThinLargeGap" w:sz="24" w:space="0" w:color="auto"/>
            </w:tcBorders>
          </w:tcPr>
          <w:p w14:paraId="11EA95DE" w14:textId="77777777" w:rsidR="009F052E" w:rsidRPr="00911C5B" w:rsidRDefault="009F052E" w:rsidP="00A175A4">
            <w:pPr>
              <w:jc w:val="left"/>
              <w:rPr>
                <w:rFonts w:ascii="Arial Narrow" w:hAnsi="Arial Narrow"/>
                <w:i/>
              </w:rPr>
            </w:pPr>
          </w:p>
        </w:tc>
        <w:tc>
          <w:tcPr>
            <w:tcW w:w="766" w:type="dxa"/>
          </w:tcPr>
          <w:p w14:paraId="11EA95DF" w14:textId="77777777" w:rsidR="009F052E" w:rsidRPr="00911C5B" w:rsidRDefault="009F052E" w:rsidP="00A175A4">
            <w:pPr>
              <w:jc w:val="left"/>
              <w:rPr>
                <w:rFonts w:ascii="Arial Narrow" w:hAnsi="Arial Narrow"/>
              </w:rPr>
            </w:pPr>
          </w:p>
        </w:tc>
        <w:tc>
          <w:tcPr>
            <w:tcW w:w="851" w:type="dxa"/>
          </w:tcPr>
          <w:p w14:paraId="11EA95E0" w14:textId="77777777" w:rsidR="009F052E" w:rsidRPr="00911C5B" w:rsidRDefault="009F052E" w:rsidP="00A175A4">
            <w:pPr>
              <w:jc w:val="left"/>
              <w:rPr>
                <w:rFonts w:ascii="Arial Narrow" w:hAnsi="Arial Narrow"/>
              </w:rPr>
            </w:pPr>
          </w:p>
        </w:tc>
      </w:tr>
      <w:tr w:rsidR="009F052E" w:rsidRPr="00911C5B" w14:paraId="11EA95E8" w14:textId="77777777" w:rsidTr="00A175A4">
        <w:trPr>
          <w:trHeight w:val="255"/>
        </w:trPr>
        <w:tc>
          <w:tcPr>
            <w:tcW w:w="2093" w:type="dxa"/>
            <w:noWrap/>
            <w:hideMark/>
          </w:tcPr>
          <w:p w14:paraId="11EA95E2" w14:textId="77777777" w:rsidR="009F052E" w:rsidRPr="00911C5B" w:rsidRDefault="009F052E" w:rsidP="00A175A4">
            <w:pPr>
              <w:jc w:val="left"/>
              <w:rPr>
                <w:rFonts w:ascii="Arial Narrow" w:hAnsi="Arial Narrow"/>
                <w:i/>
              </w:rPr>
            </w:pPr>
            <w:r w:rsidRPr="00911C5B">
              <w:rPr>
                <w:rFonts w:ascii="Arial Narrow" w:hAnsi="Arial Narrow"/>
              </w:rPr>
              <w:t xml:space="preserve">Submassive </w:t>
            </w:r>
            <w:r w:rsidRPr="00911C5B">
              <w:rPr>
                <w:rFonts w:ascii="Arial Narrow" w:hAnsi="Arial Narrow"/>
                <w:i/>
              </w:rPr>
              <w:t>Acropora</w:t>
            </w:r>
          </w:p>
        </w:tc>
        <w:tc>
          <w:tcPr>
            <w:tcW w:w="850" w:type="dxa"/>
            <w:noWrap/>
            <w:vAlign w:val="center"/>
            <w:hideMark/>
          </w:tcPr>
          <w:p w14:paraId="11EA95E3" w14:textId="77777777" w:rsidR="009F052E" w:rsidRPr="00911C5B" w:rsidRDefault="009F052E" w:rsidP="00A175A4">
            <w:pPr>
              <w:jc w:val="center"/>
              <w:rPr>
                <w:rFonts w:ascii="Arial Narrow" w:hAnsi="Arial Narrow"/>
              </w:rPr>
            </w:pPr>
            <w:r w:rsidRPr="00911C5B">
              <w:rPr>
                <w:rFonts w:ascii="Arial Narrow" w:hAnsi="Arial Narrow"/>
              </w:rPr>
              <w:t>0.043</w:t>
            </w:r>
          </w:p>
        </w:tc>
        <w:tc>
          <w:tcPr>
            <w:tcW w:w="851" w:type="dxa"/>
            <w:tcBorders>
              <w:right w:val="thinThickThinLargeGap" w:sz="24" w:space="0" w:color="auto"/>
            </w:tcBorders>
            <w:noWrap/>
            <w:vAlign w:val="center"/>
            <w:hideMark/>
          </w:tcPr>
          <w:p w14:paraId="11EA95E4" w14:textId="77777777" w:rsidR="009F052E" w:rsidRPr="00911C5B" w:rsidRDefault="009F052E" w:rsidP="00A175A4">
            <w:pPr>
              <w:jc w:val="center"/>
              <w:rPr>
                <w:rFonts w:ascii="Arial Narrow" w:hAnsi="Arial Narrow"/>
              </w:rPr>
            </w:pPr>
            <w:r w:rsidRPr="00911C5B">
              <w:rPr>
                <w:rFonts w:ascii="Arial Narrow" w:hAnsi="Arial Narrow"/>
              </w:rPr>
              <w:t>-0.004</w:t>
            </w:r>
          </w:p>
        </w:tc>
        <w:tc>
          <w:tcPr>
            <w:tcW w:w="2069" w:type="dxa"/>
            <w:tcBorders>
              <w:left w:val="thinThickThinLargeGap" w:sz="24" w:space="0" w:color="auto"/>
            </w:tcBorders>
          </w:tcPr>
          <w:p w14:paraId="11EA95E5" w14:textId="77777777" w:rsidR="009F052E" w:rsidRPr="00911C5B" w:rsidRDefault="009F052E" w:rsidP="00A175A4">
            <w:pPr>
              <w:jc w:val="left"/>
              <w:rPr>
                <w:rFonts w:ascii="Arial Narrow" w:hAnsi="Arial Narrow"/>
                <w:i/>
              </w:rPr>
            </w:pPr>
          </w:p>
        </w:tc>
        <w:tc>
          <w:tcPr>
            <w:tcW w:w="766" w:type="dxa"/>
          </w:tcPr>
          <w:p w14:paraId="11EA95E6" w14:textId="77777777" w:rsidR="009F052E" w:rsidRPr="00911C5B" w:rsidRDefault="009F052E" w:rsidP="00A175A4">
            <w:pPr>
              <w:jc w:val="left"/>
              <w:rPr>
                <w:rFonts w:ascii="Arial Narrow" w:hAnsi="Arial Narrow"/>
              </w:rPr>
            </w:pPr>
          </w:p>
        </w:tc>
        <w:tc>
          <w:tcPr>
            <w:tcW w:w="851" w:type="dxa"/>
          </w:tcPr>
          <w:p w14:paraId="11EA95E7" w14:textId="77777777" w:rsidR="009F052E" w:rsidRPr="00911C5B" w:rsidRDefault="009F052E" w:rsidP="00A175A4">
            <w:pPr>
              <w:jc w:val="left"/>
              <w:rPr>
                <w:rFonts w:ascii="Arial Narrow" w:hAnsi="Arial Narrow"/>
              </w:rPr>
            </w:pPr>
          </w:p>
        </w:tc>
      </w:tr>
      <w:tr w:rsidR="009F052E" w:rsidRPr="00911C5B" w14:paraId="11EA95EF" w14:textId="77777777" w:rsidTr="00A175A4">
        <w:trPr>
          <w:trHeight w:val="255"/>
        </w:trPr>
        <w:tc>
          <w:tcPr>
            <w:tcW w:w="2093" w:type="dxa"/>
            <w:noWrap/>
          </w:tcPr>
          <w:p w14:paraId="11EA95E9" w14:textId="77777777" w:rsidR="009F052E" w:rsidRPr="00911C5B" w:rsidRDefault="009F052E" w:rsidP="00A175A4">
            <w:pPr>
              <w:jc w:val="left"/>
              <w:rPr>
                <w:rFonts w:ascii="Arial Narrow" w:hAnsi="Arial Narrow"/>
                <w:i/>
              </w:rPr>
            </w:pPr>
            <w:r w:rsidRPr="00911C5B">
              <w:rPr>
                <w:rFonts w:ascii="Arial Narrow" w:hAnsi="Arial Narrow"/>
                <w:i/>
              </w:rPr>
              <w:t>Halomitra *</w:t>
            </w:r>
          </w:p>
        </w:tc>
        <w:tc>
          <w:tcPr>
            <w:tcW w:w="850" w:type="dxa"/>
            <w:noWrap/>
            <w:vAlign w:val="center"/>
          </w:tcPr>
          <w:p w14:paraId="11EA95EA" w14:textId="77777777" w:rsidR="009F052E" w:rsidRPr="00911C5B" w:rsidRDefault="009F052E" w:rsidP="00A175A4">
            <w:pPr>
              <w:jc w:val="center"/>
              <w:rPr>
                <w:rFonts w:ascii="Arial Narrow" w:hAnsi="Arial Narrow"/>
              </w:rPr>
            </w:pPr>
          </w:p>
        </w:tc>
        <w:tc>
          <w:tcPr>
            <w:tcW w:w="851" w:type="dxa"/>
            <w:tcBorders>
              <w:right w:val="thinThickThinLargeGap" w:sz="24" w:space="0" w:color="auto"/>
            </w:tcBorders>
            <w:noWrap/>
            <w:vAlign w:val="center"/>
          </w:tcPr>
          <w:p w14:paraId="11EA95EB" w14:textId="77777777" w:rsidR="009F052E" w:rsidRPr="00911C5B" w:rsidRDefault="009F052E" w:rsidP="00A175A4">
            <w:pPr>
              <w:jc w:val="center"/>
              <w:rPr>
                <w:rFonts w:ascii="Arial Narrow" w:hAnsi="Arial Narrow"/>
              </w:rPr>
            </w:pPr>
            <w:r w:rsidRPr="00911C5B">
              <w:rPr>
                <w:rFonts w:ascii="Arial Narrow" w:hAnsi="Arial Narrow"/>
              </w:rPr>
              <w:t>-0.002</w:t>
            </w:r>
          </w:p>
        </w:tc>
        <w:tc>
          <w:tcPr>
            <w:tcW w:w="2069" w:type="dxa"/>
            <w:tcBorders>
              <w:left w:val="thinThickThinLargeGap" w:sz="24" w:space="0" w:color="auto"/>
            </w:tcBorders>
          </w:tcPr>
          <w:p w14:paraId="11EA95EC" w14:textId="77777777" w:rsidR="009F052E" w:rsidRPr="00911C5B" w:rsidRDefault="009F052E" w:rsidP="00A175A4">
            <w:pPr>
              <w:jc w:val="left"/>
              <w:rPr>
                <w:rFonts w:ascii="Arial Narrow" w:hAnsi="Arial Narrow"/>
                <w:i/>
              </w:rPr>
            </w:pPr>
          </w:p>
        </w:tc>
        <w:tc>
          <w:tcPr>
            <w:tcW w:w="766" w:type="dxa"/>
          </w:tcPr>
          <w:p w14:paraId="11EA95ED" w14:textId="77777777" w:rsidR="009F052E" w:rsidRPr="00911C5B" w:rsidRDefault="009F052E" w:rsidP="00A175A4">
            <w:pPr>
              <w:jc w:val="left"/>
              <w:rPr>
                <w:rFonts w:ascii="Arial Narrow" w:hAnsi="Arial Narrow"/>
              </w:rPr>
            </w:pPr>
          </w:p>
        </w:tc>
        <w:tc>
          <w:tcPr>
            <w:tcW w:w="851" w:type="dxa"/>
          </w:tcPr>
          <w:p w14:paraId="11EA95EE" w14:textId="77777777" w:rsidR="009F052E" w:rsidRPr="00911C5B" w:rsidRDefault="009F052E" w:rsidP="00A175A4">
            <w:pPr>
              <w:jc w:val="left"/>
              <w:rPr>
                <w:rFonts w:ascii="Arial Narrow" w:hAnsi="Arial Narrow"/>
              </w:rPr>
            </w:pPr>
          </w:p>
        </w:tc>
      </w:tr>
      <w:tr w:rsidR="009F052E" w:rsidRPr="00911C5B" w14:paraId="11EA95F6" w14:textId="77777777" w:rsidTr="00A175A4">
        <w:trPr>
          <w:trHeight w:val="255"/>
        </w:trPr>
        <w:tc>
          <w:tcPr>
            <w:tcW w:w="2093" w:type="dxa"/>
            <w:noWrap/>
          </w:tcPr>
          <w:p w14:paraId="11EA95F0" w14:textId="77777777" w:rsidR="009F052E" w:rsidRPr="00911C5B" w:rsidRDefault="009F052E" w:rsidP="00A175A4">
            <w:pPr>
              <w:jc w:val="left"/>
              <w:rPr>
                <w:rFonts w:ascii="Arial Narrow" w:hAnsi="Arial Narrow"/>
                <w:i/>
              </w:rPr>
            </w:pPr>
            <w:r w:rsidRPr="00911C5B">
              <w:rPr>
                <w:rFonts w:ascii="Arial Narrow" w:hAnsi="Arial Narrow"/>
                <w:i/>
              </w:rPr>
              <w:t>Plerogyra</w:t>
            </w:r>
          </w:p>
        </w:tc>
        <w:tc>
          <w:tcPr>
            <w:tcW w:w="850" w:type="dxa"/>
            <w:noWrap/>
            <w:vAlign w:val="center"/>
          </w:tcPr>
          <w:p w14:paraId="11EA95F1" w14:textId="77777777" w:rsidR="009F052E" w:rsidRPr="00911C5B" w:rsidRDefault="009F052E" w:rsidP="00A175A4">
            <w:pPr>
              <w:jc w:val="center"/>
              <w:rPr>
                <w:rFonts w:ascii="Arial Narrow" w:hAnsi="Arial Narrow"/>
              </w:rPr>
            </w:pPr>
            <w:r w:rsidRPr="00911C5B">
              <w:rPr>
                <w:rFonts w:ascii="Arial Narrow" w:hAnsi="Arial Narrow"/>
              </w:rPr>
              <w:t>0.002</w:t>
            </w:r>
          </w:p>
        </w:tc>
        <w:tc>
          <w:tcPr>
            <w:tcW w:w="851" w:type="dxa"/>
            <w:tcBorders>
              <w:right w:val="thinThickThinLargeGap" w:sz="24" w:space="0" w:color="auto"/>
            </w:tcBorders>
            <w:noWrap/>
            <w:vAlign w:val="center"/>
          </w:tcPr>
          <w:p w14:paraId="11EA95F2" w14:textId="77777777" w:rsidR="009F052E" w:rsidRPr="00911C5B" w:rsidRDefault="009F052E" w:rsidP="00A175A4">
            <w:pPr>
              <w:jc w:val="center"/>
              <w:rPr>
                <w:rFonts w:ascii="Arial Narrow" w:hAnsi="Arial Narrow"/>
              </w:rPr>
            </w:pPr>
            <w:r w:rsidRPr="00911C5B">
              <w:rPr>
                <w:rFonts w:ascii="Arial Narrow" w:hAnsi="Arial Narrow"/>
              </w:rPr>
              <w:t>-0.001</w:t>
            </w:r>
          </w:p>
        </w:tc>
        <w:tc>
          <w:tcPr>
            <w:tcW w:w="2069" w:type="dxa"/>
            <w:tcBorders>
              <w:left w:val="thinThickThinLargeGap" w:sz="24" w:space="0" w:color="auto"/>
            </w:tcBorders>
          </w:tcPr>
          <w:p w14:paraId="11EA95F3" w14:textId="77777777" w:rsidR="009F052E" w:rsidRPr="00911C5B" w:rsidRDefault="009F052E" w:rsidP="00A175A4">
            <w:pPr>
              <w:jc w:val="left"/>
              <w:rPr>
                <w:rFonts w:ascii="Arial Narrow" w:hAnsi="Arial Narrow"/>
                <w:i/>
              </w:rPr>
            </w:pPr>
          </w:p>
        </w:tc>
        <w:tc>
          <w:tcPr>
            <w:tcW w:w="766" w:type="dxa"/>
          </w:tcPr>
          <w:p w14:paraId="11EA95F4" w14:textId="77777777" w:rsidR="009F052E" w:rsidRPr="00911C5B" w:rsidRDefault="009F052E" w:rsidP="00A175A4">
            <w:pPr>
              <w:jc w:val="left"/>
              <w:rPr>
                <w:rFonts w:ascii="Arial Narrow" w:hAnsi="Arial Narrow"/>
              </w:rPr>
            </w:pPr>
          </w:p>
        </w:tc>
        <w:tc>
          <w:tcPr>
            <w:tcW w:w="851" w:type="dxa"/>
          </w:tcPr>
          <w:p w14:paraId="11EA95F5" w14:textId="77777777" w:rsidR="009F052E" w:rsidRPr="00911C5B" w:rsidRDefault="009F052E" w:rsidP="00A175A4">
            <w:pPr>
              <w:jc w:val="left"/>
              <w:rPr>
                <w:rFonts w:ascii="Arial Narrow" w:hAnsi="Arial Narrow"/>
              </w:rPr>
            </w:pPr>
          </w:p>
        </w:tc>
      </w:tr>
      <w:tr w:rsidR="009F052E" w:rsidRPr="00911C5B" w14:paraId="11EA95FD" w14:textId="77777777" w:rsidTr="00A175A4">
        <w:trPr>
          <w:trHeight w:val="255"/>
        </w:trPr>
        <w:tc>
          <w:tcPr>
            <w:tcW w:w="2093" w:type="dxa"/>
            <w:noWrap/>
          </w:tcPr>
          <w:p w14:paraId="11EA95F7" w14:textId="77777777" w:rsidR="009F052E" w:rsidRPr="00911C5B" w:rsidRDefault="009F052E" w:rsidP="00A175A4">
            <w:pPr>
              <w:jc w:val="left"/>
              <w:rPr>
                <w:rFonts w:ascii="Arial Narrow" w:hAnsi="Arial Narrow"/>
                <w:i/>
              </w:rPr>
            </w:pPr>
            <w:r w:rsidRPr="00911C5B">
              <w:rPr>
                <w:rFonts w:ascii="Arial Narrow" w:hAnsi="Arial Narrow"/>
                <w:i/>
              </w:rPr>
              <w:t>Lithophyllon*</w:t>
            </w:r>
          </w:p>
        </w:tc>
        <w:tc>
          <w:tcPr>
            <w:tcW w:w="850" w:type="dxa"/>
            <w:noWrap/>
            <w:vAlign w:val="center"/>
          </w:tcPr>
          <w:p w14:paraId="11EA95F8" w14:textId="77777777" w:rsidR="009F052E" w:rsidRPr="00911C5B" w:rsidRDefault="009F052E" w:rsidP="00A175A4">
            <w:pPr>
              <w:jc w:val="center"/>
              <w:rPr>
                <w:rFonts w:ascii="Arial Narrow" w:hAnsi="Arial Narrow"/>
              </w:rPr>
            </w:pPr>
          </w:p>
        </w:tc>
        <w:tc>
          <w:tcPr>
            <w:tcW w:w="851" w:type="dxa"/>
            <w:tcBorders>
              <w:right w:val="thinThickThinLargeGap" w:sz="24" w:space="0" w:color="auto"/>
            </w:tcBorders>
            <w:noWrap/>
            <w:vAlign w:val="center"/>
          </w:tcPr>
          <w:p w14:paraId="11EA95F9" w14:textId="77777777" w:rsidR="009F052E" w:rsidRPr="00911C5B" w:rsidRDefault="009F052E" w:rsidP="00A175A4">
            <w:pPr>
              <w:jc w:val="center"/>
              <w:rPr>
                <w:rFonts w:ascii="Arial Narrow" w:hAnsi="Arial Narrow"/>
              </w:rPr>
            </w:pPr>
            <w:r w:rsidRPr="00911C5B">
              <w:rPr>
                <w:rFonts w:ascii="Arial Narrow" w:hAnsi="Arial Narrow"/>
              </w:rPr>
              <w:t>-0.001</w:t>
            </w:r>
          </w:p>
        </w:tc>
        <w:tc>
          <w:tcPr>
            <w:tcW w:w="2069" w:type="dxa"/>
            <w:tcBorders>
              <w:left w:val="thinThickThinLargeGap" w:sz="24" w:space="0" w:color="auto"/>
            </w:tcBorders>
          </w:tcPr>
          <w:p w14:paraId="11EA95FA" w14:textId="77777777" w:rsidR="009F052E" w:rsidRPr="00911C5B" w:rsidRDefault="009F052E" w:rsidP="00A175A4">
            <w:pPr>
              <w:jc w:val="left"/>
              <w:rPr>
                <w:rFonts w:ascii="Arial Narrow" w:hAnsi="Arial Narrow"/>
                <w:i/>
              </w:rPr>
            </w:pPr>
          </w:p>
        </w:tc>
        <w:tc>
          <w:tcPr>
            <w:tcW w:w="766" w:type="dxa"/>
          </w:tcPr>
          <w:p w14:paraId="11EA95FB" w14:textId="77777777" w:rsidR="009F052E" w:rsidRPr="00911C5B" w:rsidRDefault="009F052E" w:rsidP="00A175A4">
            <w:pPr>
              <w:jc w:val="left"/>
              <w:rPr>
                <w:rFonts w:ascii="Arial Narrow" w:hAnsi="Arial Narrow"/>
              </w:rPr>
            </w:pPr>
          </w:p>
        </w:tc>
        <w:tc>
          <w:tcPr>
            <w:tcW w:w="851" w:type="dxa"/>
          </w:tcPr>
          <w:p w14:paraId="11EA95FC" w14:textId="77777777" w:rsidR="009F052E" w:rsidRPr="00911C5B" w:rsidRDefault="009F052E" w:rsidP="00A175A4">
            <w:pPr>
              <w:jc w:val="left"/>
              <w:rPr>
                <w:rFonts w:ascii="Arial Narrow" w:hAnsi="Arial Narrow"/>
              </w:rPr>
            </w:pPr>
          </w:p>
        </w:tc>
      </w:tr>
      <w:tr w:rsidR="009F052E" w:rsidRPr="00911C5B" w14:paraId="11EA9604" w14:textId="77777777" w:rsidTr="00A175A4">
        <w:trPr>
          <w:trHeight w:val="255"/>
        </w:trPr>
        <w:tc>
          <w:tcPr>
            <w:tcW w:w="2093" w:type="dxa"/>
            <w:noWrap/>
          </w:tcPr>
          <w:p w14:paraId="11EA95FE" w14:textId="77777777" w:rsidR="009F052E" w:rsidRPr="00911C5B" w:rsidRDefault="009F052E" w:rsidP="00A175A4">
            <w:pPr>
              <w:jc w:val="left"/>
              <w:rPr>
                <w:rFonts w:ascii="Arial Narrow" w:hAnsi="Arial Narrow"/>
                <w:i/>
              </w:rPr>
            </w:pPr>
            <w:r w:rsidRPr="00911C5B">
              <w:rPr>
                <w:rFonts w:ascii="Arial Narrow" w:hAnsi="Arial Narrow"/>
                <w:i/>
              </w:rPr>
              <w:t>Tubastrea*</w:t>
            </w:r>
          </w:p>
        </w:tc>
        <w:tc>
          <w:tcPr>
            <w:tcW w:w="850" w:type="dxa"/>
            <w:noWrap/>
            <w:vAlign w:val="center"/>
          </w:tcPr>
          <w:p w14:paraId="11EA95FF" w14:textId="77777777" w:rsidR="009F052E" w:rsidRPr="00911C5B" w:rsidRDefault="009F052E" w:rsidP="00A175A4">
            <w:pPr>
              <w:jc w:val="center"/>
              <w:rPr>
                <w:rFonts w:ascii="Arial Narrow" w:hAnsi="Arial Narrow"/>
              </w:rPr>
            </w:pPr>
            <w:r w:rsidRPr="00911C5B">
              <w:rPr>
                <w:rFonts w:ascii="Arial Narrow" w:hAnsi="Arial Narrow"/>
              </w:rPr>
              <w:t>0.005</w:t>
            </w:r>
          </w:p>
        </w:tc>
        <w:tc>
          <w:tcPr>
            <w:tcW w:w="851" w:type="dxa"/>
            <w:tcBorders>
              <w:right w:val="thinThickThinLargeGap" w:sz="24" w:space="0" w:color="auto"/>
            </w:tcBorders>
            <w:noWrap/>
            <w:vAlign w:val="center"/>
          </w:tcPr>
          <w:p w14:paraId="11EA9600" w14:textId="77777777" w:rsidR="009F052E" w:rsidRPr="00911C5B" w:rsidRDefault="009F052E" w:rsidP="00A175A4">
            <w:pPr>
              <w:jc w:val="center"/>
              <w:rPr>
                <w:rFonts w:ascii="Arial Narrow" w:hAnsi="Arial Narrow"/>
              </w:rPr>
            </w:pPr>
            <w:r w:rsidRPr="00911C5B">
              <w:rPr>
                <w:rFonts w:ascii="Arial Narrow" w:hAnsi="Arial Narrow"/>
              </w:rPr>
              <w:t>-0.000</w:t>
            </w:r>
          </w:p>
        </w:tc>
        <w:tc>
          <w:tcPr>
            <w:tcW w:w="2069" w:type="dxa"/>
            <w:tcBorders>
              <w:left w:val="thinThickThinLargeGap" w:sz="24" w:space="0" w:color="auto"/>
            </w:tcBorders>
          </w:tcPr>
          <w:p w14:paraId="11EA9601" w14:textId="77777777" w:rsidR="009F052E" w:rsidRPr="00911C5B" w:rsidRDefault="009F052E" w:rsidP="00A175A4">
            <w:pPr>
              <w:jc w:val="left"/>
              <w:rPr>
                <w:rFonts w:ascii="Arial Narrow" w:hAnsi="Arial Narrow"/>
                <w:i/>
              </w:rPr>
            </w:pPr>
          </w:p>
        </w:tc>
        <w:tc>
          <w:tcPr>
            <w:tcW w:w="766" w:type="dxa"/>
          </w:tcPr>
          <w:p w14:paraId="11EA9602" w14:textId="77777777" w:rsidR="009F052E" w:rsidRPr="00911C5B" w:rsidRDefault="009F052E" w:rsidP="00A175A4">
            <w:pPr>
              <w:jc w:val="left"/>
              <w:rPr>
                <w:rFonts w:ascii="Arial Narrow" w:hAnsi="Arial Narrow"/>
              </w:rPr>
            </w:pPr>
          </w:p>
        </w:tc>
        <w:tc>
          <w:tcPr>
            <w:tcW w:w="851" w:type="dxa"/>
          </w:tcPr>
          <w:p w14:paraId="11EA9603" w14:textId="77777777" w:rsidR="009F052E" w:rsidRPr="00911C5B" w:rsidRDefault="009F052E" w:rsidP="00A175A4">
            <w:pPr>
              <w:jc w:val="left"/>
              <w:rPr>
                <w:rFonts w:ascii="Arial Narrow" w:hAnsi="Arial Narrow"/>
              </w:rPr>
            </w:pPr>
          </w:p>
        </w:tc>
      </w:tr>
    </w:tbl>
    <w:p w14:paraId="11EA9605" w14:textId="77777777" w:rsidR="00C83247" w:rsidRDefault="00C83247" w:rsidP="009F052E">
      <w:pPr>
        <w:keepNext/>
        <w:spacing w:after="0"/>
        <w:jc w:val="left"/>
        <w:sectPr w:rsidR="00C83247" w:rsidSect="00C83247">
          <w:footerReference w:type="default" r:id="rId73"/>
          <w:pgSz w:w="11907" w:h="16840" w:code="9"/>
          <w:pgMar w:top="1440" w:right="1134" w:bottom="1440" w:left="1134" w:header="709" w:footer="709" w:gutter="0"/>
          <w:cols w:space="708"/>
          <w:docGrid w:linePitch="360"/>
        </w:sectPr>
      </w:pPr>
    </w:p>
    <w:p w14:paraId="11EA9606" w14:textId="33CC05A4" w:rsidR="00D05896" w:rsidRPr="00E53765" w:rsidRDefault="00583793" w:rsidP="00583793">
      <w:pPr>
        <w:pStyle w:val="Caption"/>
        <w:rPr>
          <w:color w:val="000000" w:themeColor="text1"/>
        </w:rPr>
      </w:pPr>
      <w:bookmarkStart w:id="356" w:name="_Ref460423784"/>
      <w:bookmarkStart w:id="357" w:name="_Toc430267650"/>
      <w:bookmarkStart w:id="358" w:name="_Toc437424462"/>
      <w:bookmarkStart w:id="359" w:name="_Toc437424586"/>
      <w:bookmarkStart w:id="360" w:name="_Toc437432515"/>
      <w:bookmarkStart w:id="361" w:name="_Toc471373379"/>
      <w:r>
        <w:t xml:space="preserve">Table A1. </w:t>
      </w:r>
      <w:r>
        <w:fldChar w:fldCharType="begin"/>
      </w:r>
      <w:r>
        <w:instrText xml:space="preserve"> SEQ Table_A1. \* ARABIC </w:instrText>
      </w:r>
      <w:r>
        <w:fldChar w:fldCharType="separate"/>
      </w:r>
      <w:r w:rsidR="00D806F2">
        <w:rPr>
          <w:noProof/>
        </w:rPr>
        <w:t>3</w:t>
      </w:r>
      <w:r>
        <w:fldChar w:fldCharType="end"/>
      </w:r>
      <w:r>
        <w:t xml:space="preserve"> </w:t>
      </w:r>
      <w:r w:rsidRPr="00E168BA">
        <w:t>Annual freshwater discharge for the major Reef Catchments</w:t>
      </w:r>
      <w:r>
        <w:t xml:space="preserve">. </w:t>
      </w:r>
      <w:bookmarkEnd w:id="356"/>
      <w:bookmarkEnd w:id="357"/>
      <w:bookmarkEnd w:id="358"/>
      <w:bookmarkEnd w:id="359"/>
      <w:bookmarkEnd w:id="360"/>
      <w:r w:rsidR="008D4365" w:rsidRPr="00E53765">
        <w:rPr>
          <w:rStyle w:val="IntenseReference"/>
          <w:rFonts w:eastAsia="SimSun"/>
          <w:bCs w:val="0"/>
          <w:szCs w:val="24"/>
        </w:rPr>
        <w:t xml:space="preserve">Values represented as proportional to the median (1986-2016). Flows corrected for ungauged area of catchments as per Waterhouse </w:t>
      </w:r>
      <w:r w:rsidR="008D4365" w:rsidRPr="00713F82">
        <w:rPr>
          <w:rStyle w:val="IntenseReference"/>
          <w:rFonts w:eastAsia="SimSun"/>
          <w:bCs w:val="0"/>
          <w:i/>
          <w:szCs w:val="24"/>
        </w:rPr>
        <w:t>et al</w:t>
      </w:r>
      <w:r w:rsidR="008D4365" w:rsidRPr="00E53765">
        <w:rPr>
          <w:rStyle w:val="IntenseReference"/>
          <w:rFonts w:eastAsia="SimSun"/>
          <w:bCs w:val="0"/>
          <w:szCs w:val="24"/>
        </w:rPr>
        <w:t xml:space="preserve">. 2017. </w:t>
      </w:r>
      <w:r w:rsidR="00A141C0" w:rsidRPr="00E53765">
        <w:rPr>
          <w:rStyle w:val="IntenseReference"/>
          <w:rFonts w:eastAsia="SimSun"/>
          <w:bCs w:val="0"/>
          <w:szCs w:val="24"/>
        </w:rPr>
        <w:t>L</w:t>
      </w:r>
      <w:r w:rsidR="008D4365" w:rsidRPr="00E53765">
        <w:rPr>
          <w:rStyle w:val="IntenseReference"/>
          <w:rFonts w:eastAsia="SimSun"/>
          <w:bCs w:val="0"/>
          <w:szCs w:val="24"/>
        </w:rPr>
        <w:t>evel</w:t>
      </w:r>
      <w:r w:rsidR="00A141C0" w:rsidRPr="00E53765">
        <w:rPr>
          <w:rStyle w:val="IntenseReference"/>
          <w:rFonts w:eastAsia="SimSun"/>
          <w:bCs w:val="0"/>
          <w:szCs w:val="24"/>
        </w:rPr>
        <w:t>s</w:t>
      </w:r>
      <w:r w:rsidR="008D4365" w:rsidRPr="00E53765">
        <w:rPr>
          <w:rStyle w:val="IntenseReference"/>
          <w:rFonts w:eastAsia="SimSun"/>
          <w:bCs w:val="0"/>
          <w:szCs w:val="24"/>
        </w:rPr>
        <w:t xml:space="preserve"> of exceedance of median flow</w:t>
      </w:r>
      <w:r w:rsidR="00A141C0" w:rsidRPr="00E53765">
        <w:rPr>
          <w:rStyle w:val="IntenseReference"/>
          <w:rFonts w:eastAsia="SimSun"/>
          <w:bCs w:val="0"/>
          <w:szCs w:val="24"/>
        </w:rPr>
        <w:t xml:space="preserve"> expressed as multiples of median flow: Yellow = 1.5-1.9, Orange = 2.0-2.9, Red = 3.0 and above</w:t>
      </w:r>
      <w:bookmarkEnd w:id="361"/>
    </w:p>
    <w:tbl>
      <w:tblPr>
        <w:tblW w:w="12985" w:type="dxa"/>
        <w:tblLayout w:type="fixed"/>
        <w:tblCellMar>
          <w:left w:w="0" w:type="dxa"/>
          <w:right w:w="0" w:type="dxa"/>
        </w:tblCellMar>
        <w:tblLook w:val="04A0" w:firstRow="1" w:lastRow="0" w:firstColumn="1" w:lastColumn="0" w:noHBand="0" w:noVBand="1"/>
      </w:tblPr>
      <w:tblGrid>
        <w:gridCol w:w="1295"/>
        <w:gridCol w:w="2215"/>
        <w:gridCol w:w="851"/>
        <w:gridCol w:w="539"/>
        <w:gridCol w:w="539"/>
        <w:gridCol w:w="539"/>
        <w:gridCol w:w="539"/>
        <w:gridCol w:w="539"/>
        <w:gridCol w:w="539"/>
        <w:gridCol w:w="539"/>
        <w:gridCol w:w="539"/>
        <w:gridCol w:w="539"/>
        <w:gridCol w:w="539"/>
        <w:gridCol w:w="539"/>
        <w:gridCol w:w="539"/>
        <w:gridCol w:w="539"/>
        <w:gridCol w:w="539"/>
        <w:gridCol w:w="539"/>
        <w:gridCol w:w="539"/>
      </w:tblGrid>
      <w:tr w:rsidR="00126823" w:rsidRPr="00E53765" w14:paraId="11EA961A" w14:textId="77777777" w:rsidTr="003A0941">
        <w:trPr>
          <w:tblHeader/>
        </w:trPr>
        <w:tc>
          <w:tcPr>
            <w:tcW w:w="1295"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07" w14:textId="77777777" w:rsidR="00126823" w:rsidRPr="00E53765" w:rsidRDefault="00126823" w:rsidP="003E78FD">
            <w:pPr>
              <w:rPr>
                <w:color w:val="000000" w:themeColor="text1"/>
              </w:rPr>
            </w:pPr>
            <w:r w:rsidRPr="00E53765">
              <w:rPr>
                <w:rFonts w:ascii="Arial Narrow Bold" w:hAnsi="Arial Narrow Bold" w:cs="Arial Narrow Bold"/>
                <w:color w:val="000000" w:themeColor="text1"/>
                <w:sz w:val="16"/>
              </w:rPr>
              <w:t>Region</w:t>
            </w:r>
          </w:p>
        </w:tc>
        <w:tc>
          <w:tcPr>
            <w:tcW w:w="2215"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08" w14:textId="77777777" w:rsidR="00126823" w:rsidRPr="00E53765" w:rsidRDefault="00126823" w:rsidP="003E78FD">
            <w:pPr>
              <w:rPr>
                <w:color w:val="000000" w:themeColor="text1"/>
              </w:rPr>
            </w:pPr>
            <w:r w:rsidRPr="00E53765">
              <w:rPr>
                <w:rFonts w:ascii="Arial Narrow Bold" w:hAnsi="Arial Narrow Bold" w:cs="Arial Narrow Bold"/>
                <w:color w:val="000000" w:themeColor="text1"/>
                <w:sz w:val="16"/>
              </w:rPr>
              <w:t>River</w:t>
            </w:r>
          </w:p>
        </w:tc>
        <w:tc>
          <w:tcPr>
            <w:tcW w:w="851"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09" w14:textId="77777777" w:rsidR="00126823" w:rsidRPr="00E53765" w:rsidRDefault="00126823" w:rsidP="003E78FD">
            <w:pPr>
              <w:rPr>
                <w:color w:val="000000" w:themeColor="text1"/>
              </w:rPr>
            </w:pPr>
            <w:r w:rsidRPr="00E53765">
              <w:rPr>
                <w:rFonts w:ascii="Arial Narrow Bold" w:hAnsi="Arial Narrow Bold" w:cs="Arial Narrow Bold"/>
                <w:color w:val="000000" w:themeColor="text1"/>
                <w:sz w:val="16"/>
              </w:rPr>
              <w:t>Median</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0A" w14:textId="77777777" w:rsidR="00126823" w:rsidRPr="00E53765" w:rsidRDefault="00126823" w:rsidP="009149BF">
            <w:pPr>
              <w:jc w:val="center"/>
              <w:rPr>
                <w:color w:val="000000" w:themeColor="text1"/>
              </w:rPr>
            </w:pPr>
            <w:r w:rsidRPr="00E53765">
              <w:rPr>
                <w:rFonts w:ascii="Arial Narrow Bold" w:hAnsi="Arial Narrow Bold" w:cs="Arial Narrow Bold"/>
                <w:color w:val="000000" w:themeColor="text1"/>
                <w:sz w:val="16"/>
              </w:rPr>
              <w:t>2001</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0B" w14:textId="77777777" w:rsidR="00126823" w:rsidRPr="00E53765" w:rsidRDefault="00126823" w:rsidP="009149BF">
            <w:pPr>
              <w:jc w:val="center"/>
              <w:rPr>
                <w:color w:val="000000" w:themeColor="text1"/>
              </w:rPr>
            </w:pPr>
            <w:r w:rsidRPr="00E53765">
              <w:rPr>
                <w:rFonts w:ascii="Arial Narrow Bold" w:hAnsi="Arial Narrow Bold" w:cs="Arial Narrow Bold"/>
                <w:color w:val="000000" w:themeColor="text1"/>
                <w:sz w:val="16"/>
              </w:rPr>
              <w:t>2002</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0C" w14:textId="77777777" w:rsidR="00126823" w:rsidRPr="00E53765" w:rsidRDefault="00126823" w:rsidP="009149BF">
            <w:pPr>
              <w:jc w:val="center"/>
              <w:rPr>
                <w:color w:val="000000" w:themeColor="text1"/>
              </w:rPr>
            </w:pPr>
            <w:r w:rsidRPr="00E53765">
              <w:rPr>
                <w:rFonts w:ascii="Arial Narrow Bold" w:hAnsi="Arial Narrow Bold" w:cs="Arial Narrow Bold"/>
                <w:color w:val="000000" w:themeColor="text1"/>
                <w:sz w:val="16"/>
              </w:rPr>
              <w:t>2003</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0D" w14:textId="77777777" w:rsidR="00126823" w:rsidRPr="00E53765" w:rsidRDefault="00126823" w:rsidP="009149BF">
            <w:pPr>
              <w:jc w:val="center"/>
              <w:rPr>
                <w:color w:val="000000" w:themeColor="text1"/>
              </w:rPr>
            </w:pPr>
            <w:r w:rsidRPr="00E53765">
              <w:rPr>
                <w:rFonts w:ascii="Arial Narrow Bold" w:hAnsi="Arial Narrow Bold" w:cs="Arial Narrow Bold"/>
                <w:color w:val="000000" w:themeColor="text1"/>
                <w:sz w:val="16"/>
              </w:rPr>
              <w:t>2004</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0E" w14:textId="77777777" w:rsidR="00126823" w:rsidRPr="00E53765" w:rsidRDefault="00126823" w:rsidP="009149BF">
            <w:pPr>
              <w:jc w:val="center"/>
              <w:rPr>
                <w:color w:val="000000" w:themeColor="text1"/>
              </w:rPr>
            </w:pPr>
            <w:r w:rsidRPr="00E53765">
              <w:rPr>
                <w:rFonts w:ascii="Arial Narrow Bold" w:hAnsi="Arial Narrow Bold" w:cs="Arial Narrow Bold"/>
                <w:color w:val="000000" w:themeColor="text1"/>
                <w:sz w:val="16"/>
              </w:rPr>
              <w:t>2005</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0F" w14:textId="77777777" w:rsidR="00126823" w:rsidRPr="00E53765" w:rsidRDefault="00126823" w:rsidP="009149BF">
            <w:pPr>
              <w:jc w:val="center"/>
              <w:rPr>
                <w:color w:val="000000" w:themeColor="text1"/>
              </w:rPr>
            </w:pPr>
            <w:r w:rsidRPr="00E53765">
              <w:rPr>
                <w:rFonts w:ascii="Arial Narrow Bold" w:hAnsi="Arial Narrow Bold" w:cs="Arial Narrow Bold"/>
                <w:color w:val="000000" w:themeColor="text1"/>
                <w:sz w:val="16"/>
              </w:rPr>
              <w:t>2006</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10" w14:textId="77777777" w:rsidR="00126823" w:rsidRPr="00E53765" w:rsidRDefault="00126823" w:rsidP="009149BF">
            <w:pPr>
              <w:jc w:val="center"/>
              <w:rPr>
                <w:color w:val="000000" w:themeColor="text1"/>
              </w:rPr>
            </w:pPr>
            <w:r w:rsidRPr="00E53765">
              <w:rPr>
                <w:rFonts w:ascii="Arial Narrow Bold" w:hAnsi="Arial Narrow Bold" w:cs="Arial Narrow Bold"/>
                <w:color w:val="000000" w:themeColor="text1"/>
                <w:sz w:val="16"/>
              </w:rPr>
              <w:t>2007</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11" w14:textId="77777777" w:rsidR="00126823" w:rsidRPr="00E53765" w:rsidRDefault="00126823" w:rsidP="009149BF">
            <w:pPr>
              <w:jc w:val="center"/>
              <w:rPr>
                <w:color w:val="000000" w:themeColor="text1"/>
              </w:rPr>
            </w:pPr>
            <w:r w:rsidRPr="00E53765">
              <w:rPr>
                <w:rFonts w:ascii="Arial Narrow Bold" w:hAnsi="Arial Narrow Bold" w:cs="Arial Narrow Bold"/>
                <w:color w:val="000000" w:themeColor="text1"/>
                <w:sz w:val="16"/>
              </w:rPr>
              <w:t>2008</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12" w14:textId="77777777" w:rsidR="00126823" w:rsidRPr="00E53765" w:rsidRDefault="00126823" w:rsidP="009149BF">
            <w:pPr>
              <w:jc w:val="center"/>
              <w:rPr>
                <w:color w:val="000000" w:themeColor="text1"/>
              </w:rPr>
            </w:pPr>
            <w:r w:rsidRPr="00E53765">
              <w:rPr>
                <w:rFonts w:ascii="Arial Narrow Bold" w:hAnsi="Arial Narrow Bold" w:cs="Arial Narrow Bold"/>
                <w:color w:val="000000" w:themeColor="text1"/>
                <w:sz w:val="16"/>
              </w:rPr>
              <w:t>2009</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13" w14:textId="77777777" w:rsidR="00126823" w:rsidRPr="00E53765" w:rsidRDefault="00126823" w:rsidP="009149BF">
            <w:pPr>
              <w:jc w:val="center"/>
              <w:rPr>
                <w:color w:val="000000" w:themeColor="text1"/>
              </w:rPr>
            </w:pPr>
            <w:r w:rsidRPr="00E53765">
              <w:rPr>
                <w:rFonts w:ascii="Arial Narrow Bold" w:hAnsi="Arial Narrow Bold" w:cs="Arial Narrow Bold"/>
                <w:color w:val="000000" w:themeColor="text1"/>
                <w:sz w:val="16"/>
              </w:rPr>
              <w:t>2010</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14" w14:textId="77777777" w:rsidR="00126823" w:rsidRPr="00E53765" w:rsidRDefault="00126823" w:rsidP="009149BF">
            <w:pPr>
              <w:jc w:val="center"/>
              <w:rPr>
                <w:color w:val="000000" w:themeColor="text1"/>
              </w:rPr>
            </w:pPr>
            <w:r w:rsidRPr="00E53765">
              <w:rPr>
                <w:rFonts w:ascii="Arial Narrow Bold" w:hAnsi="Arial Narrow Bold" w:cs="Arial Narrow Bold"/>
                <w:color w:val="000000" w:themeColor="text1"/>
                <w:sz w:val="16"/>
              </w:rPr>
              <w:t>2011</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15" w14:textId="77777777" w:rsidR="00126823" w:rsidRPr="00E53765" w:rsidRDefault="00126823" w:rsidP="009149BF">
            <w:pPr>
              <w:jc w:val="center"/>
              <w:rPr>
                <w:color w:val="000000" w:themeColor="text1"/>
              </w:rPr>
            </w:pPr>
            <w:r w:rsidRPr="00E53765">
              <w:rPr>
                <w:rFonts w:ascii="Arial Narrow Bold" w:hAnsi="Arial Narrow Bold" w:cs="Arial Narrow Bold"/>
                <w:color w:val="000000" w:themeColor="text1"/>
                <w:sz w:val="16"/>
              </w:rPr>
              <w:t>2012</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16" w14:textId="77777777" w:rsidR="00126823" w:rsidRPr="00E53765" w:rsidRDefault="00126823" w:rsidP="009149BF">
            <w:pPr>
              <w:jc w:val="center"/>
              <w:rPr>
                <w:color w:val="000000" w:themeColor="text1"/>
              </w:rPr>
            </w:pPr>
            <w:r w:rsidRPr="00E53765">
              <w:rPr>
                <w:rFonts w:ascii="Arial Narrow Bold" w:hAnsi="Arial Narrow Bold" w:cs="Arial Narrow Bold"/>
                <w:color w:val="000000" w:themeColor="text1"/>
                <w:sz w:val="16"/>
              </w:rPr>
              <w:t>2013</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17" w14:textId="77777777" w:rsidR="00126823" w:rsidRPr="00E53765" w:rsidRDefault="00126823" w:rsidP="009149BF">
            <w:pPr>
              <w:jc w:val="center"/>
              <w:rPr>
                <w:color w:val="000000" w:themeColor="text1"/>
              </w:rPr>
            </w:pPr>
            <w:r w:rsidRPr="00E53765">
              <w:rPr>
                <w:rFonts w:ascii="Arial Narrow Bold" w:hAnsi="Arial Narrow Bold" w:cs="Arial Narrow Bold"/>
                <w:color w:val="000000" w:themeColor="text1"/>
                <w:sz w:val="16"/>
              </w:rPr>
              <w:t>2014</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18" w14:textId="77777777" w:rsidR="00126823" w:rsidRPr="00E53765" w:rsidRDefault="00126823" w:rsidP="009149BF">
            <w:pPr>
              <w:jc w:val="center"/>
              <w:rPr>
                <w:color w:val="000000" w:themeColor="text1"/>
              </w:rPr>
            </w:pPr>
            <w:r w:rsidRPr="00E53765">
              <w:rPr>
                <w:rFonts w:ascii="Arial Narrow Bold" w:hAnsi="Arial Narrow Bold" w:cs="Arial Narrow Bold"/>
                <w:color w:val="000000" w:themeColor="text1"/>
                <w:sz w:val="16"/>
              </w:rPr>
              <w:t>2015</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1EA9619" w14:textId="77777777" w:rsidR="00126823" w:rsidRPr="00E53765" w:rsidRDefault="00126823" w:rsidP="009149BF">
            <w:pPr>
              <w:jc w:val="center"/>
              <w:rPr>
                <w:rFonts w:ascii="Arial Narrow Bold" w:hAnsi="Arial Narrow Bold" w:cs="Arial Narrow Bold"/>
                <w:color w:val="000000" w:themeColor="text1"/>
                <w:sz w:val="16"/>
              </w:rPr>
            </w:pPr>
            <w:r w:rsidRPr="00E53765">
              <w:rPr>
                <w:rFonts w:ascii="Arial Narrow Bold" w:hAnsi="Arial Narrow Bold" w:cs="Arial Narrow Bold"/>
                <w:color w:val="000000" w:themeColor="text1"/>
                <w:sz w:val="16"/>
              </w:rPr>
              <w:t>2016</w:t>
            </w:r>
          </w:p>
        </w:tc>
      </w:tr>
      <w:tr w:rsidR="00FB7676" w:rsidRPr="00E53765" w14:paraId="11EA962E" w14:textId="77777777" w:rsidTr="003A0941">
        <w:tc>
          <w:tcPr>
            <w:tcW w:w="1295" w:type="dxa"/>
            <w:vMerge w:val="restart"/>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1B" w14:textId="77777777" w:rsidR="00FB7676" w:rsidRPr="00E53765" w:rsidRDefault="00FB7676" w:rsidP="003E78FD">
            <w:pPr>
              <w:rPr>
                <w:color w:val="000000" w:themeColor="text1"/>
              </w:rPr>
            </w:pPr>
            <w:r w:rsidRPr="00E53765">
              <w:rPr>
                <w:rFonts w:ascii="Arial Narrow" w:hAnsi="Arial Narrow" w:cs="Arial Narrow"/>
                <w:color w:val="000000" w:themeColor="text1"/>
                <w:sz w:val="16"/>
              </w:rPr>
              <w:t>Wet Tropics</w:t>
            </w: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1C" w14:textId="77777777" w:rsidR="00FB7676" w:rsidRPr="00E53765" w:rsidRDefault="00FB7676" w:rsidP="003E78FD">
            <w:pPr>
              <w:rPr>
                <w:color w:val="000000" w:themeColor="text1"/>
              </w:rPr>
            </w:pPr>
            <w:r w:rsidRPr="00E53765">
              <w:rPr>
                <w:rFonts w:ascii="Arial Narrow" w:hAnsi="Arial Narrow" w:cs="Arial Narrow"/>
                <w:color w:val="000000" w:themeColor="text1"/>
                <w:sz w:val="16"/>
              </w:rPr>
              <w:t>Daintree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61D"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1722934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1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1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2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62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2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62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2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2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2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2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1.7</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62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2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2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2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3.0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2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62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0.9</w:t>
            </w:r>
          </w:p>
        </w:tc>
      </w:tr>
      <w:tr w:rsidR="00FB7676" w:rsidRPr="00E53765" w14:paraId="11EA9642" w14:textId="77777777" w:rsidTr="003A0941">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2F" w14:textId="77777777" w:rsidR="00FB7676" w:rsidRPr="00E53765" w:rsidRDefault="00FB7676"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30" w14:textId="77777777" w:rsidR="00FB7676" w:rsidRPr="00E53765" w:rsidRDefault="00FB7676" w:rsidP="003E78FD">
            <w:pPr>
              <w:rPr>
                <w:rFonts w:ascii="Arial Narrow" w:hAnsi="Arial Narrow" w:cs="Arial Narrow"/>
                <w:color w:val="000000" w:themeColor="text1"/>
                <w:sz w:val="16"/>
              </w:rPr>
            </w:pPr>
            <w:r w:rsidRPr="00E53765">
              <w:rPr>
                <w:rFonts w:ascii="Arial Narrow" w:hAnsi="Arial Narrow" w:cs="Arial Narrow"/>
                <w:color w:val="000000" w:themeColor="text1"/>
                <w:sz w:val="16"/>
              </w:rPr>
              <w:t>Mossman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631"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1207012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3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3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3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63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3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63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3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3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3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3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63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3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3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63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4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64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r>
      <w:tr w:rsidR="00FB7676" w:rsidRPr="00E53765" w14:paraId="11EA9656" w14:textId="77777777" w:rsidTr="003A0941">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43" w14:textId="77777777" w:rsidR="00FB7676" w:rsidRPr="00E53765" w:rsidRDefault="00FB7676"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44" w14:textId="77777777" w:rsidR="00FB7676" w:rsidRPr="00E53765" w:rsidRDefault="00FB7676" w:rsidP="003E78FD">
            <w:pPr>
              <w:rPr>
                <w:color w:val="000000" w:themeColor="text1"/>
              </w:rPr>
            </w:pPr>
            <w:r w:rsidRPr="00E53765">
              <w:rPr>
                <w:rFonts w:ascii="Arial Narrow" w:hAnsi="Arial Narrow" w:cs="Arial Narrow"/>
                <w:color w:val="000000" w:themeColor="text1"/>
                <w:sz w:val="16"/>
              </w:rPr>
              <w:t>Barron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645"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526686</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64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4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4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64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4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64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4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4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3.4</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64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4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5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4.0</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65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5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5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5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65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0.3</w:t>
            </w:r>
          </w:p>
        </w:tc>
      </w:tr>
      <w:tr w:rsidR="00FB7676" w:rsidRPr="00E53765" w14:paraId="11EA966A" w14:textId="77777777" w:rsidTr="003A0941">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57" w14:textId="77777777" w:rsidR="00FB7676" w:rsidRPr="00E53765" w:rsidRDefault="00FB7676"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58" w14:textId="77777777" w:rsidR="00FB7676" w:rsidRPr="00E53765" w:rsidRDefault="00FB7676" w:rsidP="003E78FD">
            <w:pPr>
              <w:rPr>
                <w:color w:val="000000" w:themeColor="text1"/>
              </w:rPr>
            </w:pPr>
            <w:r w:rsidRPr="00E53765">
              <w:rPr>
                <w:rFonts w:ascii="Arial Narrow" w:hAnsi="Arial Narrow" w:cs="Arial Narrow"/>
                <w:color w:val="000000" w:themeColor="text1"/>
                <w:sz w:val="16"/>
              </w:rPr>
              <w:t>Russell - Mulgrave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659"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4457940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5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5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5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5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5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5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6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6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6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6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66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6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6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6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6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66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r>
      <w:tr w:rsidR="00FB7676" w:rsidRPr="00E53765" w14:paraId="11EA967E" w14:textId="77777777" w:rsidTr="003A0941">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6B" w14:textId="77777777" w:rsidR="00FB7676" w:rsidRPr="00E53765" w:rsidRDefault="00FB7676"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6C" w14:textId="77777777" w:rsidR="00FB7676" w:rsidRPr="00E53765" w:rsidRDefault="00FB7676" w:rsidP="003E78FD">
            <w:pPr>
              <w:rPr>
                <w:color w:val="000000" w:themeColor="text1"/>
              </w:rPr>
            </w:pPr>
            <w:r w:rsidRPr="00E53765">
              <w:rPr>
                <w:rFonts w:ascii="Arial Narrow" w:hAnsi="Arial Narrow" w:cs="Arial Narrow"/>
                <w:color w:val="000000" w:themeColor="text1"/>
                <w:sz w:val="16"/>
              </w:rPr>
              <w:t>Johnstone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66D"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4743915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6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6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7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7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7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7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7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7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7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7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67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7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7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7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7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67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r>
      <w:tr w:rsidR="00FB7676" w:rsidRPr="00E53765" w14:paraId="11EA9692" w14:textId="77777777" w:rsidTr="003A0941">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7F" w14:textId="77777777" w:rsidR="00FB7676" w:rsidRPr="00E53765" w:rsidRDefault="00FB7676"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80" w14:textId="77777777" w:rsidR="00FB7676" w:rsidRPr="00E53765" w:rsidRDefault="00FB7676" w:rsidP="00DA1069">
            <w:pPr>
              <w:rPr>
                <w:color w:val="000000" w:themeColor="text1"/>
              </w:rPr>
            </w:pPr>
            <w:r w:rsidRPr="00E53765">
              <w:rPr>
                <w:rFonts w:ascii="Arial Narrow" w:hAnsi="Arial Narrow" w:cs="Arial Narrow"/>
                <w:color w:val="000000" w:themeColor="text1"/>
                <w:sz w:val="16"/>
              </w:rPr>
              <w:t>Tully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681"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3536054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8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8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8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8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8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8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8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8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8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8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68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8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8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8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9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69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r>
      <w:tr w:rsidR="00FB7676" w:rsidRPr="00E53765" w14:paraId="11EA96A6" w14:textId="77777777" w:rsidTr="003A0941">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93" w14:textId="77777777" w:rsidR="00FB7676" w:rsidRPr="00E53765" w:rsidRDefault="00FB7676"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94" w14:textId="77777777" w:rsidR="00FB7676" w:rsidRPr="00E53765" w:rsidRDefault="00FB7676" w:rsidP="003E78FD">
            <w:pPr>
              <w:rPr>
                <w:color w:val="000000" w:themeColor="text1"/>
              </w:rPr>
            </w:pPr>
            <w:r w:rsidRPr="00E53765">
              <w:rPr>
                <w:rFonts w:ascii="Arial Narrow" w:hAnsi="Arial Narrow" w:cs="Arial Narrow"/>
                <w:color w:val="000000" w:themeColor="text1"/>
                <w:sz w:val="16"/>
              </w:rPr>
              <w:t>Murray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695"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1227888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9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9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9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9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9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9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9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9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69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9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A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3.5</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6A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A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A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A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6A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r>
      <w:tr w:rsidR="00FB7676" w:rsidRPr="00E53765" w14:paraId="11EA96BA" w14:textId="77777777" w:rsidTr="003A0941">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A7" w14:textId="77777777" w:rsidR="00FB7676" w:rsidRPr="00E53765" w:rsidRDefault="00FB7676"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A8" w14:textId="77777777" w:rsidR="00FB7676" w:rsidRPr="00E53765" w:rsidRDefault="00FB7676" w:rsidP="003E78FD">
            <w:pPr>
              <w:rPr>
                <w:color w:val="000000" w:themeColor="text1"/>
              </w:rPr>
            </w:pPr>
            <w:r w:rsidRPr="00E53765">
              <w:rPr>
                <w:rFonts w:ascii="Arial Narrow" w:hAnsi="Arial Narrow" w:cs="Arial Narrow"/>
                <w:color w:val="000000" w:themeColor="text1"/>
                <w:sz w:val="16"/>
              </w:rPr>
              <w:t>Herbert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6A9"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3556376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A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A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A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A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A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A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B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B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6B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B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B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3.5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B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B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B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B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6B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0.5</w:t>
            </w:r>
          </w:p>
        </w:tc>
      </w:tr>
      <w:tr w:rsidR="00FB7676" w:rsidRPr="00E53765" w14:paraId="11EA96CE" w14:textId="77777777" w:rsidTr="003A0941">
        <w:tc>
          <w:tcPr>
            <w:tcW w:w="1295" w:type="dxa"/>
            <w:vMerge w:val="restart"/>
            <w:tcBorders>
              <w:top w:val="single" w:sz="4" w:space="0" w:color="000000"/>
              <w:left w:val="single" w:sz="4" w:space="0" w:color="000000"/>
              <w:right w:val="single" w:sz="4" w:space="0" w:color="000000"/>
            </w:tcBorders>
            <w:shd w:val="clear" w:color="auto" w:fill="FFFFFF"/>
            <w:tcMar>
              <w:top w:w="40" w:type="dxa"/>
              <w:left w:w="40" w:type="dxa"/>
              <w:bottom w:w="40" w:type="dxa"/>
              <w:right w:w="40" w:type="dxa"/>
            </w:tcMar>
            <w:vAlign w:val="center"/>
          </w:tcPr>
          <w:p w14:paraId="11EA96BB" w14:textId="77777777" w:rsidR="00FB7676" w:rsidRPr="00E53765" w:rsidRDefault="00FB7676" w:rsidP="003E78FD">
            <w:pPr>
              <w:rPr>
                <w:rFonts w:ascii="Arial Narrow" w:hAnsi="Arial Narrow" w:cs="Arial Narrow"/>
                <w:color w:val="000000" w:themeColor="text1"/>
                <w:sz w:val="16"/>
              </w:rPr>
            </w:pPr>
            <w:r w:rsidRPr="00E53765">
              <w:rPr>
                <w:rFonts w:ascii="Arial Narrow" w:hAnsi="Arial Narrow" w:cs="Arial Narrow"/>
                <w:color w:val="000000" w:themeColor="text1"/>
                <w:sz w:val="16"/>
              </w:rPr>
              <w:t>Burdekin</w:t>
            </w: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BC" w14:textId="77777777" w:rsidR="00FB7676" w:rsidRPr="00E53765" w:rsidRDefault="00FB7676" w:rsidP="003E78FD">
            <w:pPr>
              <w:rPr>
                <w:rFonts w:ascii="Arial Narrow" w:hAnsi="Arial Narrow" w:cs="Arial Narrow"/>
                <w:color w:val="000000" w:themeColor="text1"/>
                <w:sz w:val="16"/>
              </w:rPr>
            </w:pPr>
            <w:r w:rsidRPr="00E53765">
              <w:rPr>
                <w:rFonts w:ascii="Arial Narrow" w:hAnsi="Arial Narrow" w:cs="Arial Narrow"/>
                <w:color w:val="000000" w:themeColor="text1"/>
                <w:sz w:val="16"/>
              </w:rPr>
              <w:t>Black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6BD"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228629</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6B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B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C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C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C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C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6C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2.5</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C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3.2</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C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5.4</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6C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2.7</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C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6.2</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C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3.3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C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6C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C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0.1</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6C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0.6</w:t>
            </w:r>
          </w:p>
        </w:tc>
      </w:tr>
      <w:tr w:rsidR="00FB7676" w:rsidRPr="00E53765" w14:paraId="11EA96E2" w14:textId="77777777" w:rsidTr="003A0941">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11EA96CF" w14:textId="77777777" w:rsidR="00FB7676" w:rsidRPr="00E53765" w:rsidRDefault="00FB7676" w:rsidP="003E78FD">
            <w:pPr>
              <w:rPr>
                <w:rFonts w:ascii="Arial Narrow" w:hAnsi="Arial Narrow" w:cs="Arial Narrow"/>
                <w:color w:val="000000" w:themeColor="text1"/>
                <w:sz w:val="16"/>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D0" w14:textId="77777777" w:rsidR="00FB7676" w:rsidRPr="00E53765" w:rsidRDefault="00FB7676" w:rsidP="003E78FD">
            <w:pPr>
              <w:rPr>
                <w:rFonts w:ascii="Arial Narrow" w:hAnsi="Arial Narrow" w:cs="Arial Narrow"/>
                <w:color w:val="000000" w:themeColor="text1"/>
                <w:sz w:val="16"/>
              </w:rPr>
            </w:pPr>
            <w:r w:rsidRPr="00E53765">
              <w:rPr>
                <w:rFonts w:ascii="Arial Narrow" w:hAnsi="Arial Narrow" w:cs="Arial Narrow"/>
                <w:color w:val="000000" w:themeColor="text1"/>
                <w:sz w:val="16"/>
              </w:rPr>
              <w:t>Ross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6D1"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445106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D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D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D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D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D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D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6D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2.6</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D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3.1</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D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4.5</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6D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2.8</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D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4.7</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D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3.0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D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6D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E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0.0</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6E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0.0</w:t>
            </w:r>
          </w:p>
        </w:tc>
      </w:tr>
      <w:tr w:rsidR="00FB7676" w:rsidRPr="00E53765" w14:paraId="11EA96F6" w14:textId="77777777" w:rsidTr="003A0941">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11EA96E3" w14:textId="77777777" w:rsidR="00FB7676" w:rsidRPr="00E53765" w:rsidRDefault="00FB7676" w:rsidP="003E78FD">
            <w:pPr>
              <w:rPr>
                <w:rFonts w:ascii="Arial Narrow" w:hAnsi="Arial Narrow" w:cs="Arial Narrow"/>
                <w:color w:val="000000" w:themeColor="text1"/>
                <w:sz w:val="16"/>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E4" w14:textId="77777777" w:rsidR="00FB7676" w:rsidRPr="00E53765" w:rsidRDefault="00FB7676" w:rsidP="003E78FD">
            <w:pPr>
              <w:rPr>
                <w:rFonts w:ascii="Arial Narrow" w:hAnsi="Arial Narrow" w:cs="Arial Narrow"/>
                <w:color w:val="000000" w:themeColor="text1"/>
                <w:sz w:val="16"/>
              </w:rPr>
            </w:pPr>
            <w:r w:rsidRPr="00E53765">
              <w:rPr>
                <w:rFonts w:ascii="Arial Narrow" w:hAnsi="Arial Narrow" w:cs="Arial Narrow"/>
                <w:color w:val="000000" w:themeColor="text1"/>
                <w:sz w:val="16"/>
              </w:rPr>
              <w:t>Haughton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6E5"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553292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E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E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E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E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E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E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6E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2.4</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E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3.3</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E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4.6</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6E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2.1</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F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4.4</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6F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3.2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F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F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F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6F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0.5</w:t>
            </w:r>
          </w:p>
        </w:tc>
      </w:tr>
      <w:tr w:rsidR="00FB7676" w:rsidRPr="00E53765" w14:paraId="11EA970A" w14:textId="77777777" w:rsidTr="003A0941">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11EA96F7" w14:textId="77777777" w:rsidR="00FB7676" w:rsidRPr="00E53765" w:rsidRDefault="00FB7676"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6F8" w14:textId="77777777" w:rsidR="00FB7676" w:rsidRPr="00E53765" w:rsidRDefault="00FB7676" w:rsidP="003E78FD">
            <w:pPr>
              <w:rPr>
                <w:color w:val="000000" w:themeColor="text1"/>
              </w:rPr>
            </w:pPr>
            <w:r w:rsidRPr="00E53765">
              <w:rPr>
                <w:rFonts w:ascii="Arial Narrow" w:hAnsi="Arial Narrow" w:cs="Arial Narrow"/>
                <w:color w:val="000000" w:themeColor="text1"/>
                <w:sz w:val="16"/>
              </w:rPr>
              <w:t>Burdekin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6F9"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4406780</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6F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F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F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F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F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6F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0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2.2</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0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6.2</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0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6.7</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70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1.8</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0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7.9</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0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3.5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0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0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0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70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0.4</w:t>
            </w:r>
          </w:p>
        </w:tc>
      </w:tr>
      <w:tr w:rsidR="00FB7676" w:rsidRPr="00E53765" w14:paraId="11EA971E" w14:textId="77777777" w:rsidTr="003A0941">
        <w:tc>
          <w:tcPr>
            <w:tcW w:w="1295" w:type="dxa"/>
            <w:vMerge/>
            <w:tcBorders>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70B" w14:textId="77777777" w:rsidR="00FB7676" w:rsidRPr="00E53765" w:rsidRDefault="00FB7676" w:rsidP="003E78FD">
            <w:pPr>
              <w:rPr>
                <w:rFonts w:ascii="Arial Narrow" w:hAnsi="Arial Narrow" w:cs="Arial Narrow"/>
                <w:color w:val="000000" w:themeColor="text1"/>
                <w:sz w:val="16"/>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70C" w14:textId="77777777" w:rsidR="00FB7676" w:rsidRPr="00E53765" w:rsidRDefault="00FB7676" w:rsidP="003E78FD">
            <w:pPr>
              <w:rPr>
                <w:rFonts w:ascii="Arial Narrow" w:hAnsi="Arial Narrow" w:cs="Arial Narrow"/>
                <w:color w:val="000000" w:themeColor="text1"/>
                <w:sz w:val="16"/>
              </w:rPr>
            </w:pPr>
            <w:r w:rsidRPr="00E53765">
              <w:rPr>
                <w:rFonts w:ascii="Arial Narrow" w:hAnsi="Arial Narrow" w:cs="Arial Narrow"/>
                <w:color w:val="000000" w:themeColor="text1"/>
                <w:sz w:val="16"/>
              </w:rPr>
              <w:t>Don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70D"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342257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0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0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1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1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1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1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71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1.8</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1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5.0</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1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2.7</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71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1.6</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1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9.2</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1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2.3</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71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1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1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71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0.3</w:t>
            </w:r>
          </w:p>
        </w:tc>
      </w:tr>
      <w:tr w:rsidR="00FB7676" w:rsidRPr="00E53765" w14:paraId="11EA9732" w14:textId="77777777" w:rsidTr="003A0941">
        <w:tc>
          <w:tcPr>
            <w:tcW w:w="1295" w:type="dxa"/>
            <w:vMerge w:val="restart"/>
            <w:tcBorders>
              <w:top w:val="single" w:sz="4" w:space="0" w:color="000000"/>
              <w:left w:val="single" w:sz="4" w:space="0" w:color="000000"/>
              <w:right w:val="single" w:sz="4" w:space="0" w:color="000000"/>
            </w:tcBorders>
            <w:shd w:val="clear" w:color="auto" w:fill="FFFFFF"/>
            <w:tcMar>
              <w:top w:w="40" w:type="dxa"/>
              <w:left w:w="40" w:type="dxa"/>
              <w:bottom w:w="40" w:type="dxa"/>
              <w:right w:w="40" w:type="dxa"/>
            </w:tcMar>
            <w:vAlign w:val="center"/>
          </w:tcPr>
          <w:p w14:paraId="11EA971F" w14:textId="77777777" w:rsidR="00FB7676" w:rsidRPr="00E53765" w:rsidRDefault="00FB7676" w:rsidP="003E78FD">
            <w:pPr>
              <w:rPr>
                <w:rFonts w:ascii="Arial Narrow" w:hAnsi="Arial Narrow" w:cs="Arial Narrow"/>
                <w:color w:val="000000" w:themeColor="text1"/>
                <w:sz w:val="16"/>
              </w:rPr>
            </w:pPr>
            <w:r w:rsidRPr="00E53765">
              <w:rPr>
                <w:rFonts w:ascii="Arial Narrow" w:hAnsi="Arial Narrow" w:cs="Arial Narrow"/>
                <w:color w:val="000000" w:themeColor="text1"/>
                <w:sz w:val="16"/>
              </w:rPr>
              <w:t>Mackay Whitsunday</w:t>
            </w: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720" w14:textId="77777777" w:rsidR="00FB7676" w:rsidRPr="00E53765" w:rsidRDefault="00FB7676" w:rsidP="003E78FD">
            <w:pPr>
              <w:rPr>
                <w:rFonts w:ascii="Arial Narrow" w:hAnsi="Arial Narrow" w:cs="Arial Narrow"/>
                <w:color w:val="000000" w:themeColor="text1"/>
                <w:sz w:val="16"/>
              </w:rPr>
            </w:pPr>
            <w:r w:rsidRPr="00E53765">
              <w:rPr>
                <w:rFonts w:ascii="Arial Narrow" w:hAnsi="Arial Narrow" w:cs="Arial Narrow"/>
                <w:color w:val="000000" w:themeColor="text1"/>
                <w:sz w:val="16"/>
              </w:rPr>
              <w:t>Proserpine</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721"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887771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2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2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2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2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2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2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72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1.6</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2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2.3</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72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1.7</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2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2.9</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2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5.2</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2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2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2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3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73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0.4</w:t>
            </w:r>
          </w:p>
        </w:tc>
      </w:tr>
      <w:tr w:rsidR="00FB7676" w:rsidRPr="00E53765" w14:paraId="11EA9746" w14:textId="77777777" w:rsidTr="003A0941">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11EA9733" w14:textId="77777777" w:rsidR="00FB7676" w:rsidRPr="00E53765" w:rsidRDefault="00FB7676"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734" w14:textId="77777777" w:rsidR="00FB7676" w:rsidRPr="00E53765" w:rsidRDefault="00FB7676" w:rsidP="003E78FD">
            <w:pPr>
              <w:rPr>
                <w:color w:val="000000" w:themeColor="text1"/>
              </w:rPr>
            </w:pPr>
            <w:r w:rsidRPr="00E53765">
              <w:rPr>
                <w:rFonts w:ascii="Arial Narrow" w:hAnsi="Arial Narrow" w:cs="Arial Narrow"/>
                <w:color w:val="000000" w:themeColor="text1"/>
                <w:sz w:val="16"/>
              </w:rPr>
              <w:t>O’Connell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735"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796718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3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3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3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3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3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3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73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1.6</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3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2.3</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73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1.7</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3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2.9</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4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5.2</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4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4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4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4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74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0.4</w:t>
            </w:r>
          </w:p>
        </w:tc>
      </w:tr>
      <w:tr w:rsidR="00FB7676" w:rsidRPr="00E53765" w14:paraId="11EA975A" w14:textId="77777777" w:rsidTr="003A0941">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11EA9747" w14:textId="77777777" w:rsidR="00FB7676" w:rsidRPr="00E53765" w:rsidRDefault="00FB7676"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748" w14:textId="77777777" w:rsidR="00FB7676" w:rsidRPr="00E53765" w:rsidRDefault="00FB7676" w:rsidP="003E78FD">
            <w:pPr>
              <w:rPr>
                <w:color w:val="000000" w:themeColor="text1"/>
              </w:rPr>
            </w:pPr>
            <w:r w:rsidRPr="00E53765">
              <w:rPr>
                <w:rFonts w:ascii="Arial Narrow" w:hAnsi="Arial Narrow" w:cs="Arial Narrow"/>
                <w:color w:val="000000" w:themeColor="text1"/>
                <w:sz w:val="16"/>
              </w:rPr>
              <w:t>Pioneer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749"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776984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4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4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4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4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4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4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5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75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5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5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2.0</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5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4.7</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5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2.0</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75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5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5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2.6</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75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r>
      <w:tr w:rsidR="00FB7676" w:rsidRPr="00E53765" w14:paraId="11EA976E" w14:textId="77777777" w:rsidTr="003A0941">
        <w:tc>
          <w:tcPr>
            <w:tcW w:w="1295" w:type="dxa"/>
            <w:vMerge/>
            <w:tcBorders>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75B" w14:textId="77777777" w:rsidR="00FB7676" w:rsidRPr="00E53765" w:rsidRDefault="00FB7676"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75C" w14:textId="77777777" w:rsidR="00FB7676" w:rsidRPr="00E53765" w:rsidRDefault="00FB7676" w:rsidP="003E78FD">
            <w:pPr>
              <w:rPr>
                <w:rFonts w:ascii="Arial Narrow" w:hAnsi="Arial Narrow" w:cs="Arial Narrow"/>
                <w:color w:val="000000" w:themeColor="text1"/>
                <w:sz w:val="16"/>
              </w:rPr>
            </w:pPr>
            <w:r w:rsidRPr="00E53765">
              <w:rPr>
                <w:rFonts w:ascii="Arial Narrow" w:hAnsi="Arial Narrow" w:cs="Arial Narrow"/>
                <w:color w:val="000000" w:themeColor="text1"/>
                <w:sz w:val="16"/>
              </w:rPr>
              <w:t>Plane Creek</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A975D" w14:textId="77777777" w:rsidR="00FB7676" w:rsidRPr="00E53765" w:rsidRDefault="00FB7676" w:rsidP="00FB7676">
            <w:pPr>
              <w:jc w:val="center"/>
              <w:rPr>
                <w:rFonts w:ascii="Arial Narrow" w:hAnsi="Arial Narrow"/>
                <w:color w:val="000000" w:themeColor="text1"/>
                <w:sz w:val="16"/>
                <w:szCs w:val="16"/>
              </w:rPr>
            </w:pPr>
            <w:r w:rsidRPr="00E53765">
              <w:rPr>
                <w:rFonts w:ascii="Arial Narrow" w:hAnsi="Arial Narrow"/>
                <w:color w:val="000000" w:themeColor="text1"/>
                <w:sz w:val="16"/>
                <w:szCs w:val="16"/>
              </w:rPr>
              <w:t>1052831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5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5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6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6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6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6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6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6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6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1.4</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6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2.8</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6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4.6</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6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2.7</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76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6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6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76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0.8</w:t>
            </w:r>
          </w:p>
        </w:tc>
      </w:tr>
      <w:tr w:rsidR="00FB7676" w:rsidRPr="00E53765" w14:paraId="11EA9782" w14:textId="77777777" w:rsidTr="003A0941">
        <w:tc>
          <w:tcPr>
            <w:tcW w:w="1295" w:type="dxa"/>
            <w:vMerge w:val="restart"/>
            <w:tcBorders>
              <w:top w:val="single" w:sz="4" w:space="0" w:color="000000"/>
              <w:left w:val="single" w:sz="4" w:space="0" w:color="000000"/>
              <w:right w:val="single" w:sz="4" w:space="0" w:color="000000"/>
            </w:tcBorders>
            <w:shd w:val="clear" w:color="auto" w:fill="FFFFFF"/>
            <w:tcMar>
              <w:top w:w="40" w:type="dxa"/>
              <w:left w:w="40" w:type="dxa"/>
              <w:bottom w:w="40" w:type="dxa"/>
              <w:right w:w="40" w:type="dxa"/>
            </w:tcMar>
            <w:vAlign w:val="center"/>
          </w:tcPr>
          <w:p w14:paraId="11EA976F" w14:textId="77777777" w:rsidR="00FB7676" w:rsidRPr="00E53765" w:rsidRDefault="00FB7676" w:rsidP="003E78FD">
            <w:pPr>
              <w:rPr>
                <w:rFonts w:ascii="Arial Narrow" w:hAnsi="Arial Narrow" w:cs="Arial Narrow"/>
                <w:color w:val="000000" w:themeColor="text1"/>
                <w:sz w:val="16"/>
              </w:rPr>
            </w:pPr>
            <w:r w:rsidRPr="00E53765">
              <w:rPr>
                <w:rFonts w:ascii="Arial Narrow" w:hAnsi="Arial Narrow" w:cs="Arial Narrow"/>
                <w:color w:val="000000" w:themeColor="text1"/>
                <w:sz w:val="16"/>
              </w:rPr>
              <w:t>Fitzroy</w:t>
            </w: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770" w14:textId="77777777" w:rsidR="00FB7676" w:rsidRPr="00E53765" w:rsidRDefault="00FB7676" w:rsidP="003E78FD">
            <w:pPr>
              <w:rPr>
                <w:rFonts w:ascii="Arial Narrow" w:hAnsi="Arial Narrow" w:cs="Arial Narrow"/>
                <w:color w:val="000000" w:themeColor="text1"/>
                <w:sz w:val="16"/>
              </w:rPr>
            </w:pPr>
            <w:r w:rsidRPr="00E53765">
              <w:rPr>
                <w:rFonts w:ascii="Arial Narrow" w:hAnsi="Arial Narrow" w:cs="Arial Narrow"/>
                <w:color w:val="000000" w:themeColor="text1"/>
                <w:sz w:val="16"/>
              </w:rPr>
              <w:t>Water Park Creek</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771" w14:textId="77777777" w:rsidR="00FB7676" w:rsidRPr="00E53765" w:rsidRDefault="00FB7676" w:rsidP="00FB7676">
            <w:pPr>
              <w:jc w:val="center"/>
              <w:rPr>
                <w:rFonts w:ascii="Arial Narrow" w:hAnsi="Arial Narrow" w:cs="Arial Narrow"/>
                <w:color w:val="000000" w:themeColor="text1"/>
                <w:sz w:val="16"/>
              </w:rPr>
            </w:pPr>
            <w:r w:rsidRPr="00E53765">
              <w:rPr>
                <w:rFonts w:ascii="Arial Narrow" w:hAnsi="Arial Narrow" w:cs="Arial Narrow"/>
                <w:color w:val="000000" w:themeColor="text1"/>
                <w:sz w:val="16"/>
              </w:rPr>
              <w:t>563267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7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7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7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7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7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7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7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7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7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7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2.8</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7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4.8</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77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1.5</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7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5.2</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7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2.9</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8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2.0</w:t>
            </w:r>
          </w:p>
        </w:tc>
        <w:tc>
          <w:tcPr>
            <w:tcW w:w="539"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11EA978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1.8</w:t>
            </w:r>
          </w:p>
        </w:tc>
      </w:tr>
      <w:tr w:rsidR="00FB7676" w:rsidRPr="00E53765" w14:paraId="11EA9796" w14:textId="77777777" w:rsidTr="003A0941">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11EA9783" w14:textId="77777777" w:rsidR="00FB7676" w:rsidRPr="00E53765" w:rsidRDefault="00FB7676"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784" w14:textId="77777777" w:rsidR="00FB7676" w:rsidRPr="00E53765" w:rsidRDefault="00FB7676" w:rsidP="003E78FD">
            <w:pPr>
              <w:rPr>
                <w:color w:val="000000" w:themeColor="text1"/>
              </w:rPr>
            </w:pPr>
            <w:r w:rsidRPr="00E53765">
              <w:rPr>
                <w:rFonts w:ascii="Arial Narrow" w:hAnsi="Arial Narrow" w:cs="Arial Narrow"/>
                <w:color w:val="000000" w:themeColor="text1"/>
                <w:sz w:val="16"/>
              </w:rPr>
              <w:t>Fitzroy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785" w14:textId="77777777" w:rsidR="00FB7676" w:rsidRPr="00E53765" w:rsidRDefault="00FB7676" w:rsidP="00FB7676">
            <w:pPr>
              <w:jc w:val="center"/>
              <w:rPr>
                <w:color w:val="000000" w:themeColor="text1"/>
              </w:rPr>
            </w:pPr>
            <w:r w:rsidRPr="00E53765">
              <w:rPr>
                <w:rFonts w:ascii="Arial Narrow" w:hAnsi="Arial Narrow" w:cs="Arial Narrow"/>
                <w:color w:val="000000" w:themeColor="text1"/>
                <w:sz w:val="16"/>
              </w:rPr>
              <w:t>2852307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8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8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8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8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8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8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8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8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4.4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8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8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4.1</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9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13.3</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9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2.8</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9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3.0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9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9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79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1.3</w:t>
            </w:r>
          </w:p>
        </w:tc>
      </w:tr>
      <w:tr w:rsidR="00FB7676" w:rsidRPr="00E53765" w14:paraId="11EA97AA" w14:textId="77777777" w:rsidTr="003A0941">
        <w:tc>
          <w:tcPr>
            <w:tcW w:w="1295" w:type="dxa"/>
            <w:vMerge/>
            <w:tcBorders>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797" w14:textId="77777777" w:rsidR="00FB7676" w:rsidRPr="00E53765" w:rsidRDefault="00FB7676" w:rsidP="003E78FD">
            <w:pPr>
              <w:rPr>
                <w:rFonts w:ascii="Arial Narrow" w:hAnsi="Arial Narrow" w:cs="Arial Narrow"/>
                <w:color w:val="000000" w:themeColor="text1"/>
                <w:sz w:val="16"/>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798" w14:textId="77777777" w:rsidR="00FB7676" w:rsidRPr="00E53765" w:rsidRDefault="00FB7676" w:rsidP="003E78FD">
            <w:pPr>
              <w:rPr>
                <w:rFonts w:ascii="Arial Narrow" w:hAnsi="Arial Narrow" w:cs="Arial Narrow"/>
                <w:color w:val="000000" w:themeColor="text1"/>
                <w:sz w:val="16"/>
              </w:rPr>
            </w:pPr>
            <w:r w:rsidRPr="00E53765">
              <w:rPr>
                <w:rFonts w:ascii="Arial Narrow" w:hAnsi="Arial Narrow" w:cs="Arial Narrow"/>
                <w:color w:val="000000" w:themeColor="text1"/>
                <w:sz w:val="16"/>
              </w:rPr>
              <w:t>Calliope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1EA9799" w14:textId="77777777" w:rsidR="00FB7676" w:rsidRPr="00E53765" w:rsidRDefault="00FB7676" w:rsidP="00FB7676">
            <w:pPr>
              <w:jc w:val="center"/>
              <w:rPr>
                <w:rFonts w:ascii="Arial Narrow" w:hAnsi="Arial Narrow" w:cs="Arial Narrow"/>
                <w:color w:val="000000" w:themeColor="text1"/>
                <w:sz w:val="16"/>
              </w:rPr>
            </w:pPr>
            <w:r w:rsidRPr="00E53765">
              <w:rPr>
                <w:rFonts w:ascii="Arial Narrow" w:hAnsi="Arial Narrow" w:cs="Arial Narrow"/>
                <w:color w:val="000000" w:themeColor="text1"/>
                <w:sz w:val="16"/>
              </w:rPr>
              <w:t>152965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9A"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9B"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0.1</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9C"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3.2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9D"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9E"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9F"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A0"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0.0</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A1"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1EA97A2"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A3"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3.4</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A4"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6.5</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1EA97A5"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2.3</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A6"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10.2</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EA97A7"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1.9</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EA97A8"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3.1</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EA97A9" w14:textId="77777777" w:rsidR="00FB7676" w:rsidRPr="00E53765" w:rsidRDefault="00FB7676" w:rsidP="009149BF">
            <w:pPr>
              <w:jc w:val="center"/>
              <w:rPr>
                <w:rFonts w:ascii="Arial Narrow" w:hAnsi="Arial Narrow" w:cs="Calibri"/>
                <w:color w:val="000000" w:themeColor="text1"/>
                <w:sz w:val="16"/>
                <w:szCs w:val="16"/>
              </w:rPr>
            </w:pPr>
            <w:r w:rsidRPr="00E53765">
              <w:rPr>
                <w:rFonts w:ascii="Arial Narrow" w:hAnsi="Arial Narrow" w:cs="Calibri"/>
                <w:color w:val="000000" w:themeColor="text1"/>
                <w:sz w:val="16"/>
                <w:szCs w:val="16"/>
              </w:rPr>
              <w:t>1.0</w:t>
            </w:r>
          </w:p>
        </w:tc>
      </w:tr>
    </w:tbl>
    <w:p w14:paraId="11EA97AB" w14:textId="77777777" w:rsidR="00C83247" w:rsidRPr="00E53765" w:rsidRDefault="00C83247">
      <w:pPr>
        <w:jc w:val="left"/>
        <w:rPr>
          <w:rStyle w:val="IntenseReference"/>
        </w:rPr>
      </w:pPr>
      <w:r w:rsidRPr="00E53765">
        <w:rPr>
          <w:rStyle w:val="IntenseReference"/>
        </w:rPr>
        <w:br w:type="page"/>
      </w:r>
    </w:p>
    <w:p w14:paraId="11EA97AC" w14:textId="742108DA" w:rsidR="00076BF0" w:rsidRPr="005B6EC7" w:rsidRDefault="00583793" w:rsidP="00F872DF">
      <w:pPr>
        <w:pStyle w:val="Caption"/>
        <w:rPr>
          <w:rStyle w:val="IntenseReference"/>
          <w:rFonts w:eastAsia="SimSun"/>
        </w:rPr>
      </w:pPr>
      <w:bookmarkStart w:id="362" w:name="_Ref491178994"/>
      <w:bookmarkStart w:id="363" w:name="_Ref469691149"/>
      <w:bookmarkStart w:id="364" w:name="_Ref469728042"/>
      <w:bookmarkStart w:id="365" w:name="_Toc471373380"/>
      <w:r>
        <w:t xml:space="preserve">Table A1. </w:t>
      </w:r>
      <w:r>
        <w:fldChar w:fldCharType="begin"/>
      </w:r>
      <w:r>
        <w:instrText xml:space="preserve"> SEQ Table_A1. \* ARABIC </w:instrText>
      </w:r>
      <w:r>
        <w:fldChar w:fldCharType="separate"/>
      </w:r>
      <w:r w:rsidR="00D806F2">
        <w:rPr>
          <w:noProof/>
        </w:rPr>
        <w:t>4</w:t>
      </w:r>
      <w:r>
        <w:fldChar w:fldCharType="end"/>
      </w:r>
      <w:bookmarkEnd w:id="362"/>
      <w:r>
        <w:t xml:space="preserve"> </w:t>
      </w:r>
      <w:r w:rsidRPr="00FB1489">
        <w:t>Disturbance records for each reef</w:t>
      </w:r>
      <w:r>
        <w:t xml:space="preserve">. </w:t>
      </w:r>
      <w:bookmarkEnd w:id="363"/>
      <w:r w:rsidR="00E53765" w:rsidRPr="005B6EC7">
        <w:rPr>
          <w:rStyle w:val="IntenseReference"/>
          <w:rFonts w:eastAsia="SimSun"/>
        </w:rPr>
        <w:t>Tabulated losses of coral cover represent the proportion of coral lost as opposed to reduction in % cover estimates.</w:t>
      </w:r>
      <w:bookmarkEnd w:id="364"/>
      <w:bookmarkEnd w:id="365"/>
    </w:p>
    <w:tbl>
      <w:tblPr>
        <w:tblpPr w:leftFromText="180" w:rightFromText="180" w:vertAnchor="text" w:tblpX="-22" w:tblpY="1"/>
        <w:tblOverlap w:val="never"/>
        <w:tblW w:w="1395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42"/>
        <w:gridCol w:w="708"/>
        <w:gridCol w:w="1843"/>
        <w:gridCol w:w="976"/>
        <w:gridCol w:w="851"/>
        <w:gridCol w:w="850"/>
        <w:gridCol w:w="8282"/>
      </w:tblGrid>
      <w:tr w:rsidR="00F439FB" w:rsidRPr="00F439FB" w14:paraId="11EA97B2" w14:textId="77777777" w:rsidTr="00040878">
        <w:trPr>
          <w:cantSplit/>
          <w:trHeight w:val="378"/>
        </w:trPr>
        <w:tc>
          <w:tcPr>
            <w:tcW w:w="442" w:type="dxa"/>
            <w:vMerge w:val="restart"/>
            <w:tcBorders>
              <w:top w:val="single" w:sz="12" w:space="0" w:color="auto"/>
            </w:tcBorders>
            <w:shd w:val="clear" w:color="auto" w:fill="F2F2F2" w:themeFill="background1" w:themeFillShade="F2"/>
            <w:tcMar>
              <w:top w:w="16" w:type="dxa"/>
              <w:left w:w="16" w:type="dxa"/>
              <w:bottom w:w="0" w:type="dxa"/>
              <w:right w:w="16" w:type="dxa"/>
            </w:tcMar>
            <w:textDirection w:val="btLr"/>
            <w:vAlign w:val="center"/>
          </w:tcPr>
          <w:p w14:paraId="11EA97AD" w14:textId="77777777" w:rsidR="0043643D" w:rsidRPr="00E53765" w:rsidRDefault="0043643D" w:rsidP="00040878">
            <w:pPr>
              <w:jc w:val="center"/>
              <w:rPr>
                <w:rStyle w:val="IntenseReference"/>
                <w:rFonts w:eastAsia="Arial Unicode MS"/>
              </w:rPr>
            </w:pPr>
            <w:r w:rsidRPr="00E53765">
              <w:rPr>
                <w:rStyle w:val="IntenseReference"/>
              </w:rPr>
              <w:t>Region</w:t>
            </w:r>
          </w:p>
        </w:tc>
        <w:tc>
          <w:tcPr>
            <w:tcW w:w="708" w:type="dxa"/>
            <w:vMerge w:val="restart"/>
            <w:tcBorders>
              <w:top w:val="single" w:sz="12" w:space="0" w:color="auto"/>
            </w:tcBorders>
            <w:shd w:val="clear" w:color="auto" w:fill="F2F2F2" w:themeFill="background1" w:themeFillShade="F2"/>
            <w:tcMar>
              <w:top w:w="16" w:type="dxa"/>
              <w:left w:w="16" w:type="dxa"/>
              <w:bottom w:w="0" w:type="dxa"/>
              <w:right w:w="16" w:type="dxa"/>
            </w:tcMar>
            <w:textDirection w:val="btLr"/>
            <w:vAlign w:val="center"/>
          </w:tcPr>
          <w:p w14:paraId="11EA97AE" w14:textId="77777777" w:rsidR="0043643D" w:rsidRPr="00E53765" w:rsidRDefault="0043643D" w:rsidP="00040878">
            <w:pPr>
              <w:jc w:val="center"/>
              <w:rPr>
                <w:rStyle w:val="IntenseReference"/>
                <w:rFonts w:eastAsia="Arial Unicode MS"/>
              </w:rPr>
            </w:pPr>
            <w:r w:rsidRPr="00E53765">
              <w:rPr>
                <w:rStyle w:val="IntenseReference"/>
              </w:rPr>
              <w:t>Catchment</w:t>
            </w:r>
          </w:p>
        </w:tc>
        <w:tc>
          <w:tcPr>
            <w:tcW w:w="1843" w:type="dxa"/>
            <w:vMerge w:val="restart"/>
            <w:tcBorders>
              <w:top w:val="single" w:sz="12" w:space="0" w:color="auto"/>
            </w:tcBorders>
            <w:shd w:val="clear" w:color="auto" w:fill="F2F2F2" w:themeFill="background1" w:themeFillShade="F2"/>
            <w:tcMar>
              <w:top w:w="16" w:type="dxa"/>
              <w:left w:w="16" w:type="dxa"/>
              <w:bottom w:w="0" w:type="dxa"/>
              <w:right w:w="16" w:type="dxa"/>
            </w:tcMar>
            <w:vAlign w:val="center"/>
          </w:tcPr>
          <w:p w14:paraId="11EA97AF" w14:textId="77777777" w:rsidR="0043643D" w:rsidRPr="00E53765" w:rsidRDefault="0043643D" w:rsidP="00040878">
            <w:pPr>
              <w:jc w:val="center"/>
              <w:rPr>
                <w:rStyle w:val="IntenseReference"/>
                <w:rFonts w:eastAsia="Arial Unicode MS"/>
              </w:rPr>
            </w:pPr>
            <w:r w:rsidRPr="00E53765">
              <w:rPr>
                <w:rStyle w:val="IntenseReference"/>
              </w:rPr>
              <w:t>Reef</w:t>
            </w:r>
          </w:p>
        </w:tc>
        <w:tc>
          <w:tcPr>
            <w:tcW w:w="2677" w:type="dxa"/>
            <w:gridSpan w:val="3"/>
            <w:tcBorders>
              <w:top w:val="single" w:sz="12" w:space="0" w:color="auto"/>
            </w:tcBorders>
            <w:shd w:val="clear" w:color="auto" w:fill="F2F2F2" w:themeFill="background1" w:themeFillShade="F2"/>
            <w:tcMar>
              <w:top w:w="16" w:type="dxa"/>
              <w:left w:w="16" w:type="dxa"/>
              <w:bottom w:w="0" w:type="dxa"/>
              <w:right w:w="16" w:type="dxa"/>
            </w:tcMar>
            <w:vAlign w:val="center"/>
          </w:tcPr>
          <w:p w14:paraId="11EA97B0" w14:textId="77777777" w:rsidR="0043643D" w:rsidRPr="00E53765" w:rsidRDefault="0043643D" w:rsidP="00040878">
            <w:pPr>
              <w:jc w:val="center"/>
              <w:rPr>
                <w:rStyle w:val="IntenseReference"/>
              </w:rPr>
            </w:pPr>
            <w:r w:rsidRPr="00E53765">
              <w:rPr>
                <w:rStyle w:val="IntenseReference"/>
              </w:rPr>
              <w:t>Bleaching</w:t>
            </w:r>
          </w:p>
        </w:tc>
        <w:tc>
          <w:tcPr>
            <w:tcW w:w="8282" w:type="dxa"/>
            <w:vMerge w:val="restart"/>
            <w:tcBorders>
              <w:top w:val="single" w:sz="12" w:space="0" w:color="auto"/>
            </w:tcBorders>
            <w:shd w:val="clear" w:color="auto" w:fill="F2F2F2" w:themeFill="background1" w:themeFillShade="F2"/>
            <w:tcMar>
              <w:top w:w="16" w:type="dxa"/>
              <w:left w:w="16" w:type="dxa"/>
              <w:bottom w:w="0" w:type="dxa"/>
              <w:right w:w="16" w:type="dxa"/>
            </w:tcMar>
            <w:vAlign w:val="center"/>
          </w:tcPr>
          <w:p w14:paraId="11EA97B1" w14:textId="77777777" w:rsidR="0043643D" w:rsidRPr="00E53765" w:rsidRDefault="0043643D" w:rsidP="00040878">
            <w:pPr>
              <w:jc w:val="center"/>
              <w:rPr>
                <w:rStyle w:val="IntenseReference"/>
                <w:rFonts w:eastAsia="Arial Unicode MS"/>
              </w:rPr>
            </w:pPr>
            <w:r w:rsidRPr="00E53765">
              <w:rPr>
                <w:rStyle w:val="IntenseReference"/>
              </w:rPr>
              <w:t>Other recorded disturbances</w:t>
            </w:r>
          </w:p>
        </w:tc>
      </w:tr>
      <w:tr w:rsidR="00F439FB" w:rsidRPr="00F439FB" w14:paraId="11EA97BA" w14:textId="77777777" w:rsidTr="00040878">
        <w:trPr>
          <w:cantSplit/>
          <w:trHeight w:val="403"/>
        </w:trPr>
        <w:tc>
          <w:tcPr>
            <w:tcW w:w="442" w:type="dxa"/>
            <w:vMerge/>
            <w:vAlign w:val="center"/>
          </w:tcPr>
          <w:p w14:paraId="11EA97B3" w14:textId="77777777" w:rsidR="0043643D" w:rsidRPr="00E53765" w:rsidRDefault="0043643D" w:rsidP="00040878">
            <w:pPr>
              <w:rPr>
                <w:rStyle w:val="IntenseReference"/>
                <w:rFonts w:eastAsia="Arial Unicode MS"/>
              </w:rPr>
            </w:pPr>
          </w:p>
        </w:tc>
        <w:tc>
          <w:tcPr>
            <w:tcW w:w="708" w:type="dxa"/>
            <w:vMerge/>
            <w:vAlign w:val="center"/>
          </w:tcPr>
          <w:p w14:paraId="11EA97B4" w14:textId="77777777" w:rsidR="0043643D" w:rsidRPr="00E53765" w:rsidRDefault="0043643D" w:rsidP="00040878">
            <w:pPr>
              <w:rPr>
                <w:rStyle w:val="IntenseReference"/>
                <w:rFonts w:eastAsia="Arial Unicode MS"/>
              </w:rPr>
            </w:pPr>
          </w:p>
        </w:tc>
        <w:tc>
          <w:tcPr>
            <w:tcW w:w="1843" w:type="dxa"/>
            <w:vMerge/>
            <w:vAlign w:val="center"/>
          </w:tcPr>
          <w:p w14:paraId="11EA97B5" w14:textId="77777777" w:rsidR="0043643D" w:rsidRPr="00E53765" w:rsidRDefault="0043643D" w:rsidP="00040878">
            <w:pPr>
              <w:rPr>
                <w:rStyle w:val="IntenseReference"/>
                <w:rFonts w:eastAsia="Arial Unicode MS"/>
              </w:rPr>
            </w:pPr>
          </w:p>
        </w:tc>
        <w:tc>
          <w:tcPr>
            <w:tcW w:w="976" w:type="dxa"/>
            <w:shd w:val="clear" w:color="auto" w:fill="F2F2F2" w:themeFill="background1" w:themeFillShade="F2"/>
            <w:tcMar>
              <w:top w:w="16" w:type="dxa"/>
              <w:left w:w="16" w:type="dxa"/>
              <w:bottom w:w="0" w:type="dxa"/>
              <w:right w:w="16" w:type="dxa"/>
            </w:tcMar>
            <w:vAlign w:val="center"/>
          </w:tcPr>
          <w:p w14:paraId="11EA97B6" w14:textId="77777777" w:rsidR="0043643D" w:rsidRPr="00E53765" w:rsidRDefault="0043643D" w:rsidP="00040878">
            <w:pPr>
              <w:jc w:val="center"/>
              <w:rPr>
                <w:rStyle w:val="IntenseReference"/>
                <w:rFonts w:eastAsia="Arial Unicode MS"/>
              </w:rPr>
            </w:pPr>
            <w:r w:rsidRPr="00E53765">
              <w:rPr>
                <w:rStyle w:val="IntenseReference"/>
              </w:rPr>
              <w:t>1998</w:t>
            </w:r>
          </w:p>
        </w:tc>
        <w:tc>
          <w:tcPr>
            <w:tcW w:w="851" w:type="dxa"/>
            <w:shd w:val="clear" w:color="auto" w:fill="F2F2F2" w:themeFill="background1" w:themeFillShade="F2"/>
            <w:vAlign w:val="center"/>
          </w:tcPr>
          <w:p w14:paraId="11EA97B7" w14:textId="77777777" w:rsidR="0043643D" w:rsidRPr="00E53765" w:rsidRDefault="0043643D" w:rsidP="00040878">
            <w:pPr>
              <w:jc w:val="center"/>
              <w:rPr>
                <w:rStyle w:val="IntenseReference"/>
                <w:rFonts w:eastAsia="Arial Unicode MS"/>
              </w:rPr>
            </w:pPr>
            <w:r w:rsidRPr="00E53765">
              <w:rPr>
                <w:rStyle w:val="IntenseReference"/>
              </w:rPr>
              <w:t>2002</w:t>
            </w:r>
          </w:p>
        </w:tc>
        <w:tc>
          <w:tcPr>
            <w:tcW w:w="850" w:type="dxa"/>
            <w:shd w:val="clear" w:color="auto" w:fill="F2F2F2" w:themeFill="background1" w:themeFillShade="F2"/>
            <w:tcMar>
              <w:top w:w="16" w:type="dxa"/>
              <w:left w:w="16" w:type="dxa"/>
              <w:bottom w:w="0" w:type="dxa"/>
              <w:right w:w="16" w:type="dxa"/>
            </w:tcMar>
            <w:vAlign w:val="center"/>
          </w:tcPr>
          <w:p w14:paraId="11EA97B8" w14:textId="77777777" w:rsidR="0043643D" w:rsidRPr="00E53765" w:rsidRDefault="0043643D" w:rsidP="00040878">
            <w:pPr>
              <w:jc w:val="center"/>
              <w:rPr>
                <w:rStyle w:val="IntenseReference"/>
                <w:rFonts w:eastAsia="Arial Unicode MS"/>
              </w:rPr>
            </w:pPr>
            <w:r w:rsidRPr="00E53765">
              <w:rPr>
                <w:rStyle w:val="IntenseReference"/>
                <w:rFonts w:eastAsia="Arial Unicode MS"/>
              </w:rPr>
              <w:t>2006</w:t>
            </w:r>
          </w:p>
        </w:tc>
        <w:tc>
          <w:tcPr>
            <w:tcW w:w="8282" w:type="dxa"/>
            <w:vMerge/>
            <w:vAlign w:val="center"/>
          </w:tcPr>
          <w:p w14:paraId="11EA97B9" w14:textId="77777777" w:rsidR="0043643D" w:rsidRPr="00E53765" w:rsidRDefault="0043643D" w:rsidP="00040878">
            <w:pPr>
              <w:rPr>
                <w:rStyle w:val="IntenseReference"/>
                <w:rFonts w:eastAsia="Arial Unicode MS"/>
              </w:rPr>
            </w:pPr>
          </w:p>
        </w:tc>
      </w:tr>
      <w:tr w:rsidR="00F439FB" w:rsidRPr="00F439FB" w14:paraId="11EA97C3" w14:textId="77777777" w:rsidTr="00040878">
        <w:trPr>
          <w:cantSplit/>
          <w:trHeight w:val="491"/>
        </w:trPr>
        <w:tc>
          <w:tcPr>
            <w:tcW w:w="442" w:type="dxa"/>
            <w:vMerge w:val="restart"/>
            <w:tcMar>
              <w:top w:w="16" w:type="dxa"/>
              <w:left w:w="16" w:type="dxa"/>
              <w:bottom w:w="0" w:type="dxa"/>
              <w:right w:w="16" w:type="dxa"/>
            </w:tcMar>
            <w:textDirection w:val="btLr"/>
            <w:vAlign w:val="center"/>
          </w:tcPr>
          <w:p w14:paraId="11EA97BB" w14:textId="77777777" w:rsidR="0043643D" w:rsidRPr="00E53765" w:rsidRDefault="0043643D" w:rsidP="00040878">
            <w:pPr>
              <w:jc w:val="center"/>
              <w:rPr>
                <w:rStyle w:val="IntenseReference"/>
                <w:rFonts w:eastAsia="Arial Unicode MS"/>
              </w:rPr>
            </w:pPr>
            <w:r w:rsidRPr="00E53765">
              <w:rPr>
                <w:rStyle w:val="IntenseReference"/>
              </w:rPr>
              <w:t>Wet Tropics</w:t>
            </w:r>
          </w:p>
        </w:tc>
        <w:tc>
          <w:tcPr>
            <w:tcW w:w="708" w:type="dxa"/>
            <w:vMerge w:val="restart"/>
            <w:tcMar>
              <w:top w:w="16" w:type="dxa"/>
              <w:left w:w="16" w:type="dxa"/>
              <w:bottom w:w="0" w:type="dxa"/>
              <w:right w:w="16" w:type="dxa"/>
            </w:tcMar>
            <w:textDirection w:val="btLr"/>
            <w:vAlign w:val="center"/>
          </w:tcPr>
          <w:p w14:paraId="11EA97BC" w14:textId="77777777" w:rsidR="0043643D" w:rsidRPr="00E53765" w:rsidRDefault="0043643D" w:rsidP="00040878">
            <w:pPr>
              <w:jc w:val="center"/>
              <w:rPr>
                <w:rStyle w:val="IntenseReference"/>
              </w:rPr>
            </w:pPr>
            <w:r w:rsidRPr="00E53765">
              <w:rPr>
                <w:rStyle w:val="IntenseReference"/>
              </w:rPr>
              <w:t>Barron</w:t>
            </w:r>
          </w:p>
          <w:p w14:paraId="11EA97BD" w14:textId="77777777" w:rsidR="0043643D" w:rsidRPr="00E53765" w:rsidRDefault="0043643D" w:rsidP="00040878">
            <w:pPr>
              <w:jc w:val="center"/>
              <w:rPr>
                <w:rStyle w:val="IntenseReference"/>
                <w:rFonts w:eastAsia="Arial Unicode MS"/>
              </w:rPr>
            </w:pPr>
            <w:r w:rsidRPr="00E53765">
              <w:rPr>
                <w:rStyle w:val="IntenseReference"/>
              </w:rPr>
              <w:t>Daintree</w:t>
            </w:r>
          </w:p>
        </w:tc>
        <w:tc>
          <w:tcPr>
            <w:tcW w:w="1843" w:type="dxa"/>
            <w:tcMar>
              <w:top w:w="16" w:type="dxa"/>
              <w:left w:w="16" w:type="dxa"/>
              <w:bottom w:w="0" w:type="dxa"/>
              <w:right w:w="16" w:type="dxa"/>
            </w:tcMar>
            <w:vAlign w:val="bottom"/>
          </w:tcPr>
          <w:p w14:paraId="11EA97BE" w14:textId="77777777" w:rsidR="0043643D" w:rsidRPr="00E53765" w:rsidRDefault="0043643D" w:rsidP="00040878">
            <w:pPr>
              <w:ind w:left="200"/>
              <w:rPr>
                <w:rStyle w:val="IntenseReference"/>
                <w:rFonts w:eastAsia="Arial Unicode MS"/>
              </w:rPr>
            </w:pPr>
            <w:r w:rsidRPr="00E53765">
              <w:rPr>
                <w:rStyle w:val="IntenseReference"/>
              </w:rPr>
              <w:t>Snapper North</w:t>
            </w:r>
          </w:p>
        </w:tc>
        <w:tc>
          <w:tcPr>
            <w:tcW w:w="976" w:type="dxa"/>
            <w:tcMar>
              <w:top w:w="16" w:type="dxa"/>
              <w:left w:w="16" w:type="dxa"/>
              <w:bottom w:w="0" w:type="dxa"/>
              <w:right w:w="16" w:type="dxa"/>
            </w:tcMar>
            <w:vAlign w:val="center"/>
          </w:tcPr>
          <w:p w14:paraId="11EA97BF"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0.92 (19%)</w:t>
            </w:r>
          </w:p>
        </w:tc>
        <w:tc>
          <w:tcPr>
            <w:tcW w:w="851" w:type="dxa"/>
            <w:vAlign w:val="center"/>
          </w:tcPr>
          <w:p w14:paraId="11EA97C0"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0.95 (Nil)</w:t>
            </w:r>
          </w:p>
        </w:tc>
        <w:tc>
          <w:tcPr>
            <w:tcW w:w="850" w:type="dxa"/>
            <w:tcMar>
              <w:top w:w="16" w:type="dxa"/>
              <w:left w:w="16" w:type="dxa"/>
              <w:bottom w:w="0" w:type="dxa"/>
              <w:right w:w="16" w:type="dxa"/>
            </w:tcMar>
            <w:vAlign w:val="center"/>
          </w:tcPr>
          <w:p w14:paraId="11EA97C1" w14:textId="77777777" w:rsidR="0043643D" w:rsidRPr="00E53765"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bottom"/>
          </w:tcPr>
          <w:p w14:paraId="11EA97C2" w14:textId="320E46E9" w:rsidR="0043643D" w:rsidRPr="00E53765" w:rsidRDefault="0043643D" w:rsidP="00040878">
            <w:pPr>
              <w:spacing w:after="0"/>
              <w:rPr>
                <w:rStyle w:val="IntenseReference"/>
                <w:rFonts w:eastAsia="Arial Unicode MS"/>
                <w:sz w:val="18"/>
                <w:szCs w:val="18"/>
              </w:rPr>
            </w:pPr>
            <w:r w:rsidRPr="00E53765">
              <w:rPr>
                <w:rStyle w:val="IntenseReference"/>
                <w:sz w:val="18"/>
                <w:szCs w:val="18"/>
              </w:rPr>
              <w:t xml:space="preserve">Flood 1996 (20%), Cyclone Rona 1999 (74%), Storm 2009 (13% at </w:t>
            </w:r>
            <w:r w:rsidR="00AA72A3">
              <w:rPr>
                <w:rStyle w:val="IntenseReference"/>
                <w:sz w:val="18"/>
                <w:szCs w:val="18"/>
              </w:rPr>
              <w:t>2 m</w:t>
            </w:r>
            <w:r w:rsidRPr="00E53765">
              <w:rPr>
                <w:rStyle w:val="IntenseReference"/>
                <w:sz w:val="18"/>
                <w:szCs w:val="18"/>
              </w:rPr>
              <w:t xml:space="preserve"> 8% at </w:t>
            </w:r>
            <w:r w:rsidR="00AA72A3">
              <w:rPr>
                <w:rStyle w:val="IntenseReference"/>
                <w:sz w:val="18"/>
                <w:szCs w:val="18"/>
              </w:rPr>
              <w:t>5 m</w:t>
            </w:r>
            <w:r w:rsidRPr="00E53765">
              <w:rPr>
                <w:rStyle w:val="IntenseReference"/>
                <w:sz w:val="18"/>
                <w:szCs w:val="18"/>
              </w:rPr>
              <w:t xml:space="preserve">),Disease 2011 (20% at </w:t>
            </w:r>
            <w:r w:rsidR="00AA72A3">
              <w:rPr>
                <w:rStyle w:val="IntenseReference"/>
                <w:sz w:val="18"/>
                <w:szCs w:val="18"/>
              </w:rPr>
              <w:t>2 m</w:t>
            </w:r>
            <w:r w:rsidRPr="00E53765">
              <w:rPr>
                <w:rStyle w:val="IntenseReference"/>
                <w:sz w:val="18"/>
                <w:szCs w:val="18"/>
              </w:rPr>
              <w:t xml:space="preserve">, 27% at </w:t>
            </w:r>
            <w:r w:rsidR="00AA72A3">
              <w:rPr>
                <w:rStyle w:val="IntenseReference"/>
                <w:sz w:val="18"/>
                <w:szCs w:val="18"/>
              </w:rPr>
              <w:t>5 m</w:t>
            </w:r>
            <w:r w:rsidRPr="00E53765">
              <w:rPr>
                <w:rStyle w:val="IntenseReference"/>
                <w:sz w:val="18"/>
                <w:szCs w:val="18"/>
              </w:rPr>
              <w:t xml:space="preserve">), crown-of-thorns 2012-2013 (38% at </w:t>
            </w:r>
            <w:r w:rsidR="00AA72A3">
              <w:rPr>
                <w:rStyle w:val="IntenseReference"/>
                <w:sz w:val="18"/>
                <w:szCs w:val="18"/>
              </w:rPr>
              <w:t>2 m</w:t>
            </w:r>
            <w:r w:rsidRPr="00E53765">
              <w:rPr>
                <w:rStyle w:val="IntenseReference"/>
                <w:sz w:val="18"/>
                <w:szCs w:val="18"/>
              </w:rPr>
              <w:t xml:space="preserve">, 66% at </w:t>
            </w:r>
            <w:r w:rsidR="00AA72A3">
              <w:rPr>
                <w:rStyle w:val="IntenseReference"/>
                <w:sz w:val="18"/>
                <w:szCs w:val="18"/>
              </w:rPr>
              <w:t>5 m</w:t>
            </w:r>
            <w:r w:rsidRPr="00E53765">
              <w:rPr>
                <w:rStyle w:val="IntenseReference"/>
                <w:sz w:val="18"/>
                <w:szCs w:val="18"/>
              </w:rPr>
              <w:t>), Cyclone Ita 12</w:t>
            </w:r>
            <w:r w:rsidRPr="00E53765">
              <w:rPr>
                <w:rStyle w:val="IntenseReference"/>
                <w:sz w:val="18"/>
                <w:szCs w:val="18"/>
                <w:vertAlign w:val="superscript"/>
              </w:rPr>
              <w:t>th</w:t>
            </w:r>
            <w:r w:rsidRPr="00E53765">
              <w:rPr>
                <w:rStyle w:val="IntenseReference"/>
                <w:sz w:val="18"/>
                <w:szCs w:val="18"/>
              </w:rPr>
              <w:t xml:space="preserve"> April 2014 (90% at </w:t>
            </w:r>
            <w:r w:rsidR="00AA72A3">
              <w:rPr>
                <w:rStyle w:val="IntenseReference"/>
                <w:sz w:val="18"/>
                <w:szCs w:val="18"/>
              </w:rPr>
              <w:t>2 m</w:t>
            </w:r>
            <w:r w:rsidRPr="00E53765">
              <w:rPr>
                <w:rStyle w:val="IntenseReference"/>
                <w:sz w:val="18"/>
                <w:szCs w:val="18"/>
              </w:rPr>
              <w:t xml:space="preserve">, 49% at </w:t>
            </w:r>
            <w:r w:rsidR="00AA72A3">
              <w:rPr>
                <w:rStyle w:val="IntenseReference"/>
                <w:sz w:val="18"/>
                <w:szCs w:val="18"/>
              </w:rPr>
              <w:t>5 m</w:t>
            </w:r>
            <w:r w:rsidRPr="00E53765">
              <w:rPr>
                <w:rStyle w:val="IntenseReference"/>
                <w:sz w:val="18"/>
                <w:szCs w:val="18"/>
              </w:rPr>
              <w:t xml:space="preserve">) – possible flood associated and crown-of-thorns 2014 </w:t>
            </w:r>
          </w:p>
        </w:tc>
      </w:tr>
      <w:tr w:rsidR="00F439FB" w:rsidRPr="00F439FB" w14:paraId="11EA97CB" w14:textId="77777777" w:rsidTr="00040878">
        <w:trPr>
          <w:cantSplit/>
          <w:trHeight w:val="447"/>
        </w:trPr>
        <w:tc>
          <w:tcPr>
            <w:tcW w:w="442" w:type="dxa"/>
            <w:vMerge/>
            <w:vAlign w:val="center"/>
          </w:tcPr>
          <w:p w14:paraId="11EA97C4" w14:textId="77777777" w:rsidR="0043643D" w:rsidRPr="00E53765" w:rsidRDefault="0043643D" w:rsidP="00040878">
            <w:pPr>
              <w:rPr>
                <w:rStyle w:val="IntenseReference"/>
                <w:rFonts w:eastAsia="Arial Unicode MS"/>
              </w:rPr>
            </w:pPr>
          </w:p>
        </w:tc>
        <w:tc>
          <w:tcPr>
            <w:tcW w:w="708" w:type="dxa"/>
            <w:vMerge/>
            <w:vAlign w:val="center"/>
          </w:tcPr>
          <w:p w14:paraId="11EA97C5" w14:textId="77777777" w:rsidR="0043643D" w:rsidRPr="00E53765"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11EA97C6" w14:textId="77777777" w:rsidR="0043643D" w:rsidRPr="00E53765" w:rsidRDefault="0043643D" w:rsidP="00040878">
            <w:pPr>
              <w:ind w:left="200"/>
              <w:rPr>
                <w:rStyle w:val="IntenseReference"/>
                <w:rFonts w:eastAsia="Arial Unicode MS"/>
              </w:rPr>
            </w:pPr>
            <w:r w:rsidRPr="00E53765">
              <w:rPr>
                <w:rStyle w:val="IntenseReference"/>
              </w:rPr>
              <w:t>Snapper South</w:t>
            </w:r>
          </w:p>
        </w:tc>
        <w:tc>
          <w:tcPr>
            <w:tcW w:w="976" w:type="dxa"/>
            <w:tcMar>
              <w:top w:w="16" w:type="dxa"/>
              <w:left w:w="16" w:type="dxa"/>
              <w:bottom w:w="0" w:type="dxa"/>
              <w:right w:w="16" w:type="dxa"/>
            </w:tcMar>
            <w:vAlign w:val="center"/>
          </w:tcPr>
          <w:p w14:paraId="11EA97C7"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0.92 (Nil)</w:t>
            </w:r>
          </w:p>
        </w:tc>
        <w:tc>
          <w:tcPr>
            <w:tcW w:w="851" w:type="dxa"/>
            <w:vAlign w:val="center"/>
          </w:tcPr>
          <w:p w14:paraId="11EA97C8"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0.95 (Nil)</w:t>
            </w:r>
          </w:p>
        </w:tc>
        <w:tc>
          <w:tcPr>
            <w:tcW w:w="850" w:type="dxa"/>
            <w:tcMar>
              <w:top w:w="16" w:type="dxa"/>
              <w:left w:w="16" w:type="dxa"/>
              <w:bottom w:w="0" w:type="dxa"/>
              <w:right w:w="16" w:type="dxa"/>
            </w:tcMar>
            <w:vAlign w:val="center"/>
          </w:tcPr>
          <w:p w14:paraId="11EA97C9" w14:textId="77777777" w:rsidR="0043643D" w:rsidRPr="00E53765"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bottom"/>
          </w:tcPr>
          <w:p w14:paraId="11EA97CA" w14:textId="4B213864" w:rsidR="0043643D" w:rsidRPr="00E53765" w:rsidRDefault="0043643D" w:rsidP="00040878">
            <w:pPr>
              <w:spacing w:after="0"/>
              <w:rPr>
                <w:rStyle w:val="IntenseReference"/>
                <w:rFonts w:eastAsia="Arial Unicode MS"/>
                <w:sz w:val="18"/>
                <w:szCs w:val="18"/>
              </w:rPr>
            </w:pPr>
            <w:r w:rsidRPr="00E53765">
              <w:rPr>
                <w:rStyle w:val="IntenseReference"/>
                <w:sz w:val="18"/>
                <w:szCs w:val="18"/>
              </w:rPr>
              <w:t xml:space="preserve">Flood 1996 (87%), Flood 2004 (32%), crown-of-thorns 2013 (25% at </w:t>
            </w:r>
            <w:r w:rsidR="00AA72A3">
              <w:rPr>
                <w:rStyle w:val="IntenseReference"/>
                <w:sz w:val="18"/>
                <w:szCs w:val="18"/>
              </w:rPr>
              <w:t>2 m</w:t>
            </w:r>
            <w:r w:rsidRPr="00E53765">
              <w:rPr>
                <w:rStyle w:val="IntenseReference"/>
                <w:sz w:val="18"/>
                <w:szCs w:val="18"/>
              </w:rPr>
              <w:t xml:space="preserve">, 17% at </w:t>
            </w:r>
            <w:r w:rsidR="00AA72A3">
              <w:rPr>
                <w:rStyle w:val="IntenseReference"/>
                <w:sz w:val="18"/>
                <w:szCs w:val="18"/>
              </w:rPr>
              <w:t>5 m</w:t>
            </w:r>
            <w:r w:rsidRPr="00E53765">
              <w:rPr>
                <w:rStyle w:val="IntenseReference"/>
                <w:sz w:val="18"/>
                <w:szCs w:val="18"/>
              </w:rPr>
              <w:t>), Cyclone Ita April 12</w:t>
            </w:r>
            <w:r w:rsidRPr="00E53765">
              <w:rPr>
                <w:rStyle w:val="IntenseReference"/>
                <w:sz w:val="18"/>
                <w:szCs w:val="18"/>
                <w:vertAlign w:val="superscript"/>
              </w:rPr>
              <w:t>th</w:t>
            </w:r>
            <w:r w:rsidRPr="00E53765">
              <w:rPr>
                <w:rStyle w:val="IntenseReference"/>
                <w:sz w:val="18"/>
                <w:szCs w:val="18"/>
              </w:rPr>
              <w:t xml:space="preserve"> 2014, (17% at </w:t>
            </w:r>
            <w:r w:rsidR="00AA72A3">
              <w:rPr>
                <w:rStyle w:val="IntenseReference"/>
                <w:sz w:val="18"/>
                <w:szCs w:val="18"/>
              </w:rPr>
              <w:t>2 m</w:t>
            </w:r>
            <w:r w:rsidRPr="00E53765">
              <w:rPr>
                <w:rStyle w:val="IntenseReference"/>
                <w:sz w:val="18"/>
                <w:szCs w:val="18"/>
              </w:rPr>
              <w:t xml:space="preserve">, 21% at </w:t>
            </w:r>
            <w:r w:rsidR="00AA72A3">
              <w:rPr>
                <w:rStyle w:val="IntenseReference"/>
                <w:sz w:val="18"/>
                <w:szCs w:val="18"/>
              </w:rPr>
              <w:t>5 m</w:t>
            </w:r>
            <w:r w:rsidRPr="00E53765">
              <w:rPr>
                <w:rStyle w:val="IntenseReference"/>
                <w:sz w:val="18"/>
                <w:szCs w:val="18"/>
              </w:rPr>
              <w:t>)</w:t>
            </w:r>
          </w:p>
        </w:tc>
      </w:tr>
      <w:tr w:rsidR="00F439FB" w:rsidRPr="00F439FB" w14:paraId="11EA97D3" w14:textId="77777777" w:rsidTr="00040878">
        <w:trPr>
          <w:cantSplit/>
          <w:trHeight w:val="447"/>
        </w:trPr>
        <w:tc>
          <w:tcPr>
            <w:tcW w:w="442" w:type="dxa"/>
            <w:vMerge/>
            <w:vAlign w:val="center"/>
          </w:tcPr>
          <w:p w14:paraId="11EA97CC" w14:textId="77777777" w:rsidR="0043643D" w:rsidRPr="00E53765" w:rsidRDefault="0043643D" w:rsidP="00040878">
            <w:pPr>
              <w:rPr>
                <w:rStyle w:val="IntenseReference"/>
                <w:rFonts w:eastAsia="Arial Unicode MS"/>
              </w:rPr>
            </w:pPr>
          </w:p>
        </w:tc>
        <w:tc>
          <w:tcPr>
            <w:tcW w:w="708" w:type="dxa"/>
            <w:vMerge/>
            <w:vAlign w:val="center"/>
          </w:tcPr>
          <w:p w14:paraId="11EA97CD" w14:textId="77777777" w:rsidR="0043643D" w:rsidRPr="00E53765"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11EA97CE" w14:textId="77777777" w:rsidR="0043643D" w:rsidRPr="00E53765" w:rsidRDefault="0043643D" w:rsidP="00BC521F">
            <w:pPr>
              <w:ind w:left="200"/>
              <w:rPr>
                <w:rStyle w:val="IntenseReference"/>
              </w:rPr>
            </w:pPr>
            <w:r w:rsidRPr="00E53765">
              <w:rPr>
                <w:rStyle w:val="IntenseReference"/>
              </w:rPr>
              <w:t>Low Isle</w:t>
            </w:r>
            <w:r w:rsidR="00BC521F">
              <w:rPr>
                <w:rStyle w:val="IntenseReference"/>
              </w:rPr>
              <w:t>ts</w:t>
            </w:r>
          </w:p>
        </w:tc>
        <w:tc>
          <w:tcPr>
            <w:tcW w:w="976" w:type="dxa"/>
            <w:tcMar>
              <w:top w:w="16" w:type="dxa"/>
              <w:left w:w="16" w:type="dxa"/>
              <w:bottom w:w="0" w:type="dxa"/>
              <w:right w:w="16" w:type="dxa"/>
            </w:tcMar>
            <w:vAlign w:val="center"/>
          </w:tcPr>
          <w:p w14:paraId="11EA97CF" w14:textId="77777777" w:rsidR="0043643D" w:rsidRPr="00E53765" w:rsidRDefault="0043643D" w:rsidP="00040878">
            <w:pPr>
              <w:jc w:val="center"/>
              <w:rPr>
                <w:rStyle w:val="IntenseReference"/>
                <w:sz w:val="18"/>
                <w:szCs w:val="18"/>
              </w:rPr>
            </w:pPr>
          </w:p>
        </w:tc>
        <w:tc>
          <w:tcPr>
            <w:tcW w:w="851" w:type="dxa"/>
            <w:vAlign w:val="center"/>
          </w:tcPr>
          <w:p w14:paraId="11EA97D0" w14:textId="77777777" w:rsidR="0043643D" w:rsidRPr="00E53765" w:rsidRDefault="0043643D" w:rsidP="00040878">
            <w:pPr>
              <w:jc w:val="center"/>
              <w:rPr>
                <w:rStyle w:val="IntenseReference"/>
                <w:sz w:val="18"/>
                <w:szCs w:val="18"/>
              </w:rPr>
            </w:pPr>
          </w:p>
        </w:tc>
        <w:tc>
          <w:tcPr>
            <w:tcW w:w="850" w:type="dxa"/>
            <w:tcMar>
              <w:top w:w="16" w:type="dxa"/>
              <w:left w:w="16" w:type="dxa"/>
              <w:bottom w:w="0" w:type="dxa"/>
              <w:right w:w="16" w:type="dxa"/>
            </w:tcMar>
            <w:vAlign w:val="center"/>
          </w:tcPr>
          <w:p w14:paraId="11EA97D1" w14:textId="77777777" w:rsidR="0043643D" w:rsidRPr="00E53765"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center"/>
          </w:tcPr>
          <w:p w14:paraId="11EA97D2" w14:textId="77777777" w:rsidR="0043643D" w:rsidRPr="00E53765" w:rsidRDefault="0043643D" w:rsidP="00040878">
            <w:pPr>
              <w:spacing w:after="0"/>
              <w:jc w:val="left"/>
              <w:rPr>
                <w:rStyle w:val="IntenseReference"/>
                <w:sz w:val="18"/>
                <w:szCs w:val="18"/>
              </w:rPr>
            </w:pPr>
            <w:r w:rsidRPr="00E53765">
              <w:rPr>
                <w:rStyle w:val="IntenseReference"/>
                <w:sz w:val="18"/>
                <w:szCs w:val="18"/>
              </w:rPr>
              <w:t>Crown-of-thorns 1997-1999 (52%), Multiple disturbances (Cyclone Rona, crown-of-thorns) 1999-2000 (61%), Multiple disturbances (Cyclone Yasi, bleaching and disease) 2009-2011 (23</w:t>
            </w:r>
            <w:r w:rsidR="0033244F" w:rsidRPr="00E53765">
              <w:rPr>
                <w:rStyle w:val="IntenseReference"/>
                <w:sz w:val="18"/>
                <w:szCs w:val="18"/>
              </w:rPr>
              <w:t>%)</w:t>
            </w:r>
            <w:r w:rsidRPr="00E53765">
              <w:rPr>
                <w:rStyle w:val="IntenseReference"/>
                <w:sz w:val="18"/>
                <w:szCs w:val="18"/>
              </w:rPr>
              <w:t>, Crown-of-thorns 2013-2015(38%)</w:t>
            </w:r>
          </w:p>
        </w:tc>
      </w:tr>
      <w:tr w:rsidR="00F439FB" w:rsidRPr="00F439FB" w14:paraId="11EA97DC" w14:textId="77777777" w:rsidTr="00040878">
        <w:trPr>
          <w:cantSplit/>
          <w:trHeight w:val="245"/>
        </w:trPr>
        <w:tc>
          <w:tcPr>
            <w:tcW w:w="442" w:type="dxa"/>
            <w:vMerge/>
            <w:vAlign w:val="center"/>
          </w:tcPr>
          <w:p w14:paraId="11EA97D4" w14:textId="77777777" w:rsidR="0043643D" w:rsidRPr="00E53765" w:rsidRDefault="0043643D" w:rsidP="00040878">
            <w:pPr>
              <w:rPr>
                <w:rStyle w:val="IntenseReference"/>
                <w:rFonts w:eastAsia="Arial Unicode MS"/>
              </w:rPr>
            </w:pPr>
          </w:p>
        </w:tc>
        <w:tc>
          <w:tcPr>
            <w:tcW w:w="708" w:type="dxa"/>
            <w:vMerge w:val="restart"/>
            <w:tcMar>
              <w:top w:w="16" w:type="dxa"/>
              <w:left w:w="16" w:type="dxa"/>
              <w:bottom w:w="0" w:type="dxa"/>
              <w:right w:w="16" w:type="dxa"/>
            </w:tcMar>
            <w:textDirection w:val="btLr"/>
            <w:vAlign w:val="center"/>
          </w:tcPr>
          <w:p w14:paraId="11EA97D5" w14:textId="77777777" w:rsidR="0043643D" w:rsidRPr="00E53765" w:rsidRDefault="0043643D" w:rsidP="00040878">
            <w:pPr>
              <w:jc w:val="center"/>
              <w:rPr>
                <w:rStyle w:val="IntenseReference"/>
              </w:rPr>
            </w:pPr>
            <w:r w:rsidRPr="00E53765">
              <w:rPr>
                <w:rStyle w:val="IntenseReference"/>
              </w:rPr>
              <w:t xml:space="preserve">Johnstone </w:t>
            </w:r>
          </w:p>
          <w:p w14:paraId="11EA97D6" w14:textId="77777777" w:rsidR="0043643D" w:rsidRPr="00E53765" w:rsidRDefault="0043643D" w:rsidP="00040878">
            <w:pPr>
              <w:jc w:val="center"/>
              <w:rPr>
                <w:rStyle w:val="IntenseReference"/>
                <w:rFonts w:eastAsia="Arial Unicode MS"/>
              </w:rPr>
            </w:pPr>
            <w:r w:rsidRPr="00E53765">
              <w:rPr>
                <w:rStyle w:val="IntenseReference"/>
              </w:rPr>
              <w:t xml:space="preserve">Russell-Mulgrave </w:t>
            </w:r>
          </w:p>
        </w:tc>
        <w:tc>
          <w:tcPr>
            <w:tcW w:w="1843" w:type="dxa"/>
            <w:tcMar>
              <w:top w:w="16" w:type="dxa"/>
              <w:left w:w="16" w:type="dxa"/>
              <w:bottom w:w="0" w:type="dxa"/>
              <w:right w:w="16" w:type="dxa"/>
            </w:tcMar>
            <w:vAlign w:val="bottom"/>
          </w:tcPr>
          <w:p w14:paraId="11EA97D7" w14:textId="77777777" w:rsidR="0043643D" w:rsidRPr="00E53765" w:rsidRDefault="0043643D" w:rsidP="00040878">
            <w:pPr>
              <w:ind w:left="200"/>
              <w:rPr>
                <w:rStyle w:val="IntenseReference"/>
                <w:rFonts w:eastAsia="Arial Unicode MS"/>
              </w:rPr>
            </w:pPr>
            <w:r w:rsidRPr="00E53765">
              <w:rPr>
                <w:rStyle w:val="IntenseReference"/>
              </w:rPr>
              <w:t>Fitzroy East</w:t>
            </w:r>
          </w:p>
        </w:tc>
        <w:tc>
          <w:tcPr>
            <w:tcW w:w="976" w:type="dxa"/>
            <w:tcMar>
              <w:top w:w="16" w:type="dxa"/>
              <w:left w:w="16" w:type="dxa"/>
              <w:bottom w:w="0" w:type="dxa"/>
              <w:right w:w="16" w:type="dxa"/>
            </w:tcMar>
            <w:vAlign w:val="center"/>
          </w:tcPr>
          <w:p w14:paraId="11EA97D8"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0.92</w:t>
            </w:r>
          </w:p>
        </w:tc>
        <w:tc>
          <w:tcPr>
            <w:tcW w:w="851" w:type="dxa"/>
            <w:vAlign w:val="center"/>
          </w:tcPr>
          <w:p w14:paraId="11EA97D9"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0.95</w:t>
            </w:r>
          </w:p>
        </w:tc>
        <w:tc>
          <w:tcPr>
            <w:tcW w:w="850" w:type="dxa"/>
            <w:tcMar>
              <w:top w:w="16" w:type="dxa"/>
              <w:left w:w="16" w:type="dxa"/>
              <w:bottom w:w="0" w:type="dxa"/>
              <w:right w:w="16" w:type="dxa"/>
            </w:tcMar>
            <w:vAlign w:val="center"/>
          </w:tcPr>
          <w:p w14:paraId="11EA97DA" w14:textId="77777777" w:rsidR="0043643D" w:rsidRPr="00E53765"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bottom"/>
          </w:tcPr>
          <w:p w14:paraId="11EA97DB" w14:textId="05CB0110" w:rsidR="0043643D" w:rsidRPr="00E53765" w:rsidRDefault="0043643D" w:rsidP="00040878">
            <w:pPr>
              <w:spacing w:after="0"/>
              <w:rPr>
                <w:rStyle w:val="IntenseReference"/>
                <w:rFonts w:eastAsia="Arial Unicode MS"/>
                <w:sz w:val="18"/>
                <w:szCs w:val="18"/>
              </w:rPr>
            </w:pPr>
            <w:r w:rsidRPr="00E53765">
              <w:rPr>
                <w:rStyle w:val="IntenseReference"/>
                <w:sz w:val="18"/>
                <w:szCs w:val="18"/>
              </w:rPr>
              <w:t xml:space="preserve">Cyclone Felicity 1989 (75% manta tow data), Disease 2010 (14% at </w:t>
            </w:r>
            <w:r w:rsidR="00AA72A3">
              <w:rPr>
                <w:rStyle w:val="IntenseReference"/>
                <w:sz w:val="18"/>
                <w:szCs w:val="18"/>
              </w:rPr>
              <w:t>2 m</w:t>
            </w:r>
            <w:r w:rsidRPr="00E53765">
              <w:rPr>
                <w:rStyle w:val="IntenseReference"/>
                <w:sz w:val="18"/>
                <w:szCs w:val="18"/>
              </w:rPr>
              <w:t xml:space="preserve">, 6% at </w:t>
            </w:r>
            <w:r w:rsidR="00AA72A3">
              <w:rPr>
                <w:rStyle w:val="IntenseReference"/>
                <w:sz w:val="18"/>
                <w:szCs w:val="18"/>
              </w:rPr>
              <w:t>5 m</w:t>
            </w:r>
            <w:r w:rsidRPr="00E53765">
              <w:rPr>
                <w:rStyle w:val="IntenseReference"/>
                <w:sz w:val="18"/>
                <w:szCs w:val="18"/>
              </w:rPr>
              <w:t xml:space="preserve">), Disease 2011 (60% at </w:t>
            </w:r>
            <w:r w:rsidR="00AA72A3">
              <w:rPr>
                <w:rStyle w:val="IntenseReference"/>
                <w:sz w:val="18"/>
                <w:szCs w:val="18"/>
              </w:rPr>
              <w:t>2 m</w:t>
            </w:r>
            <w:r w:rsidRPr="00E53765">
              <w:rPr>
                <w:rStyle w:val="IntenseReference"/>
                <w:sz w:val="18"/>
                <w:szCs w:val="18"/>
              </w:rPr>
              <w:t xml:space="preserve">, 42% at </w:t>
            </w:r>
            <w:r w:rsidR="00AA72A3">
              <w:rPr>
                <w:rStyle w:val="IntenseReference"/>
                <w:sz w:val="18"/>
                <w:szCs w:val="18"/>
              </w:rPr>
              <w:t>5 m</w:t>
            </w:r>
            <w:r w:rsidRPr="00E53765">
              <w:rPr>
                <w:rStyle w:val="IntenseReference"/>
                <w:sz w:val="18"/>
                <w:szCs w:val="18"/>
              </w:rPr>
              <w:t xml:space="preserve">), crown-of-thorns 2012 (12%), ), crown-of-thorns 2014(26% at </w:t>
            </w:r>
            <w:r w:rsidR="00AA72A3">
              <w:rPr>
                <w:rStyle w:val="IntenseReference"/>
                <w:sz w:val="18"/>
                <w:szCs w:val="18"/>
              </w:rPr>
              <w:t>2 m</w:t>
            </w:r>
            <w:r w:rsidRPr="00E53765">
              <w:rPr>
                <w:rStyle w:val="IntenseReference"/>
                <w:sz w:val="18"/>
                <w:szCs w:val="18"/>
              </w:rPr>
              <w:t xml:space="preserve">, 48% at </w:t>
            </w:r>
            <w:r w:rsidR="00AA72A3">
              <w:rPr>
                <w:rStyle w:val="IntenseReference"/>
                <w:sz w:val="18"/>
                <w:szCs w:val="18"/>
              </w:rPr>
              <w:t>5 m</w:t>
            </w:r>
            <w:r w:rsidRPr="00E53765">
              <w:rPr>
                <w:rStyle w:val="IntenseReference"/>
                <w:sz w:val="18"/>
                <w:szCs w:val="18"/>
              </w:rPr>
              <w:t>)</w:t>
            </w:r>
          </w:p>
        </w:tc>
      </w:tr>
      <w:tr w:rsidR="00F439FB" w:rsidRPr="00F439FB" w14:paraId="11EA97E6" w14:textId="77777777" w:rsidTr="00040878">
        <w:trPr>
          <w:cantSplit/>
          <w:trHeight w:val="318"/>
        </w:trPr>
        <w:tc>
          <w:tcPr>
            <w:tcW w:w="442" w:type="dxa"/>
            <w:vMerge/>
            <w:vAlign w:val="center"/>
          </w:tcPr>
          <w:p w14:paraId="11EA97DD" w14:textId="77777777" w:rsidR="0043643D" w:rsidRPr="00E53765" w:rsidRDefault="0043643D" w:rsidP="00040878">
            <w:pPr>
              <w:rPr>
                <w:rStyle w:val="IntenseReference"/>
                <w:rFonts w:eastAsia="Arial Unicode MS"/>
              </w:rPr>
            </w:pPr>
          </w:p>
        </w:tc>
        <w:tc>
          <w:tcPr>
            <w:tcW w:w="708" w:type="dxa"/>
            <w:vMerge/>
            <w:vAlign w:val="center"/>
          </w:tcPr>
          <w:p w14:paraId="11EA97DE" w14:textId="77777777" w:rsidR="0043643D" w:rsidRPr="00E53765"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11EA97DF" w14:textId="77777777" w:rsidR="0043643D" w:rsidRPr="00E53765" w:rsidRDefault="0043643D" w:rsidP="00040878">
            <w:pPr>
              <w:ind w:left="200"/>
              <w:rPr>
                <w:rStyle w:val="IntenseReference"/>
                <w:rFonts w:eastAsia="Arial Unicode MS"/>
              </w:rPr>
            </w:pPr>
            <w:r w:rsidRPr="00E53765">
              <w:rPr>
                <w:rStyle w:val="IntenseReference"/>
              </w:rPr>
              <w:t>Fitzroy West</w:t>
            </w:r>
          </w:p>
        </w:tc>
        <w:tc>
          <w:tcPr>
            <w:tcW w:w="976" w:type="dxa"/>
            <w:tcMar>
              <w:top w:w="16" w:type="dxa"/>
              <w:left w:w="16" w:type="dxa"/>
              <w:bottom w:w="0" w:type="dxa"/>
              <w:right w:w="16" w:type="dxa"/>
            </w:tcMar>
            <w:vAlign w:val="center"/>
          </w:tcPr>
          <w:p w14:paraId="11EA97E0"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0.92 (13%)</w:t>
            </w:r>
          </w:p>
        </w:tc>
        <w:tc>
          <w:tcPr>
            <w:tcW w:w="851" w:type="dxa"/>
            <w:vAlign w:val="center"/>
          </w:tcPr>
          <w:p w14:paraId="11EA97E1"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0.95(15%)</w:t>
            </w:r>
          </w:p>
        </w:tc>
        <w:tc>
          <w:tcPr>
            <w:tcW w:w="850" w:type="dxa"/>
            <w:tcMar>
              <w:top w:w="16" w:type="dxa"/>
              <w:left w:w="16" w:type="dxa"/>
              <w:bottom w:w="0" w:type="dxa"/>
              <w:right w:w="16" w:type="dxa"/>
            </w:tcMar>
            <w:vAlign w:val="center"/>
          </w:tcPr>
          <w:p w14:paraId="11EA97E2" w14:textId="77777777" w:rsidR="0043643D" w:rsidRPr="00E53765"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bottom"/>
          </w:tcPr>
          <w:p w14:paraId="11EA97E3" w14:textId="77777777" w:rsidR="0043643D" w:rsidRPr="00E53765" w:rsidRDefault="0043643D" w:rsidP="00040878">
            <w:pPr>
              <w:spacing w:after="0"/>
              <w:rPr>
                <w:rStyle w:val="IntenseReference"/>
                <w:sz w:val="18"/>
                <w:szCs w:val="18"/>
              </w:rPr>
            </w:pPr>
            <w:r w:rsidRPr="00E53765">
              <w:rPr>
                <w:rStyle w:val="IntenseReference"/>
                <w:sz w:val="18"/>
                <w:szCs w:val="18"/>
              </w:rPr>
              <w:t xml:space="preserve">Crown-of-thorns 1999-2000 (78%), Cyclone Hamish 2009 (stalled recovery trajectory), </w:t>
            </w:r>
          </w:p>
          <w:p w14:paraId="11EA97E4" w14:textId="343D60F4" w:rsidR="0043643D" w:rsidRPr="00E53765" w:rsidRDefault="0043643D" w:rsidP="00040878">
            <w:pPr>
              <w:spacing w:after="0"/>
              <w:rPr>
                <w:rStyle w:val="IntenseReference"/>
                <w:sz w:val="18"/>
                <w:szCs w:val="18"/>
              </w:rPr>
            </w:pPr>
            <w:r w:rsidRPr="00E53765">
              <w:rPr>
                <w:rStyle w:val="IntenseReference"/>
                <w:sz w:val="18"/>
                <w:szCs w:val="18"/>
              </w:rPr>
              <w:t xml:space="preserve">Disease 2011 (41% at </w:t>
            </w:r>
            <w:r w:rsidR="00AA72A3">
              <w:rPr>
                <w:rStyle w:val="IntenseReference"/>
                <w:sz w:val="18"/>
                <w:szCs w:val="18"/>
              </w:rPr>
              <w:t>2 m</w:t>
            </w:r>
            <w:r w:rsidRPr="00E53765">
              <w:rPr>
                <w:rStyle w:val="IntenseReference"/>
                <w:sz w:val="18"/>
                <w:szCs w:val="18"/>
              </w:rPr>
              <w:t xml:space="preserve">, 17% at </w:t>
            </w:r>
            <w:r w:rsidR="00AA72A3">
              <w:rPr>
                <w:rStyle w:val="IntenseReference"/>
                <w:sz w:val="18"/>
                <w:szCs w:val="18"/>
              </w:rPr>
              <w:t>5 m</w:t>
            </w:r>
            <w:r w:rsidRPr="00E53765">
              <w:rPr>
                <w:rStyle w:val="IntenseReference"/>
                <w:sz w:val="18"/>
                <w:szCs w:val="18"/>
              </w:rPr>
              <w:t xml:space="preserve">), crown-of-thorns 2012 (12% at </w:t>
            </w:r>
            <w:r w:rsidR="00AA72A3">
              <w:rPr>
                <w:rStyle w:val="IntenseReference"/>
                <w:sz w:val="18"/>
                <w:szCs w:val="18"/>
              </w:rPr>
              <w:t>5 m</w:t>
            </w:r>
            <w:r w:rsidRPr="00E53765">
              <w:rPr>
                <w:rStyle w:val="IntenseReference"/>
                <w:sz w:val="18"/>
                <w:szCs w:val="18"/>
              </w:rPr>
              <w:t xml:space="preserve">), crown-of-thorns 2013 (32% at </w:t>
            </w:r>
            <w:r w:rsidR="00AA72A3">
              <w:rPr>
                <w:rStyle w:val="IntenseReference"/>
                <w:sz w:val="18"/>
                <w:szCs w:val="18"/>
              </w:rPr>
              <w:t>2 m</w:t>
            </w:r>
            <w:r w:rsidRPr="00E53765">
              <w:rPr>
                <w:rStyle w:val="IntenseReference"/>
                <w:sz w:val="18"/>
                <w:szCs w:val="18"/>
              </w:rPr>
              <w:t xml:space="preserve">,36% at </w:t>
            </w:r>
            <w:r w:rsidR="00AA72A3">
              <w:rPr>
                <w:rStyle w:val="IntenseReference"/>
                <w:sz w:val="18"/>
                <w:szCs w:val="18"/>
              </w:rPr>
              <w:t>5 m</w:t>
            </w:r>
            <w:r w:rsidRPr="00E53765">
              <w:rPr>
                <w:rStyle w:val="IntenseReference"/>
                <w:sz w:val="18"/>
                <w:szCs w:val="18"/>
              </w:rPr>
              <w:t>),</w:t>
            </w:r>
          </w:p>
          <w:p w14:paraId="11EA97E5" w14:textId="33E6AC21" w:rsidR="0043643D" w:rsidRPr="00E53765" w:rsidRDefault="0043643D" w:rsidP="00040878">
            <w:pPr>
              <w:spacing w:after="0"/>
              <w:rPr>
                <w:rStyle w:val="IntenseReference"/>
                <w:rFonts w:eastAsia="Arial Unicode MS"/>
                <w:sz w:val="18"/>
                <w:szCs w:val="18"/>
              </w:rPr>
            </w:pPr>
            <w:r w:rsidRPr="00E53765">
              <w:rPr>
                <w:rStyle w:val="IntenseReference"/>
                <w:sz w:val="18"/>
                <w:szCs w:val="18"/>
              </w:rPr>
              <w:t xml:space="preserve">crown-of-thorns 2014(5% at </w:t>
            </w:r>
            <w:r w:rsidR="00AA72A3">
              <w:rPr>
                <w:rStyle w:val="IntenseReference"/>
                <w:sz w:val="18"/>
                <w:szCs w:val="18"/>
              </w:rPr>
              <w:t>2 m</w:t>
            </w:r>
            <w:r w:rsidRPr="00E53765">
              <w:rPr>
                <w:rStyle w:val="IntenseReference"/>
                <w:sz w:val="18"/>
                <w:szCs w:val="18"/>
              </w:rPr>
              <w:t>)</w:t>
            </w:r>
          </w:p>
        </w:tc>
      </w:tr>
      <w:tr w:rsidR="00F439FB" w:rsidRPr="00F439FB" w14:paraId="11EA97EE" w14:textId="77777777" w:rsidTr="00040878">
        <w:trPr>
          <w:cantSplit/>
          <w:trHeight w:val="318"/>
        </w:trPr>
        <w:tc>
          <w:tcPr>
            <w:tcW w:w="442" w:type="dxa"/>
            <w:vMerge/>
            <w:vAlign w:val="center"/>
          </w:tcPr>
          <w:p w14:paraId="11EA97E7" w14:textId="77777777" w:rsidR="0043643D" w:rsidRPr="00E53765" w:rsidRDefault="0043643D" w:rsidP="00040878">
            <w:pPr>
              <w:rPr>
                <w:rStyle w:val="IntenseReference"/>
                <w:rFonts w:eastAsia="Arial Unicode MS"/>
              </w:rPr>
            </w:pPr>
          </w:p>
        </w:tc>
        <w:tc>
          <w:tcPr>
            <w:tcW w:w="708" w:type="dxa"/>
            <w:vMerge/>
            <w:vAlign w:val="center"/>
          </w:tcPr>
          <w:p w14:paraId="11EA97E8" w14:textId="77777777" w:rsidR="0043643D" w:rsidRPr="00E53765"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11EA97E9" w14:textId="77777777" w:rsidR="0043643D" w:rsidRPr="00E53765" w:rsidRDefault="0043643D" w:rsidP="00040878">
            <w:pPr>
              <w:ind w:left="200"/>
              <w:rPr>
                <w:rStyle w:val="IntenseReference"/>
              </w:rPr>
            </w:pPr>
            <w:r w:rsidRPr="00E53765">
              <w:rPr>
                <w:rStyle w:val="IntenseReference"/>
              </w:rPr>
              <w:t>Fitzroy West LTMP</w:t>
            </w:r>
          </w:p>
        </w:tc>
        <w:tc>
          <w:tcPr>
            <w:tcW w:w="976" w:type="dxa"/>
            <w:tcMar>
              <w:top w:w="16" w:type="dxa"/>
              <w:left w:w="16" w:type="dxa"/>
              <w:bottom w:w="0" w:type="dxa"/>
              <w:right w:w="16" w:type="dxa"/>
            </w:tcMar>
            <w:vAlign w:val="center"/>
          </w:tcPr>
          <w:p w14:paraId="11EA97EA" w14:textId="77777777" w:rsidR="0043643D" w:rsidRPr="00E53765" w:rsidRDefault="0043643D" w:rsidP="00040878">
            <w:pPr>
              <w:jc w:val="center"/>
              <w:rPr>
                <w:rStyle w:val="IntenseReference"/>
                <w:sz w:val="18"/>
                <w:szCs w:val="18"/>
              </w:rPr>
            </w:pPr>
            <w:r w:rsidRPr="00E53765">
              <w:rPr>
                <w:rStyle w:val="IntenseReference"/>
                <w:sz w:val="18"/>
                <w:szCs w:val="18"/>
              </w:rPr>
              <w:t>81%</w:t>
            </w:r>
          </w:p>
        </w:tc>
        <w:tc>
          <w:tcPr>
            <w:tcW w:w="851" w:type="dxa"/>
            <w:vAlign w:val="center"/>
          </w:tcPr>
          <w:p w14:paraId="11EA97EB" w14:textId="77777777" w:rsidR="0043643D" w:rsidRPr="00E53765" w:rsidRDefault="0043643D" w:rsidP="00040878">
            <w:pPr>
              <w:jc w:val="center"/>
              <w:rPr>
                <w:rStyle w:val="IntenseReference"/>
                <w:sz w:val="18"/>
                <w:szCs w:val="18"/>
              </w:rPr>
            </w:pPr>
          </w:p>
        </w:tc>
        <w:tc>
          <w:tcPr>
            <w:tcW w:w="850" w:type="dxa"/>
            <w:tcMar>
              <w:top w:w="16" w:type="dxa"/>
              <w:left w:w="16" w:type="dxa"/>
              <w:bottom w:w="0" w:type="dxa"/>
              <w:right w:w="16" w:type="dxa"/>
            </w:tcMar>
            <w:vAlign w:val="center"/>
          </w:tcPr>
          <w:p w14:paraId="11EA97EC" w14:textId="77777777" w:rsidR="0043643D" w:rsidRPr="00E53765"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center"/>
          </w:tcPr>
          <w:p w14:paraId="11EA97ED" w14:textId="77777777" w:rsidR="0043643D" w:rsidRPr="00E53765" w:rsidRDefault="0043643D" w:rsidP="00040878">
            <w:pPr>
              <w:spacing w:after="0"/>
              <w:jc w:val="left"/>
              <w:rPr>
                <w:rStyle w:val="IntenseReference"/>
                <w:sz w:val="18"/>
                <w:szCs w:val="18"/>
              </w:rPr>
            </w:pPr>
            <w:r w:rsidRPr="00E53765">
              <w:rPr>
                <w:rStyle w:val="IntenseReference"/>
                <w:sz w:val="18"/>
                <w:szCs w:val="18"/>
              </w:rPr>
              <w:t>Crown-of-thorns and conti</w:t>
            </w:r>
            <w:r w:rsidR="0033244F" w:rsidRPr="00E53765">
              <w:rPr>
                <w:rStyle w:val="IntenseReference"/>
                <w:sz w:val="18"/>
                <w:szCs w:val="18"/>
              </w:rPr>
              <w:t>nued bleaching 1999-2000 (81%),</w:t>
            </w:r>
            <w:r w:rsidRPr="00E53765">
              <w:rPr>
                <w:rStyle w:val="IntenseReference"/>
                <w:sz w:val="18"/>
                <w:szCs w:val="18"/>
              </w:rPr>
              <w:t xml:space="preserve"> crown-of-thorns 2013 (5%) and 2014-15(46%)</w:t>
            </w:r>
          </w:p>
        </w:tc>
      </w:tr>
      <w:tr w:rsidR="00F439FB" w:rsidRPr="00F439FB" w14:paraId="11EA97F6" w14:textId="77777777" w:rsidTr="00040878">
        <w:trPr>
          <w:cantSplit/>
          <w:trHeight w:val="466"/>
        </w:trPr>
        <w:tc>
          <w:tcPr>
            <w:tcW w:w="442" w:type="dxa"/>
            <w:vMerge/>
            <w:vAlign w:val="center"/>
          </w:tcPr>
          <w:p w14:paraId="11EA97EF" w14:textId="77777777" w:rsidR="0043643D" w:rsidRPr="00E53765" w:rsidRDefault="0043643D" w:rsidP="00040878">
            <w:pPr>
              <w:rPr>
                <w:rStyle w:val="IntenseReference"/>
                <w:rFonts w:eastAsia="Arial Unicode MS"/>
              </w:rPr>
            </w:pPr>
          </w:p>
        </w:tc>
        <w:tc>
          <w:tcPr>
            <w:tcW w:w="708" w:type="dxa"/>
            <w:vMerge/>
            <w:vAlign w:val="center"/>
          </w:tcPr>
          <w:p w14:paraId="11EA97F0" w14:textId="77777777" w:rsidR="0043643D" w:rsidRPr="00E53765"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11EA97F1" w14:textId="77777777" w:rsidR="0043643D" w:rsidRPr="00E53765" w:rsidRDefault="0043643D" w:rsidP="00040878">
            <w:pPr>
              <w:ind w:left="200"/>
              <w:rPr>
                <w:rStyle w:val="IntenseReference"/>
                <w:rFonts w:eastAsia="Arial Unicode MS"/>
              </w:rPr>
            </w:pPr>
            <w:r w:rsidRPr="00E53765">
              <w:rPr>
                <w:rStyle w:val="IntenseReference"/>
              </w:rPr>
              <w:t>Franklands East</w:t>
            </w:r>
          </w:p>
        </w:tc>
        <w:tc>
          <w:tcPr>
            <w:tcW w:w="976" w:type="dxa"/>
            <w:tcMar>
              <w:top w:w="16" w:type="dxa"/>
              <w:left w:w="16" w:type="dxa"/>
              <w:bottom w:w="0" w:type="dxa"/>
              <w:right w:w="16" w:type="dxa"/>
            </w:tcMar>
            <w:vAlign w:val="center"/>
          </w:tcPr>
          <w:p w14:paraId="11EA97F2"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0.92 (43%)</w:t>
            </w:r>
          </w:p>
        </w:tc>
        <w:tc>
          <w:tcPr>
            <w:tcW w:w="851" w:type="dxa"/>
            <w:vAlign w:val="center"/>
          </w:tcPr>
          <w:p w14:paraId="11EA97F3"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0.80 (Nil)</w:t>
            </w:r>
          </w:p>
        </w:tc>
        <w:tc>
          <w:tcPr>
            <w:tcW w:w="850" w:type="dxa"/>
            <w:tcMar>
              <w:top w:w="16" w:type="dxa"/>
              <w:left w:w="16" w:type="dxa"/>
              <w:bottom w:w="0" w:type="dxa"/>
              <w:right w:w="16" w:type="dxa"/>
            </w:tcMar>
            <w:vAlign w:val="center"/>
          </w:tcPr>
          <w:p w14:paraId="11EA97F4" w14:textId="77777777" w:rsidR="0043643D" w:rsidRPr="00E53765"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center"/>
          </w:tcPr>
          <w:p w14:paraId="11EA97F5" w14:textId="648CD1A9" w:rsidR="0043643D" w:rsidRPr="00E53765" w:rsidRDefault="0043643D" w:rsidP="00040878">
            <w:pPr>
              <w:spacing w:after="0"/>
              <w:jc w:val="left"/>
              <w:rPr>
                <w:rStyle w:val="IntenseReference"/>
                <w:sz w:val="18"/>
                <w:szCs w:val="18"/>
              </w:rPr>
            </w:pPr>
            <w:r w:rsidRPr="00E53765">
              <w:rPr>
                <w:rStyle w:val="IntenseReference"/>
                <w:sz w:val="18"/>
                <w:szCs w:val="18"/>
              </w:rPr>
              <w:t xml:space="preserve">Unknown though likely crown-of-thorns 2000 (68%) Cyclone Larry 2006 (63% at </w:t>
            </w:r>
            <w:r w:rsidR="00AA72A3">
              <w:rPr>
                <w:rStyle w:val="IntenseReference"/>
                <w:sz w:val="18"/>
                <w:szCs w:val="18"/>
              </w:rPr>
              <w:t>2 m</w:t>
            </w:r>
            <w:r w:rsidRPr="00E53765">
              <w:rPr>
                <w:rStyle w:val="IntenseReference"/>
                <w:sz w:val="18"/>
                <w:szCs w:val="18"/>
              </w:rPr>
              <w:t xml:space="preserve"> , 50% at </w:t>
            </w:r>
            <w:r w:rsidR="00AA72A3">
              <w:rPr>
                <w:rStyle w:val="IntenseReference"/>
                <w:sz w:val="18"/>
                <w:szCs w:val="18"/>
              </w:rPr>
              <w:t>5 m</w:t>
            </w:r>
            <w:r w:rsidRPr="00E53765">
              <w:rPr>
                <w:rStyle w:val="IntenseReference"/>
                <w:sz w:val="18"/>
                <w:szCs w:val="18"/>
              </w:rPr>
              <w:t xml:space="preserve">), Disease 2007-2008 (34% at </w:t>
            </w:r>
            <w:r w:rsidR="00AA72A3">
              <w:rPr>
                <w:rStyle w:val="IntenseReference"/>
                <w:sz w:val="18"/>
                <w:szCs w:val="18"/>
              </w:rPr>
              <w:t>2 m</w:t>
            </w:r>
            <w:r w:rsidRPr="00E53765">
              <w:rPr>
                <w:rStyle w:val="IntenseReference"/>
                <w:sz w:val="18"/>
                <w:szCs w:val="18"/>
              </w:rPr>
              <w:t xml:space="preserve">), Cyclone Tasha/Yasi 2011 (60% at 2 m, 41% at </w:t>
            </w:r>
            <w:r w:rsidR="00AA72A3">
              <w:rPr>
                <w:rStyle w:val="IntenseReference"/>
                <w:sz w:val="18"/>
                <w:szCs w:val="18"/>
              </w:rPr>
              <w:t>5 m</w:t>
            </w:r>
            <w:r w:rsidRPr="00E53765">
              <w:rPr>
                <w:rStyle w:val="IntenseReference"/>
                <w:sz w:val="18"/>
                <w:szCs w:val="18"/>
              </w:rPr>
              <w:t>)</w:t>
            </w:r>
          </w:p>
        </w:tc>
      </w:tr>
      <w:tr w:rsidR="00F439FB" w:rsidRPr="00F439FB" w14:paraId="11EA97FE" w14:textId="77777777" w:rsidTr="00040878">
        <w:trPr>
          <w:cantSplit/>
          <w:trHeight w:val="135"/>
        </w:trPr>
        <w:tc>
          <w:tcPr>
            <w:tcW w:w="442" w:type="dxa"/>
            <w:vMerge/>
            <w:vAlign w:val="center"/>
          </w:tcPr>
          <w:p w14:paraId="11EA97F7" w14:textId="77777777" w:rsidR="0043643D" w:rsidRPr="00E53765" w:rsidRDefault="0043643D" w:rsidP="00040878">
            <w:pPr>
              <w:rPr>
                <w:rStyle w:val="IntenseReference"/>
                <w:rFonts w:eastAsia="Arial Unicode MS"/>
              </w:rPr>
            </w:pPr>
          </w:p>
        </w:tc>
        <w:tc>
          <w:tcPr>
            <w:tcW w:w="708" w:type="dxa"/>
            <w:vMerge/>
            <w:vAlign w:val="center"/>
          </w:tcPr>
          <w:p w14:paraId="11EA97F8" w14:textId="77777777" w:rsidR="0043643D" w:rsidRPr="00E53765"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11EA97F9" w14:textId="77777777" w:rsidR="0043643D" w:rsidRPr="00E53765" w:rsidRDefault="0043643D" w:rsidP="00040878">
            <w:pPr>
              <w:ind w:left="200"/>
              <w:rPr>
                <w:rStyle w:val="IntenseReference"/>
                <w:rFonts w:eastAsia="Arial Unicode MS"/>
              </w:rPr>
            </w:pPr>
            <w:r w:rsidRPr="00E53765">
              <w:rPr>
                <w:rStyle w:val="IntenseReference"/>
              </w:rPr>
              <w:t>Franklands West</w:t>
            </w:r>
          </w:p>
        </w:tc>
        <w:tc>
          <w:tcPr>
            <w:tcW w:w="976" w:type="dxa"/>
            <w:tcMar>
              <w:top w:w="16" w:type="dxa"/>
              <w:left w:w="16" w:type="dxa"/>
              <w:bottom w:w="0" w:type="dxa"/>
              <w:right w:w="16" w:type="dxa"/>
            </w:tcMar>
            <w:vAlign w:val="center"/>
          </w:tcPr>
          <w:p w14:paraId="11EA97FA"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0.93 (44%)</w:t>
            </w:r>
          </w:p>
        </w:tc>
        <w:tc>
          <w:tcPr>
            <w:tcW w:w="851" w:type="dxa"/>
            <w:vAlign w:val="center"/>
          </w:tcPr>
          <w:p w14:paraId="11EA97FB"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0.80 (Nil)</w:t>
            </w:r>
          </w:p>
        </w:tc>
        <w:tc>
          <w:tcPr>
            <w:tcW w:w="850" w:type="dxa"/>
            <w:tcMar>
              <w:top w:w="16" w:type="dxa"/>
              <w:left w:w="16" w:type="dxa"/>
              <w:bottom w:w="0" w:type="dxa"/>
              <w:right w:w="16" w:type="dxa"/>
            </w:tcMar>
            <w:vAlign w:val="center"/>
          </w:tcPr>
          <w:p w14:paraId="11EA97FC" w14:textId="77777777" w:rsidR="0043643D" w:rsidRPr="00E53765"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center"/>
          </w:tcPr>
          <w:p w14:paraId="11EA97FD" w14:textId="55D71CE2" w:rsidR="0043643D" w:rsidRPr="00E53765" w:rsidRDefault="0043643D" w:rsidP="00040878">
            <w:pPr>
              <w:spacing w:after="0"/>
              <w:jc w:val="left"/>
              <w:rPr>
                <w:rStyle w:val="IntenseReference"/>
                <w:rFonts w:eastAsia="Arial Unicode MS"/>
                <w:sz w:val="18"/>
                <w:szCs w:val="18"/>
              </w:rPr>
            </w:pPr>
            <w:r w:rsidRPr="00E53765">
              <w:rPr>
                <w:rStyle w:val="IntenseReference"/>
                <w:sz w:val="18"/>
                <w:szCs w:val="18"/>
              </w:rPr>
              <w:t xml:space="preserve">Unknown though likely crown-of-thorns 2000 (35%) Cyclone Tasha/Yasi 2011 (35% at </w:t>
            </w:r>
            <w:r w:rsidR="00AA72A3">
              <w:rPr>
                <w:rStyle w:val="IntenseReference"/>
                <w:sz w:val="18"/>
                <w:szCs w:val="18"/>
              </w:rPr>
              <w:t>2 m</w:t>
            </w:r>
            <w:r w:rsidRPr="00E53765">
              <w:rPr>
                <w:rStyle w:val="IntenseReference"/>
                <w:sz w:val="18"/>
                <w:szCs w:val="18"/>
              </w:rPr>
              <w:t>)</w:t>
            </w:r>
          </w:p>
        </w:tc>
      </w:tr>
      <w:tr w:rsidR="00F439FB" w:rsidRPr="00F439FB" w14:paraId="11EA9806" w14:textId="77777777" w:rsidTr="00040878">
        <w:trPr>
          <w:cantSplit/>
          <w:trHeight w:val="322"/>
        </w:trPr>
        <w:tc>
          <w:tcPr>
            <w:tcW w:w="442" w:type="dxa"/>
            <w:vMerge/>
            <w:vAlign w:val="center"/>
          </w:tcPr>
          <w:p w14:paraId="11EA97FF" w14:textId="77777777" w:rsidR="0043643D" w:rsidRPr="00E53765" w:rsidRDefault="0043643D" w:rsidP="00040878">
            <w:pPr>
              <w:rPr>
                <w:rStyle w:val="IntenseReference"/>
                <w:rFonts w:eastAsia="Arial Unicode MS"/>
              </w:rPr>
            </w:pPr>
          </w:p>
        </w:tc>
        <w:tc>
          <w:tcPr>
            <w:tcW w:w="708" w:type="dxa"/>
            <w:vMerge/>
            <w:vAlign w:val="center"/>
          </w:tcPr>
          <w:p w14:paraId="11EA9800" w14:textId="77777777" w:rsidR="0043643D" w:rsidRPr="00E53765"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11EA9801" w14:textId="77777777" w:rsidR="0043643D" w:rsidRPr="00E53765" w:rsidRDefault="0043643D" w:rsidP="00040878">
            <w:pPr>
              <w:ind w:left="200"/>
              <w:rPr>
                <w:rStyle w:val="IntenseReference"/>
                <w:rFonts w:eastAsia="Arial Unicode MS"/>
              </w:rPr>
            </w:pPr>
            <w:r w:rsidRPr="00E53765">
              <w:rPr>
                <w:rStyle w:val="IntenseReference"/>
              </w:rPr>
              <w:t>High East</w:t>
            </w:r>
          </w:p>
        </w:tc>
        <w:tc>
          <w:tcPr>
            <w:tcW w:w="976" w:type="dxa"/>
            <w:tcMar>
              <w:top w:w="16" w:type="dxa"/>
              <w:left w:w="16" w:type="dxa"/>
              <w:bottom w:w="0" w:type="dxa"/>
              <w:right w:w="16" w:type="dxa"/>
            </w:tcMar>
            <w:vAlign w:val="center"/>
          </w:tcPr>
          <w:p w14:paraId="11EA9802"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0.93</w:t>
            </w:r>
          </w:p>
        </w:tc>
        <w:tc>
          <w:tcPr>
            <w:tcW w:w="851" w:type="dxa"/>
            <w:vAlign w:val="center"/>
          </w:tcPr>
          <w:p w14:paraId="11EA9803"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0.80</w:t>
            </w:r>
          </w:p>
        </w:tc>
        <w:tc>
          <w:tcPr>
            <w:tcW w:w="850" w:type="dxa"/>
            <w:tcMar>
              <w:top w:w="16" w:type="dxa"/>
              <w:left w:w="16" w:type="dxa"/>
              <w:bottom w:w="0" w:type="dxa"/>
              <w:right w:w="16" w:type="dxa"/>
            </w:tcMar>
            <w:vAlign w:val="center"/>
          </w:tcPr>
          <w:p w14:paraId="11EA9804" w14:textId="77777777" w:rsidR="0043643D" w:rsidRPr="00E53765"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center"/>
          </w:tcPr>
          <w:p w14:paraId="11EA9805" w14:textId="7BD831F2" w:rsidR="0043643D" w:rsidRPr="00E53765" w:rsidRDefault="0043643D" w:rsidP="00040878">
            <w:pPr>
              <w:spacing w:after="0"/>
              <w:jc w:val="left"/>
              <w:rPr>
                <w:rStyle w:val="IntenseReference"/>
                <w:rFonts w:eastAsia="Arial Unicode MS"/>
                <w:sz w:val="18"/>
                <w:szCs w:val="18"/>
              </w:rPr>
            </w:pPr>
            <w:r w:rsidRPr="00E53765">
              <w:rPr>
                <w:rStyle w:val="IntenseReference"/>
                <w:rFonts w:eastAsia="Arial Unicode MS"/>
                <w:sz w:val="18"/>
                <w:szCs w:val="18"/>
              </w:rPr>
              <w:t xml:space="preserve">Cyclone Tasha/Yasi 2011 (80% at </w:t>
            </w:r>
            <w:r w:rsidR="00AA72A3">
              <w:rPr>
                <w:rStyle w:val="IntenseReference"/>
                <w:rFonts w:eastAsia="Arial Unicode MS"/>
                <w:sz w:val="18"/>
                <w:szCs w:val="18"/>
              </w:rPr>
              <w:t>2 m</w:t>
            </w:r>
            <w:r w:rsidRPr="00E53765">
              <w:rPr>
                <w:rStyle w:val="IntenseReference"/>
                <w:rFonts w:eastAsia="Arial Unicode MS"/>
                <w:sz w:val="18"/>
                <w:szCs w:val="18"/>
              </w:rPr>
              <w:t xml:space="preserve">, 58% at </w:t>
            </w:r>
            <w:r w:rsidR="00AA72A3">
              <w:rPr>
                <w:rStyle w:val="IntenseReference"/>
                <w:rFonts w:eastAsia="Arial Unicode MS"/>
                <w:sz w:val="18"/>
                <w:szCs w:val="18"/>
              </w:rPr>
              <w:t>5 m</w:t>
            </w:r>
            <w:r w:rsidRPr="00E53765">
              <w:rPr>
                <w:rStyle w:val="IntenseReference"/>
                <w:rFonts w:eastAsia="Arial Unicode MS"/>
                <w:sz w:val="18"/>
                <w:szCs w:val="18"/>
              </w:rPr>
              <w:t>)</w:t>
            </w:r>
          </w:p>
        </w:tc>
      </w:tr>
      <w:tr w:rsidR="00F439FB" w:rsidRPr="00F439FB" w14:paraId="11EA980E" w14:textId="77777777" w:rsidTr="00040878">
        <w:trPr>
          <w:cantSplit/>
          <w:trHeight w:val="388"/>
        </w:trPr>
        <w:tc>
          <w:tcPr>
            <w:tcW w:w="442" w:type="dxa"/>
            <w:vMerge/>
            <w:vAlign w:val="center"/>
          </w:tcPr>
          <w:p w14:paraId="11EA9807" w14:textId="77777777" w:rsidR="0043643D" w:rsidRPr="00E53765" w:rsidRDefault="0043643D" w:rsidP="00040878">
            <w:pPr>
              <w:rPr>
                <w:rStyle w:val="IntenseReference"/>
                <w:rFonts w:eastAsia="Arial Unicode MS"/>
              </w:rPr>
            </w:pPr>
          </w:p>
        </w:tc>
        <w:tc>
          <w:tcPr>
            <w:tcW w:w="708" w:type="dxa"/>
            <w:vMerge/>
            <w:vAlign w:val="center"/>
          </w:tcPr>
          <w:p w14:paraId="11EA9808" w14:textId="77777777" w:rsidR="0043643D" w:rsidRPr="00E53765"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11EA9809" w14:textId="77777777" w:rsidR="0043643D" w:rsidRPr="00E53765" w:rsidRDefault="0043643D" w:rsidP="00040878">
            <w:pPr>
              <w:ind w:left="200"/>
              <w:rPr>
                <w:rStyle w:val="IntenseReference"/>
                <w:rFonts w:eastAsia="Arial Unicode MS"/>
              </w:rPr>
            </w:pPr>
            <w:r w:rsidRPr="00E53765">
              <w:rPr>
                <w:rStyle w:val="IntenseReference"/>
              </w:rPr>
              <w:t>High West</w:t>
            </w:r>
          </w:p>
        </w:tc>
        <w:tc>
          <w:tcPr>
            <w:tcW w:w="976" w:type="dxa"/>
            <w:tcMar>
              <w:top w:w="16" w:type="dxa"/>
              <w:left w:w="16" w:type="dxa"/>
              <w:bottom w:w="0" w:type="dxa"/>
              <w:right w:w="16" w:type="dxa"/>
            </w:tcMar>
            <w:vAlign w:val="center"/>
          </w:tcPr>
          <w:p w14:paraId="11EA980A"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0.93</w:t>
            </w:r>
          </w:p>
        </w:tc>
        <w:tc>
          <w:tcPr>
            <w:tcW w:w="851" w:type="dxa"/>
            <w:vAlign w:val="center"/>
          </w:tcPr>
          <w:p w14:paraId="11EA980B"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0.80</w:t>
            </w:r>
          </w:p>
        </w:tc>
        <w:tc>
          <w:tcPr>
            <w:tcW w:w="850" w:type="dxa"/>
            <w:tcMar>
              <w:top w:w="16" w:type="dxa"/>
              <w:left w:w="16" w:type="dxa"/>
              <w:bottom w:w="0" w:type="dxa"/>
              <w:right w:w="16" w:type="dxa"/>
            </w:tcMar>
            <w:vAlign w:val="center"/>
          </w:tcPr>
          <w:p w14:paraId="11EA980C" w14:textId="77777777" w:rsidR="0043643D" w:rsidRPr="00E53765"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center"/>
          </w:tcPr>
          <w:p w14:paraId="11EA980D" w14:textId="327A1537" w:rsidR="0043643D" w:rsidRPr="00E53765" w:rsidRDefault="0043643D" w:rsidP="00040878">
            <w:pPr>
              <w:spacing w:after="0"/>
              <w:jc w:val="left"/>
              <w:rPr>
                <w:rStyle w:val="IntenseReference"/>
                <w:rFonts w:eastAsia="Arial Unicode MS"/>
                <w:sz w:val="18"/>
                <w:szCs w:val="18"/>
              </w:rPr>
            </w:pPr>
            <w:r w:rsidRPr="00E53765">
              <w:rPr>
                <w:rStyle w:val="IntenseReference"/>
                <w:sz w:val="18"/>
                <w:szCs w:val="18"/>
              </w:rPr>
              <w:t xml:space="preserve">Cyclone Larry 2006 (24% at </w:t>
            </w:r>
            <w:r w:rsidR="00AA72A3">
              <w:rPr>
                <w:rStyle w:val="IntenseReference"/>
                <w:sz w:val="18"/>
                <w:szCs w:val="18"/>
              </w:rPr>
              <w:t>5 m</w:t>
            </w:r>
            <w:r w:rsidRPr="00E53765">
              <w:rPr>
                <w:rStyle w:val="IntenseReference"/>
                <w:sz w:val="18"/>
                <w:szCs w:val="18"/>
              </w:rPr>
              <w:t xml:space="preserve">), Flood/Bleaching 2009(10% at </w:t>
            </w:r>
            <w:r w:rsidR="00AA72A3">
              <w:rPr>
                <w:rStyle w:val="IntenseReference"/>
                <w:sz w:val="18"/>
                <w:szCs w:val="18"/>
              </w:rPr>
              <w:t>2 m</w:t>
            </w:r>
            <w:r w:rsidRPr="00E53765">
              <w:rPr>
                <w:rStyle w:val="IntenseReference"/>
                <w:sz w:val="18"/>
                <w:szCs w:val="18"/>
              </w:rPr>
              <w:t xml:space="preserve">), Storm 2011 (21% at </w:t>
            </w:r>
            <w:r w:rsidR="00AA72A3">
              <w:rPr>
                <w:rStyle w:val="IntenseReference"/>
                <w:sz w:val="18"/>
                <w:szCs w:val="18"/>
              </w:rPr>
              <w:t>2 m</w:t>
            </w:r>
            <w:r w:rsidRPr="00E53765">
              <w:rPr>
                <w:rStyle w:val="IntenseReference"/>
                <w:sz w:val="18"/>
                <w:szCs w:val="18"/>
              </w:rPr>
              <w:t xml:space="preserve">, 33% at </w:t>
            </w:r>
            <w:r w:rsidR="00AA72A3">
              <w:rPr>
                <w:rStyle w:val="IntenseReference"/>
                <w:sz w:val="18"/>
                <w:szCs w:val="18"/>
              </w:rPr>
              <w:t>5 m</w:t>
            </w:r>
            <w:r w:rsidRPr="00E53765">
              <w:rPr>
                <w:rStyle w:val="IntenseReference"/>
                <w:sz w:val="18"/>
                <w:szCs w:val="18"/>
              </w:rPr>
              <w:t>)</w:t>
            </w:r>
          </w:p>
        </w:tc>
      </w:tr>
      <w:tr w:rsidR="00F439FB" w:rsidRPr="00F439FB" w14:paraId="11EA9816" w14:textId="77777777" w:rsidTr="00040878">
        <w:trPr>
          <w:cantSplit/>
          <w:trHeight w:val="388"/>
        </w:trPr>
        <w:tc>
          <w:tcPr>
            <w:tcW w:w="442" w:type="dxa"/>
            <w:vMerge/>
            <w:vAlign w:val="center"/>
          </w:tcPr>
          <w:p w14:paraId="11EA980F" w14:textId="77777777" w:rsidR="0043643D" w:rsidRPr="00E53765" w:rsidRDefault="0043643D" w:rsidP="00040878">
            <w:pPr>
              <w:rPr>
                <w:rStyle w:val="IntenseReference"/>
                <w:rFonts w:eastAsia="Arial Unicode MS"/>
              </w:rPr>
            </w:pPr>
          </w:p>
        </w:tc>
        <w:tc>
          <w:tcPr>
            <w:tcW w:w="708" w:type="dxa"/>
            <w:vMerge/>
            <w:vAlign w:val="center"/>
          </w:tcPr>
          <w:p w14:paraId="11EA9810" w14:textId="77777777" w:rsidR="0043643D" w:rsidRPr="00E53765"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11EA9811" w14:textId="77777777" w:rsidR="0043643D" w:rsidRPr="00E53765" w:rsidRDefault="0043643D" w:rsidP="00040878">
            <w:pPr>
              <w:ind w:left="200"/>
              <w:rPr>
                <w:rStyle w:val="IntenseReference"/>
              </w:rPr>
            </w:pPr>
            <w:r w:rsidRPr="00E53765">
              <w:rPr>
                <w:rStyle w:val="IntenseReference"/>
              </w:rPr>
              <w:t>Green</w:t>
            </w:r>
          </w:p>
        </w:tc>
        <w:tc>
          <w:tcPr>
            <w:tcW w:w="976" w:type="dxa"/>
            <w:tcMar>
              <w:top w:w="16" w:type="dxa"/>
              <w:left w:w="16" w:type="dxa"/>
              <w:bottom w:w="0" w:type="dxa"/>
              <w:right w:w="16" w:type="dxa"/>
            </w:tcMar>
            <w:vAlign w:val="center"/>
          </w:tcPr>
          <w:p w14:paraId="11EA9812" w14:textId="77777777" w:rsidR="0043643D" w:rsidRPr="00E53765" w:rsidRDefault="0043643D" w:rsidP="00040878">
            <w:pPr>
              <w:jc w:val="center"/>
              <w:rPr>
                <w:rStyle w:val="IntenseReference"/>
                <w:sz w:val="18"/>
                <w:szCs w:val="18"/>
              </w:rPr>
            </w:pPr>
          </w:p>
        </w:tc>
        <w:tc>
          <w:tcPr>
            <w:tcW w:w="851" w:type="dxa"/>
            <w:vAlign w:val="center"/>
          </w:tcPr>
          <w:p w14:paraId="11EA9813" w14:textId="77777777" w:rsidR="0043643D" w:rsidRPr="00E53765" w:rsidRDefault="0043643D" w:rsidP="00040878">
            <w:pPr>
              <w:jc w:val="center"/>
              <w:rPr>
                <w:rStyle w:val="IntenseReference"/>
                <w:sz w:val="18"/>
                <w:szCs w:val="18"/>
              </w:rPr>
            </w:pPr>
          </w:p>
        </w:tc>
        <w:tc>
          <w:tcPr>
            <w:tcW w:w="850" w:type="dxa"/>
            <w:tcMar>
              <w:top w:w="16" w:type="dxa"/>
              <w:left w:w="16" w:type="dxa"/>
              <w:bottom w:w="0" w:type="dxa"/>
              <w:right w:w="16" w:type="dxa"/>
            </w:tcMar>
            <w:vAlign w:val="center"/>
          </w:tcPr>
          <w:p w14:paraId="11EA9814" w14:textId="77777777" w:rsidR="0043643D" w:rsidRPr="00E53765"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center"/>
          </w:tcPr>
          <w:p w14:paraId="11EA9815" w14:textId="77777777" w:rsidR="0043643D" w:rsidRPr="00E53765" w:rsidRDefault="0043643D" w:rsidP="00040878">
            <w:pPr>
              <w:spacing w:after="0"/>
              <w:rPr>
                <w:rStyle w:val="IntenseReference"/>
                <w:sz w:val="18"/>
                <w:szCs w:val="18"/>
              </w:rPr>
            </w:pPr>
            <w:r w:rsidRPr="00E53765">
              <w:rPr>
                <w:rStyle w:val="IntenseReference"/>
                <w:sz w:val="18"/>
                <w:szCs w:val="18"/>
              </w:rPr>
              <w:t>Crown-of-thorns 1997 (55%), crown-of-thorns 2011-2013 (44%), 2014-2015 (46%)</w:t>
            </w:r>
          </w:p>
        </w:tc>
      </w:tr>
      <w:tr w:rsidR="00F439FB" w:rsidRPr="00F439FB" w14:paraId="11EA981F" w14:textId="77777777" w:rsidTr="00040878">
        <w:trPr>
          <w:cantSplit/>
          <w:trHeight w:val="245"/>
        </w:trPr>
        <w:tc>
          <w:tcPr>
            <w:tcW w:w="442" w:type="dxa"/>
            <w:vMerge/>
            <w:vAlign w:val="center"/>
          </w:tcPr>
          <w:p w14:paraId="11EA9817" w14:textId="77777777" w:rsidR="0043643D" w:rsidRPr="00E53765" w:rsidRDefault="0043643D" w:rsidP="00040878">
            <w:pPr>
              <w:rPr>
                <w:rStyle w:val="IntenseReference"/>
                <w:rFonts w:eastAsia="Arial Unicode MS"/>
              </w:rPr>
            </w:pPr>
          </w:p>
        </w:tc>
        <w:tc>
          <w:tcPr>
            <w:tcW w:w="708" w:type="dxa"/>
            <w:vMerge w:val="restart"/>
            <w:tcMar>
              <w:top w:w="16" w:type="dxa"/>
              <w:left w:w="16" w:type="dxa"/>
              <w:bottom w:w="0" w:type="dxa"/>
              <w:right w:w="16" w:type="dxa"/>
            </w:tcMar>
            <w:textDirection w:val="btLr"/>
            <w:vAlign w:val="center"/>
          </w:tcPr>
          <w:p w14:paraId="11EA9818" w14:textId="77777777" w:rsidR="0043643D" w:rsidRPr="00E53765" w:rsidRDefault="0043643D" w:rsidP="00040878">
            <w:pPr>
              <w:jc w:val="center"/>
              <w:rPr>
                <w:rStyle w:val="IntenseReference"/>
              </w:rPr>
            </w:pPr>
            <w:r w:rsidRPr="00E53765">
              <w:rPr>
                <w:rStyle w:val="IntenseReference"/>
              </w:rPr>
              <w:t xml:space="preserve">Herbert </w:t>
            </w:r>
          </w:p>
          <w:p w14:paraId="11EA9819" w14:textId="77777777" w:rsidR="0043643D" w:rsidRPr="00E53765" w:rsidRDefault="0043643D" w:rsidP="00040878">
            <w:pPr>
              <w:jc w:val="center"/>
              <w:rPr>
                <w:rStyle w:val="IntenseReference"/>
                <w:rFonts w:eastAsia="Arial Unicode MS"/>
              </w:rPr>
            </w:pPr>
            <w:r w:rsidRPr="00E53765">
              <w:rPr>
                <w:rStyle w:val="IntenseReference"/>
              </w:rPr>
              <w:t>Tully</w:t>
            </w:r>
          </w:p>
        </w:tc>
        <w:tc>
          <w:tcPr>
            <w:tcW w:w="1843" w:type="dxa"/>
            <w:tcMar>
              <w:top w:w="16" w:type="dxa"/>
              <w:left w:w="16" w:type="dxa"/>
              <w:bottom w:w="0" w:type="dxa"/>
              <w:right w:w="16" w:type="dxa"/>
            </w:tcMar>
            <w:vAlign w:val="bottom"/>
          </w:tcPr>
          <w:p w14:paraId="11EA981A" w14:textId="77777777" w:rsidR="0043643D" w:rsidRPr="00E53765" w:rsidRDefault="0043643D" w:rsidP="00040878">
            <w:pPr>
              <w:ind w:left="200"/>
              <w:rPr>
                <w:rStyle w:val="IntenseReference"/>
                <w:rFonts w:eastAsia="Arial Unicode MS"/>
              </w:rPr>
            </w:pPr>
            <w:r w:rsidRPr="00E53765">
              <w:rPr>
                <w:rStyle w:val="IntenseReference"/>
              </w:rPr>
              <w:t>Barnards</w:t>
            </w:r>
          </w:p>
        </w:tc>
        <w:tc>
          <w:tcPr>
            <w:tcW w:w="976" w:type="dxa"/>
            <w:tcMar>
              <w:top w:w="16" w:type="dxa"/>
              <w:left w:w="16" w:type="dxa"/>
              <w:bottom w:w="0" w:type="dxa"/>
              <w:right w:w="16" w:type="dxa"/>
            </w:tcMar>
            <w:vAlign w:val="center"/>
          </w:tcPr>
          <w:p w14:paraId="11EA981B"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0.93</w:t>
            </w:r>
          </w:p>
        </w:tc>
        <w:tc>
          <w:tcPr>
            <w:tcW w:w="851" w:type="dxa"/>
            <w:vAlign w:val="center"/>
          </w:tcPr>
          <w:p w14:paraId="11EA981C"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0.80</w:t>
            </w:r>
          </w:p>
        </w:tc>
        <w:tc>
          <w:tcPr>
            <w:tcW w:w="850" w:type="dxa"/>
            <w:tcMar>
              <w:top w:w="16" w:type="dxa"/>
              <w:left w:w="16" w:type="dxa"/>
              <w:bottom w:w="0" w:type="dxa"/>
              <w:right w:w="16" w:type="dxa"/>
            </w:tcMar>
            <w:vAlign w:val="center"/>
          </w:tcPr>
          <w:p w14:paraId="11EA981D" w14:textId="77777777" w:rsidR="0043643D" w:rsidRPr="00E53765"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center"/>
          </w:tcPr>
          <w:p w14:paraId="11EA981E" w14:textId="1F735D2E" w:rsidR="0043643D" w:rsidRPr="00E53765" w:rsidRDefault="0043643D" w:rsidP="00040878">
            <w:pPr>
              <w:jc w:val="left"/>
              <w:rPr>
                <w:rStyle w:val="IntenseReference"/>
                <w:rFonts w:eastAsia="Arial Unicode MS"/>
                <w:sz w:val="18"/>
                <w:szCs w:val="18"/>
              </w:rPr>
            </w:pPr>
            <w:r w:rsidRPr="00E53765">
              <w:rPr>
                <w:rStyle w:val="IntenseReference"/>
                <w:sz w:val="18"/>
                <w:szCs w:val="18"/>
              </w:rPr>
              <w:t xml:space="preserve">Cyclone Larry 2006 (95% at </w:t>
            </w:r>
            <w:r w:rsidR="00AA72A3">
              <w:rPr>
                <w:rStyle w:val="IntenseReference"/>
                <w:sz w:val="18"/>
                <w:szCs w:val="18"/>
              </w:rPr>
              <w:t>2 m</w:t>
            </w:r>
            <w:r w:rsidRPr="00E53765">
              <w:rPr>
                <w:rStyle w:val="IntenseReference"/>
                <w:sz w:val="18"/>
                <w:szCs w:val="18"/>
              </w:rPr>
              <w:t xml:space="preserve"> 87% at </w:t>
            </w:r>
            <w:r w:rsidR="00AA72A3">
              <w:rPr>
                <w:rStyle w:val="IntenseReference"/>
                <w:sz w:val="18"/>
                <w:szCs w:val="18"/>
              </w:rPr>
              <w:t>5 m</w:t>
            </w:r>
            <w:r w:rsidRPr="00E53765">
              <w:rPr>
                <w:rStyle w:val="IntenseReference"/>
                <w:sz w:val="18"/>
                <w:szCs w:val="18"/>
              </w:rPr>
              <w:t xml:space="preserve">), Cyclone Yasi 2011 (53% at </w:t>
            </w:r>
            <w:r w:rsidR="00AA72A3">
              <w:rPr>
                <w:rStyle w:val="IntenseReference"/>
                <w:sz w:val="18"/>
                <w:szCs w:val="18"/>
              </w:rPr>
              <w:t>2 m</w:t>
            </w:r>
            <w:r w:rsidRPr="00E53765">
              <w:rPr>
                <w:rStyle w:val="IntenseReference"/>
                <w:sz w:val="18"/>
                <w:szCs w:val="18"/>
              </w:rPr>
              <w:t xml:space="preserve">, 24% at </w:t>
            </w:r>
            <w:r w:rsidR="00AA72A3">
              <w:rPr>
                <w:rStyle w:val="IntenseReference"/>
                <w:sz w:val="18"/>
                <w:szCs w:val="18"/>
              </w:rPr>
              <w:t>5 m</w:t>
            </w:r>
            <w:r w:rsidRPr="00E53765">
              <w:rPr>
                <w:rStyle w:val="IntenseReference"/>
                <w:sz w:val="18"/>
                <w:szCs w:val="18"/>
              </w:rPr>
              <w:t>)</w:t>
            </w:r>
          </w:p>
        </w:tc>
      </w:tr>
      <w:tr w:rsidR="00F439FB" w:rsidRPr="00F439FB" w14:paraId="11EA9827" w14:textId="77777777" w:rsidTr="00040878">
        <w:trPr>
          <w:cantSplit/>
          <w:trHeight w:val="472"/>
        </w:trPr>
        <w:tc>
          <w:tcPr>
            <w:tcW w:w="442" w:type="dxa"/>
            <w:vMerge/>
            <w:vAlign w:val="center"/>
          </w:tcPr>
          <w:p w14:paraId="11EA9820" w14:textId="77777777" w:rsidR="0043643D" w:rsidRPr="00E53765" w:rsidRDefault="0043643D" w:rsidP="00040878">
            <w:pPr>
              <w:rPr>
                <w:rStyle w:val="IntenseReference"/>
                <w:rFonts w:eastAsia="Arial Unicode MS"/>
              </w:rPr>
            </w:pPr>
          </w:p>
        </w:tc>
        <w:tc>
          <w:tcPr>
            <w:tcW w:w="708" w:type="dxa"/>
            <w:vMerge/>
            <w:vAlign w:val="center"/>
          </w:tcPr>
          <w:p w14:paraId="11EA9821" w14:textId="77777777" w:rsidR="0043643D" w:rsidRPr="00E53765"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11EA9822" w14:textId="77777777" w:rsidR="0043643D" w:rsidRPr="00E53765" w:rsidRDefault="0043643D" w:rsidP="00040878">
            <w:pPr>
              <w:ind w:left="200"/>
              <w:rPr>
                <w:rStyle w:val="IntenseReference"/>
                <w:rFonts w:eastAsia="Arial Unicode MS"/>
              </w:rPr>
            </w:pPr>
            <w:r w:rsidRPr="00E53765">
              <w:rPr>
                <w:rStyle w:val="IntenseReference"/>
              </w:rPr>
              <w:t>King Reef</w:t>
            </w:r>
          </w:p>
        </w:tc>
        <w:tc>
          <w:tcPr>
            <w:tcW w:w="976" w:type="dxa"/>
            <w:tcMar>
              <w:top w:w="16" w:type="dxa"/>
              <w:left w:w="16" w:type="dxa"/>
              <w:bottom w:w="0" w:type="dxa"/>
              <w:right w:w="16" w:type="dxa"/>
            </w:tcMar>
            <w:vAlign w:val="center"/>
          </w:tcPr>
          <w:p w14:paraId="11EA9823"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0.93</w:t>
            </w:r>
          </w:p>
        </w:tc>
        <w:tc>
          <w:tcPr>
            <w:tcW w:w="851" w:type="dxa"/>
            <w:vAlign w:val="center"/>
          </w:tcPr>
          <w:p w14:paraId="11EA9824"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0.85</w:t>
            </w:r>
          </w:p>
        </w:tc>
        <w:tc>
          <w:tcPr>
            <w:tcW w:w="850" w:type="dxa"/>
            <w:tcMar>
              <w:top w:w="16" w:type="dxa"/>
              <w:left w:w="16" w:type="dxa"/>
              <w:bottom w:w="0" w:type="dxa"/>
              <w:right w:w="16" w:type="dxa"/>
            </w:tcMar>
            <w:vAlign w:val="center"/>
          </w:tcPr>
          <w:p w14:paraId="11EA9825" w14:textId="77777777" w:rsidR="0043643D" w:rsidRPr="00E53765"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bottom"/>
          </w:tcPr>
          <w:p w14:paraId="11EA9826" w14:textId="0CAF8FCF" w:rsidR="0043643D" w:rsidRPr="00E53765" w:rsidRDefault="0043643D" w:rsidP="00D0241E">
            <w:pPr>
              <w:rPr>
                <w:rStyle w:val="IntenseReference"/>
                <w:rFonts w:eastAsia="Arial Unicode MS"/>
                <w:sz w:val="18"/>
                <w:szCs w:val="18"/>
              </w:rPr>
            </w:pPr>
            <w:r w:rsidRPr="00E53765">
              <w:rPr>
                <w:rStyle w:val="IntenseReference"/>
                <w:sz w:val="18"/>
                <w:szCs w:val="18"/>
              </w:rPr>
              <w:t xml:space="preserve">Cyclone Larry 2006 (56% at </w:t>
            </w:r>
            <w:r w:rsidR="00AA72A3">
              <w:rPr>
                <w:rStyle w:val="IntenseReference"/>
                <w:sz w:val="18"/>
                <w:szCs w:val="18"/>
              </w:rPr>
              <w:t>2 m</w:t>
            </w:r>
            <w:r w:rsidRPr="00E53765">
              <w:rPr>
                <w:rStyle w:val="IntenseReference"/>
                <w:sz w:val="18"/>
                <w:szCs w:val="18"/>
              </w:rPr>
              <w:t xml:space="preserve">,50% at </w:t>
            </w:r>
            <w:r w:rsidR="00AA72A3">
              <w:rPr>
                <w:rStyle w:val="IntenseReference"/>
                <w:sz w:val="18"/>
                <w:szCs w:val="18"/>
              </w:rPr>
              <w:t>5 m</w:t>
            </w:r>
            <w:r w:rsidRPr="00E53765">
              <w:rPr>
                <w:rStyle w:val="IntenseReference"/>
                <w:sz w:val="18"/>
                <w:szCs w:val="18"/>
              </w:rPr>
              <w:t>)</w:t>
            </w:r>
            <w:r w:rsidR="00D0241E" w:rsidRPr="00E53765">
              <w:rPr>
                <w:rStyle w:val="IntenseReference"/>
                <w:sz w:val="18"/>
                <w:szCs w:val="18"/>
              </w:rPr>
              <w:t>, Cyclone Yasi</w:t>
            </w:r>
            <w:r w:rsidRPr="00E53765">
              <w:rPr>
                <w:rStyle w:val="IntenseReference"/>
                <w:sz w:val="18"/>
                <w:szCs w:val="18"/>
              </w:rPr>
              <w:t xml:space="preserve">2010-2012 </w:t>
            </w:r>
            <w:r w:rsidR="00D0241E" w:rsidRPr="00E53765">
              <w:rPr>
                <w:rStyle w:val="IntenseReference"/>
                <w:sz w:val="18"/>
                <w:szCs w:val="18"/>
              </w:rPr>
              <w:t>Cyclone</w:t>
            </w:r>
            <w:r w:rsidRPr="00E53765">
              <w:rPr>
                <w:rStyle w:val="IntenseReference"/>
                <w:sz w:val="18"/>
                <w:szCs w:val="18"/>
              </w:rPr>
              <w:t xml:space="preserve">(70% at </w:t>
            </w:r>
            <w:r w:rsidR="00AA72A3">
              <w:rPr>
                <w:rStyle w:val="IntenseReference"/>
                <w:sz w:val="18"/>
                <w:szCs w:val="18"/>
              </w:rPr>
              <w:t>2 m</w:t>
            </w:r>
            <w:r w:rsidRPr="00E53765">
              <w:rPr>
                <w:rStyle w:val="IntenseReference"/>
                <w:sz w:val="18"/>
                <w:szCs w:val="18"/>
              </w:rPr>
              <w:t xml:space="preserve">, 36% at </w:t>
            </w:r>
            <w:r w:rsidR="00AA72A3">
              <w:rPr>
                <w:rStyle w:val="IntenseReference"/>
                <w:sz w:val="18"/>
                <w:szCs w:val="18"/>
              </w:rPr>
              <w:t>5 m</w:t>
            </w:r>
            <w:r w:rsidRPr="00E53765">
              <w:rPr>
                <w:rStyle w:val="IntenseReference"/>
                <w:sz w:val="18"/>
                <w:szCs w:val="18"/>
              </w:rPr>
              <w:t>)</w:t>
            </w:r>
          </w:p>
        </w:tc>
      </w:tr>
      <w:tr w:rsidR="00F439FB" w:rsidRPr="00F439FB" w14:paraId="11EA982F" w14:textId="77777777" w:rsidTr="00040878">
        <w:trPr>
          <w:cantSplit/>
          <w:trHeight w:val="447"/>
        </w:trPr>
        <w:tc>
          <w:tcPr>
            <w:tcW w:w="442" w:type="dxa"/>
            <w:vMerge/>
            <w:vAlign w:val="center"/>
          </w:tcPr>
          <w:p w14:paraId="11EA9828" w14:textId="77777777" w:rsidR="0043643D" w:rsidRPr="00E53765" w:rsidRDefault="0043643D" w:rsidP="00040878">
            <w:pPr>
              <w:rPr>
                <w:rStyle w:val="IntenseReference"/>
                <w:rFonts w:eastAsia="Arial Unicode MS"/>
              </w:rPr>
            </w:pPr>
          </w:p>
        </w:tc>
        <w:tc>
          <w:tcPr>
            <w:tcW w:w="708" w:type="dxa"/>
            <w:vMerge/>
            <w:vAlign w:val="center"/>
          </w:tcPr>
          <w:p w14:paraId="11EA9829" w14:textId="77777777" w:rsidR="0043643D" w:rsidRPr="00E53765" w:rsidRDefault="0043643D" w:rsidP="00040878">
            <w:pPr>
              <w:rPr>
                <w:rStyle w:val="IntenseReference"/>
                <w:rFonts w:eastAsia="Arial Unicode MS"/>
              </w:rPr>
            </w:pPr>
          </w:p>
        </w:tc>
        <w:tc>
          <w:tcPr>
            <w:tcW w:w="1843" w:type="dxa"/>
            <w:tcMar>
              <w:top w:w="16" w:type="dxa"/>
              <w:left w:w="16" w:type="dxa"/>
              <w:bottom w:w="0" w:type="dxa"/>
              <w:right w:w="16" w:type="dxa"/>
            </w:tcMar>
            <w:vAlign w:val="bottom"/>
          </w:tcPr>
          <w:p w14:paraId="11EA982A" w14:textId="77777777" w:rsidR="0043643D" w:rsidRPr="00E53765" w:rsidRDefault="0043643D" w:rsidP="00040878">
            <w:pPr>
              <w:ind w:left="200"/>
              <w:rPr>
                <w:rStyle w:val="IntenseReference"/>
                <w:rFonts w:eastAsia="Arial Unicode MS"/>
              </w:rPr>
            </w:pPr>
            <w:r w:rsidRPr="00E53765">
              <w:rPr>
                <w:rStyle w:val="IntenseReference"/>
              </w:rPr>
              <w:t>Dunk North</w:t>
            </w:r>
          </w:p>
        </w:tc>
        <w:tc>
          <w:tcPr>
            <w:tcW w:w="976" w:type="dxa"/>
            <w:tcMar>
              <w:top w:w="16" w:type="dxa"/>
              <w:left w:w="16" w:type="dxa"/>
              <w:bottom w:w="0" w:type="dxa"/>
              <w:right w:w="16" w:type="dxa"/>
            </w:tcMar>
            <w:vAlign w:val="center"/>
          </w:tcPr>
          <w:p w14:paraId="11EA982B"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0.93</w:t>
            </w:r>
          </w:p>
        </w:tc>
        <w:tc>
          <w:tcPr>
            <w:tcW w:w="851" w:type="dxa"/>
            <w:vAlign w:val="center"/>
          </w:tcPr>
          <w:p w14:paraId="11EA982C"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0.80</w:t>
            </w:r>
          </w:p>
        </w:tc>
        <w:tc>
          <w:tcPr>
            <w:tcW w:w="850" w:type="dxa"/>
            <w:tcMar>
              <w:top w:w="16" w:type="dxa"/>
              <w:left w:w="16" w:type="dxa"/>
              <w:bottom w:w="0" w:type="dxa"/>
              <w:right w:w="16" w:type="dxa"/>
            </w:tcMar>
            <w:vAlign w:val="center"/>
          </w:tcPr>
          <w:p w14:paraId="11EA982D" w14:textId="77777777" w:rsidR="0043643D" w:rsidRPr="00E53765" w:rsidRDefault="0043643D" w:rsidP="00040878">
            <w:pPr>
              <w:jc w:val="center"/>
              <w:rPr>
                <w:rStyle w:val="IntenseReference"/>
                <w:rFonts w:eastAsia="Arial Unicode MS"/>
                <w:sz w:val="18"/>
                <w:szCs w:val="18"/>
              </w:rPr>
            </w:pPr>
          </w:p>
        </w:tc>
        <w:tc>
          <w:tcPr>
            <w:tcW w:w="8282" w:type="dxa"/>
            <w:tcMar>
              <w:top w:w="16" w:type="dxa"/>
              <w:left w:w="16" w:type="dxa"/>
              <w:bottom w:w="0" w:type="dxa"/>
              <w:right w:w="16" w:type="dxa"/>
            </w:tcMar>
            <w:vAlign w:val="bottom"/>
          </w:tcPr>
          <w:p w14:paraId="11EA982E" w14:textId="072AB2AA" w:rsidR="0043643D" w:rsidRPr="00E53765" w:rsidRDefault="0043643D" w:rsidP="00040878">
            <w:pPr>
              <w:rPr>
                <w:rStyle w:val="IntenseReference"/>
                <w:rFonts w:eastAsia="Arial Unicode MS"/>
                <w:sz w:val="18"/>
                <w:szCs w:val="18"/>
              </w:rPr>
            </w:pPr>
            <w:r w:rsidRPr="00E53765">
              <w:rPr>
                <w:rStyle w:val="IntenseReference"/>
                <w:sz w:val="18"/>
                <w:szCs w:val="18"/>
              </w:rPr>
              <w:t xml:space="preserve">Cyclone Larry 2006 (81% at </w:t>
            </w:r>
            <w:r w:rsidR="00AA72A3">
              <w:rPr>
                <w:rStyle w:val="IntenseReference"/>
                <w:sz w:val="18"/>
                <w:szCs w:val="18"/>
              </w:rPr>
              <w:t>2 m</w:t>
            </w:r>
            <w:r w:rsidRPr="00E53765">
              <w:rPr>
                <w:rStyle w:val="IntenseReference"/>
                <w:sz w:val="18"/>
                <w:szCs w:val="18"/>
              </w:rPr>
              <w:t xml:space="preserve"> , 72% at </w:t>
            </w:r>
            <w:r w:rsidR="00AA72A3">
              <w:rPr>
                <w:rStyle w:val="IntenseReference"/>
                <w:sz w:val="18"/>
                <w:szCs w:val="18"/>
              </w:rPr>
              <w:t>5 m</w:t>
            </w:r>
            <w:r w:rsidRPr="00E53765">
              <w:rPr>
                <w:rStyle w:val="IntenseReference"/>
                <w:sz w:val="18"/>
                <w:szCs w:val="18"/>
              </w:rPr>
              <w:t xml:space="preserve">), Disease 2007 (33% at </w:t>
            </w:r>
            <w:r w:rsidR="00AA72A3">
              <w:rPr>
                <w:rStyle w:val="IntenseReference"/>
                <w:sz w:val="18"/>
                <w:szCs w:val="18"/>
              </w:rPr>
              <w:t>2 m</w:t>
            </w:r>
            <w:r w:rsidRPr="00E53765">
              <w:rPr>
                <w:rStyle w:val="IntenseReference"/>
                <w:sz w:val="18"/>
                <w:szCs w:val="18"/>
              </w:rPr>
              <w:t xml:space="preserve">), Cyclone Yasi 2011 (93% at </w:t>
            </w:r>
            <w:r w:rsidR="00AA72A3">
              <w:rPr>
                <w:rStyle w:val="IntenseReference"/>
                <w:sz w:val="18"/>
                <w:szCs w:val="18"/>
              </w:rPr>
              <w:t>2 m</w:t>
            </w:r>
            <w:r w:rsidRPr="00E53765">
              <w:rPr>
                <w:rStyle w:val="IntenseReference"/>
                <w:sz w:val="18"/>
                <w:szCs w:val="18"/>
              </w:rPr>
              <w:t xml:space="preserve">, 75% at </w:t>
            </w:r>
            <w:r w:rsidR="00AA72A3">
              <w:rPr>
                <w:rStyle w:val="IntenseReference"/>
                <w:sz w:val="18"/>
                <w:szCs w:val="18"/>
              </w:rPr>
              <w:t>5 m</w:t>
            </w:r>
            <w:r w:rsidRPr="00E53765">
              <w:rPr>
                <w:rStyle w:val="IntenseReference"/>
                <w:sz w:val="18"/>
                <w:szCs w:val="18"/>
              </w:rPr>
              <w:t>)</w:t>
            </w:r>
          </w:p>
        </w:tc>
      </w:tr>
      <w:tr w:rsidR="00F439FB" w:rsidRPr="00F439FB" w14:paraId="11EA9837" w14:textId="77777777" w:rsidTr="00040878">
        <w:trPr>
          <w:cantSplit/>
          <w:trHeight w:val="404"/>
        </w:trPr>
        <w:tc>
          <w:tcPr>
            <w:tcW w:w="442" w:type="dxa"/>
            <w:vMerge/>
            <w:tcBorders>
              <w:bottom w:val="single" w:sz="12" w:space="0" w:color="auto"/>
            </w:tcBorders>
            <w:vAlign w:val="center"/>
          </w:tcPr>
          <w:p w14:paraId="11EA9830" w14:textId="77777777" w:rsidR="0043643D" w:rsidRPr="00E53765" w:rsidRDefault="0043643D" w:rsidP="00040878">
            <w:pPr>
              <w:rPr>
                <w:rStyle w:val="IntenseReference"/>
                <w:rFonts w:eastAsia="Arial Unicode MS"/>
              </w:rPr>
            </w:pPr>
          </w:p>
        </w:tc>
        <w:tc>
          <w:tcPr>
            <w:tcW w:w="708" w:type="dxa"/>
            <w:vMerge/>
            <w:tcBorders>
              <w:bottom w:val="single" w:sz="12" w:space="0" w:color="auto"/>
            </w:tcBorders>
            <w:vAlign w:val="center"/>
          </w:tcPr>
          <w:p w14:paraId="11EA9831" w14:textId="77777777" w:rsidR="0043643D" w:rsidRPr="00E53765" w:rsidRDefault="0043643D" w:rsidP="00040878">
            <w:pPr>
              <w:rPr>
                <w:rStyle w:val="IntenseReference"/>
                <w:rFonts w:eastAsia="Arial Unicode MS"/>
              </w:rPr>
            </w:pPr>
          </w:p>
        </w:tc>
        <w:tc>
          <w:tcPr>
            <w:tcW w:w="1843" w:type="dxa"/>
            <w:tcBorders>
              <w:bottom w:val="single" w:sz="12" w:space="0" w:color="auto"/>
            </w:tcBorders>
            <w:tcMar>
              <w:top w:w="16" w:type="dxa"/>
              <w:left w:w="16" w:type="dxa"/>
              <w:bottom w:w="0" w:type="dxa"/>
              <w:right w:w="16" w:type="dxa"/>
            </w:tcMar>
            <w:vAlign w:val="bottom"/>
          </w:tcPr>
          <w:p w14:paraId="11EA9832" w14:textId="77777777" w:rsidR="0043643D" w:rsidRPr="00E53765" w:rsidRDefault="0043643D" w:rsidP="00040878">
            <w:pPr>
              <w:ind w:left="200"/>
              <w:rPr>
                <w:rStyle w:val="IntenseReference"/>
                <w:rFonts w:eastAsia="Arial Unicode MS"/>
              </w:rPr>
            </w:pPr>
            <w:r w:rsidRPr="00E53765">
              <w:rPr>
                <w:rStyle w:val="IntenseReference"/>
              </w:rPr>
              <w:t>Dunk South</w:t>
            </w:r>
          </w:p>
        </w:tc>
        <w:tc>
          <w:tcPr>
            <w:tcW w:w="976" w:type="dxa"/>
            <w:tcBorders>
              <w:bottom w:val="single" w:sz="12" w:space="0" w:color="auto"/>
            </w:tcBorders>
            <w:tcMar>
              <w:top w:w="16" w:type="dxa"/>
              <w:left w:w="16" w:type="dxa"/>
              <w:bottom w:w="0" w:type="dxa"/>
              <w:right w:w="16" w:type="dxa"/>
            </w:tcMar>
            <w:vAlign w:val="center"/>
          </w:tcPr>
          <w:p w14:paraId="11EA9833"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0.93</w:t>
            </w:r>
          </w:p>
        </w:tc>
        <w:tc>
          <w:tcPr>
            <w:tcW w:w="851" w:type="dxa"/>
            <w:tcBorders>
              <w:bottom w:val="single" w:sz="12" w:space="0" w:color="auto"/>
            </w:tcBorders>
            <w:vAlign w:val="center"/>
          </w:tcPr>
          <w:p w14:paraId="11EA9834" w14:textId="77777777" w:rsidR="0043643D" w:rsidRPr="00E53765" w:rsidRDefault="0043643D" w:rsidP="00040878">
            <w:pPr>
              <w:jc w:val="center"/>
              <w:rPr>
                <w:rStyle w:val="IntenseReference"/>
                <w:rFonts w:eastAsia="Arial Unicode MS"/>
                <w:sz w:val="18"/>
                <w:szCs w:val="18"/>
              </w:rPr>
            </w:pPr>
            <w:r w:rsidRPr="00E53765">
              <w:rPr>
                <w:rStyle w:val="IntenseReference"/>
                <w:sz w:val="18"/>
                <w:szCs w:val="18"/>
              </w:rPr>
              <w:t>0.85</w:t>
            </w:r>
          </w:p>
        </w:tc>
        <w:tc>
          <w:tcPr>
            <w:tcW w:w="850" w:type="dxa"/>
            <w:tcBorders>
              <w:bottom w:val="single" w:sz="12" w:space="0" w:color="auto"/>
            </w:tcBorders>
            <w:tcMar>
              <w:top w:w="16" w:type="dxa"/>
              <w:left w:w="16" w:type="dxa"/>
              <w:bottom w:w="0" w:type="dxa"/>
              <w:right w:w="16" w:type="dxa"/>
            </w:tcMar>
            <w:vAlign w:val="center"/>
          </w:tcPr>
          <w:p w14:paraId="11EA9835" w14:textId="77777777" w:rsidR="0043643D" w:rsidRPr="00E53765" w:rsidRDefault="0043643D" w:rsidP="00040878">
            <w:pPr>
              <w:jc w:val="center"/>
              <w:rPr>
                <w:rStyle w:val="IntenseReference"/>
                <w:rFonts w:eastAsia="Arial Unicode MS"/>
                <w:sz w:val="18"/>
                <w:szCs w:val="18"/>
              </w:rPr>
            </w:pPr>
          </w:p>
        </w:tc>
        <w:tc>
          <w:tcPr>
            <w:tcW w:w="8282" w:type="dxa"/>
            <w:tcBorders>
              <w:bottom w:val="single" w:sz="12" w:space="0" w:color="auto"/>
            </w:tcBorders>
            <w:tcMar>
              <w:top w:w="16" w:type="dxa"/>
              <w:left w:w="16" w:type="dxa"/>
              <w:bottom w:w="0" w:type="dxa"/>
              <w:right w:w="16" w:type="dxa"/>
            </w:tcMar>
            <w:vAlign w:val="bottom"/>
          </w:tcPr>
          <w:p w14:paraId="11EA9836" w14:textId="58538BC1" w:rsidR="0043643D" w:rsidRPr="00E53765" w:rsidRDefault="0043643D" w:rsidP="00040878">
            <w:pPr>
              <w:rPr>
                <w:rStyle w:val="IntenseReference"/>
                <w:rFonts w:eastAsia="Arial Unicode MS"/>
                <w:sz w:val="18"/>
                <w:szCs w:val="18"/>
              </w:rPr>
            </w:pPr>
            <w:r w:rsidRPr="00E53765">
              <w:rPr>
                <w:rStyle w:val="IntenseReference"/>
                <w:sz w:val="18"/>
                <w:szCs w:val="18"/>
              </w:rPr>
              <w:t xml:space="preserve">Cyclone Larry 2006 (22% at </w:t>
            </w:r>
            <w:r w:rsidR="00AA72A3">
              <w:rPr>
                <w:rStyle w:val="IntenseReference"/>
                <w:sz w:val="18"/>
                <w:szCs w:val="18"/>
              </w:rPr>
              <w:t>2 m</w:t>
            </w:r>
            <w:r w:rsidRPr="00E53765">
              <w:rPr>
                <w:rStyle w:val="IntenseReference"/>
                <w:sz w:val="18"/>
                <w:szCs w:val="18"/>
              </w:rPr>
              <w:t xml:space="preserve"> , 18% at </w:t>
            </w:r>
            <w:r w:rsidR="00AA72A3">
              <w:rPr>
                <w:rStyle w:val="IntenseReference"/>
                <w:sz w:val="18"/>
                <w:szCs w:val="18"/>
              </w:rPr>
              <w:t>5 m</w:t>
            </w:r>
            <w:r w:rsidRPr="00E53765">
              <w:rPr>
                <w:rStyle w:val="IntenseReference"/>
                <w:sz w:val="18"/>
                <w:szCs w:val="18"/>
              </w:rPr>
              <w:t xml:space="preserve">), Cyclone Yasi 2011 (79% at </w:t>
            </w:r>
            <w:r w:rsidR="00AA72A3">
              <w:rPr>
                <w:rStyle w:val="IntenseReference"/>
                <w:sz w:val="18"/>
                <w:szCs w:val="18"/>
              </w:rPr>
              <w:t>2 m</w:t>
            </w:r>
            <w:r w:rsidRPr="00E53765">
              <w:rPr>
                <w:rStyle w:val="IntenseReference"/>
                <w:sz w:val="18"/>
                <w:szCs w:val="18"/>
              </w:rPr>
              <w:t xml:space="preserve">, 55% at </w:t>
            </w:r>
            <w:r w:rsidR="00AA72A3">
              <w:rPr>
                <w:rStyle w:val="IntenseReference"/>
                <w:sz w:val="18"/>
                <w:szCs w:val="18"/>
              </w:rPr>
              <w:t>5 m</w:t>
            </w:r>
            <w:r w:rsidRPr="00E53765">
              <w:rPr>
                <w:rStyle w:val="IntenseReference"/>
                <w:sz w:val="18"/>
                <w:szCs w:val="18"/>
              </w:rPr>
              <w:t>)</w:t>
            </w:r>
          </w:p>
        </w:tc>
      </w:tr>
    </w:tbl>
    <w:p w14:paraId="11EA9838" w14:textId="77777777" w:rsidR="00040878" w:rsidRPr="00F439FB" w:rsidRDefault="00040878">
      <w:pPr>
        <w:rPr>
          <w:rFonts w:ascii="Arial Narrow" w:hAnsi="Arial Narrow"/>
          <w:bCs/>
          <w:color w:val="4F81BD" w:themeColor="accent1"/>
          <w:sz w:val="20"/>
        </w:rPr>
      </w:pPr>
      <w:bookmarkStart w:id="366" w:name="_Hlk167498955"/>
    </w:p>
    <w:p w14:paraId="11EA9839" w14:textId="77777777" w:rsidR="00040878" w:rsidRPr="00F439FB" w:rsidRDefault="00040878">
      <w:pPr>
        <w:jc w:val="left"/>
        <w:rPr>
          <w:rFonts w:ascii="Arial Narrow" w:hAnsi="Arial Narrow"/>
          <w:bCs/>
          <w:color w:val="4F81BD" w:themeColor="accent1"/>
          <w:sz w:val="20"/>
        </w:rPr>
      </w:pPr>
      <w:r w:rsidRPr="00F439FB">
        <w:rPr>
          <w:rFonts w:ascii="Arial Narrow" w:hAnsi="Arial Narrow"/>
          <w:bCs/>
          <w:color w:val="4F81BD" w:themeColor="accent1"/>
          <w:sz w:val="20"/>
        </w:rPr>
        <w:br w:type="page"/>
      </w:r>
    </w:p>
    <w:p w14:paraId="11EA983A" w14:textId="4AD862A2" w:rsidR="00D05896" w:rsidRPr="00E53765" w:rsidRDefault="00D05896">
      <w:pPr>
        <w:rPr>
          <w:rStyle w:val="IntenseReference"/>
          <w:color w:val="4F81BD" w:themeColor="accent1"/>
        </w:rPr>
      </w:pPr>
      <w:r w:rsidRPr="00E53765">
        <w:rPr>
          <w:rFonts w:ascii="Arial Narrow" w:hAnsi="Arial Narrow"/>
          <w:bCs/>
          <w:color w:val="000000" w:themeColor="text1"/>
          <w:sz w:val="20"/>
        </w:rPr>
        <w:t>Table A</w:t>
      </w:r>
      <w:r w:rsidR="00583793">
        <w:rPr>
          <w:rFonts w:ascii="Arial Narrow" w:hAnsi="Arial Narrow"/>
          <w:bCs/>
          <w:color w:val="000000" w:themeColor="text1"/>
          <w:sz w:val="20"/>
        </w:rPr>
        <w:t>1.</w:t>
      </w:r>
      <w:r w:rsidR="0096504D" w:rsidRPr="00E53765">
        <w:rPr>
          <w:rFonts w:ascii="Arial Narrow" w:hAnsi="Arial Narrow"/>
          <w:bCs/>
          <w:color w:val="000000" w:themeColor="text1"/>
          <w:sz w:val="20"/>
        </w:rPr>
        <w:t xml:space="preserve"> </w:t>
      </w:r>
      <w:r w:rsidR="00E53765" w:rsidRPr="00E53765">
        <w:rPr>
          <w:rFonts w:ascii="Arial Narrow" w:hAnsi="Arial Narrow"/>
          <w:bCs/>
          <w:color w:val="000000" w:themeColor="text1"/>
          <w:sz w:val="20"/>
        </w:rPr>
        <w:t>4</w:t>
      </w:r>
      <w:r w:rsidR="0063376B" w:rsidRPr="00E53765">
        <w:rPr>
          <w:rStyle w:val="IntenseReference"/>
        </w:rPr>
        <w:t xml:space="preserve"> </w:t>
      </w:r>
      <w:r w:rsidR="0063376B" w:rsidRPr="00E53765">
        <w:rPr>
          <w:rFonts w:ascii="Arial Narrow" w:hAnsi="Arial Narrow"/>
          <w:sz w:val="20"/>
        </w:rPr>
        <w:t>continued</w:t>
      </w:r>
    </w:p>
    <w:tbl>
      <w:tblPr>
        <w:tblW w:w="13892" w:type="dxa"/>
        <w:tblInd w:w="1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94"/>
        <w:gridCol w:w="599"/>
        <w:gridCol w:w="1984"/>
        <w:gridCol w:w="999"/>
        <w:gridCol w:w="851"/>
        <w:gridCol w:w="843"/>
        <w:gridCol w:w="8222"/>
      </w:tblGrid>
      <w:tr w:rsidR="00F439FB" w:rsidRPr="00F439FB" w14:paraId="11EA9840" w14:textId="77777777" w:rsidTr="00040878">
        <w:trPr>
          <w:cantSplit/>
          <w:trHeight w:val="264"/>
        </w:trPr>
        <w:tc>
          <w:tcPr>
            <w:tcW w:w="394" w:type="dxa"/>
            <w:vMerge w:val="restart"/>
            <w:shd w:val="clear" w:color="auto" w:fill="F2F2F2" w:themeFill="background1" w:themeFillShade="F2"/>
            <w:tcMar>
              <w:top w:w="16" w:type="dxa"/>
              <w:left w:w="16" w:type="dxa"/>
              <w:bottom w:w="0" w:type="dxa"/>
              <w:right w:w="16" w:type="dxa"/>
            </w:tcMar>
            <w:textDirection w:val="btLr"/>
            <w:vAlign w:val="center"/>
          </w:tcPr>
          <w:p w14:paraId="11EA983B" w14:textId="77777777" w:rsidR="00040878" w:rsidRPr="00E53765" w:rsidRDefault="00040878" w:rsidP="00040878">
            <w:pPr>
              <w:jc w:val="center"/>
              <w:rPr>
                <w:rStyle w:val="IntenseReference"/>
                <w:rFonts w:eastAsia="Arial Unicode MS"/>
              </w:rPr>
            </w:pPr>
            <w:r w:rsidRPr="00E53765">
              <w:rPr>
                <w:rStyle w:val="IntenseReference"/>
              </w:rPr>
              <w:t>Region</w:t>
            </w:r>
          </w:p>
        </w:tc>
        <w:tc>
          <w:tcPr>
            <w:tcW w:w="599" w:type="dxa"/>
            <w:vMerge w:val="restart"/>
            <w:shd w:val="clear" w:color="auto" w:fill="F2F2F2" w:themeFill="background1" w:themeFillShade="F2"/>
            <w:tcMar>
              <w:top w:w="16" w:type="dxa"/>
              <w:left w:w="16" w:type="dxa"/>
              <w:bottom w:w="0" w:type="dxa"/>
              <w:right w:w="16" w:type="dxa"/>
            </w:tcMar>
            <w:textDirection w:val="btLr"/>
            <w:vAlign w:val="center"/>
          </w:tcPr>
          <w:p w14:paraId="11EA983C" w14:textId="77777777" w:rsidR="00040878" w:rsidRPr="00E53765" w:rsidRDefault="00040878" w:rsidP="00E56CF1">
            <w:pPr>
              <w:jc w:val="center"/>
              <w:rPr>
                <w:rStyle w:val="IntenseReference"/>
                <w:rFonts w:eastAsia="Arial Unicode MS"/>
              </w:rPr>
            </w:pPr>
            <w:r w:rsidRPr="00E53765">
              <w:rPr>
                <w:rStyle w:val="IntenseReference"/>
              </w:rPr>
              <w:t>Catchment</w:t>
            </w:r>
          </w:p>
        </w:tc>
        <w:tc>
          <w:tcPr>
            <w:tcW w:w="1984" w:type="dxa"/>
            <w:vMerge w:val="restart"/>
            <w:shd w:val="clear" w:color="auto" w:fill="F2F2F2" w:themeFill="background1" w:themeFillShade="F2"/>
            <w:tcMar>
              <w:top w:w="16" w:type="dxa"/>
              <w:left w:w="16" w:type="dxa"/>
              <w:bottom w:w="0" w:type="dxa"/>
              <w:right w:w="16" w:type="dxa"/>
            </w:tcMar>
            <w:vAlign w:val="center"/>
          </w:tcPr>
          <w:p w14:paraId="11EA983D" w14:textId="77777777" w:rsidR="00040878" w:rsidRPr="00E53765" w:rsidRDefault="00040878" w:rsidP="00E56CF1">
            <w:pPr>
              <w:jc w:val="center"/>
              <w:rPr>
                <w:rStyle w:val="IntenseReference"/>
                <w:rFonts w:eastAsia="Arial Unicode MS"/>
              </w:rPr>
            </w:pPr>
            <w:r w:rsidRPr="00E53765">
              <w:rPr>
                <w:rStyle w:val="IntenseReference"/>
              </w:rPr>
              <w:t>Reef</w:t>
            </w:r>
          </w:p>
        </w:tc>
        <w:tc>
          <w:tcPr>
            <w:tcW w:w="2693" w:type="dxa"/>
            <w:gridSpan w:val="3"/>
            <w:shd w:val="clear" w:color="auto" w:fill="F2F2F2" w:themeFill="background1" w:themeFillShade="F2"/>
            <w:tcMar>
              <w:top w:w="16" w:type="dxa"/>
              <w:left w:w="16" w:type="dxa"/>
              <w:bottom w:w="0" w:type="dxa"/>
              <w:right w:w="16" w:type="dxa"/>
            </w:tcMar>
            <w:vAlign w:val="center"/>
          </w:tcPr>
          <w:p w14:paraId="11EA983E" w14:textId="77777777" w:rsidR="00040878" w:rsidRPr="00E53765" w:rsidRDefault="00040878" w:rsidP="00E56CF1">
            <w:pPr>
              <w:jc w:val="center"/>
              <w:rPr>
                <w:rFonts w:ascii="Arial Narrow" w:eastAsia="Arial Unicode MS" w:hAnsi="Arial Narrow"/>
                <w:bCs/>
                <w:color w:val="000000" w:themeColor="text1"/>
                <w:sz w:val="20"/>
              </w:rPr>
            </w:pPr>
            <w:r w:rsidRPr="00E53765">
              <w:rPr>
                <w:rStyle w:val="IntenseReference"/>
              </w:rPr>
              <w:t>Bleaching</w:t>
            </w:r>
          </w:p>
        </w:tc>
        <w:tc>
          <w:tcPr>
            <w:tcW w:w="8222" w:type="dxa"/>
            <w:vMerge w:val="restart"/>
            <w:shd w:val="clear" w:color="auto" w:fill="F2F2F2" w:themeFill="background1" w:themeFillShade="F2"/>
            <w:tcMar>
              <w:top w:w="16" w:type="dxa"/>
              <w:left w:w="16" w:type="dxa"/>
              <w:bottom w:w="0" w:type="dxa"/>
              <w:right w:w="16" w:type="dxa"/>
            </w:tcMar>
            <w:vAlign w:val="center"/>
          </w:tcPr>
          <w:p w14:paraId="11EA983F" w14:textId="77777777" w:rsidR="00040878" w:rsidRPr="00E53765" w:rsidRDefault="00040878" w:rsidP="00E56CF1">
            <w:pPr>
              <w:spacing w:after="0"/>
              <w:jc w:val="center"/>
              <w:rPr>
                <w:rFonts w:ascii="Arial Narrow" w:hAnsi="Arial Narrow"/>
                <w:bCs/>
                <w:color w:val="000000" w:themeColor="text1"/>
                <w:sz w:val="20"/>
              </w:rPr>
            </w:pPr>
            <w:r w:rsidRPr="00E53765">
              <w:rPr>
                <w:rStyle w:val="IntenseReference"/>
              </w:rPr>
              <w:t>Other recorded disturbances</w:t>
            </w:r>
          </w:p>
        </w:tc>
      </w:tr>
      <w:tr w:rsidR="00F439FB" w:rsidRPr="00F439FB" w14:paraId="11EA9848" w14:textId="77777777" w:rsidTr="00040878">
        <w:trPr>
          <w:cantSplit/>
          <w:trHeight w:val="550"/>
        </w:trPr>
        <w:tc>
          <w:tcPr>
            <w:tcW w:w="394" w:type="dxa"/>
            <w:vMerge/>
            <w:tcMar>
              <w:top w:w="16" w:type="dxa"/>
              <w:left w:w="16" w:type="dxa"/>
              <w:bottom w:w="0" w:type="dxa"/>
              <w:right w:w="16" w:type="dxa"/>
            </w:tcMar>
            <w:textDirection w:val="btLr"/>
            <w:vAlign w:val="center"/>
          </w:tcPr>
          <w:p w14:paraId="11EA9841" w14:textId="77777777" w:rsidR="00040878" w:rsidRPr="00E53765" w:rsidRDefault="00040878" w:rsidP="00E56CF1">
            <w:pPr>
              <w:jc w:val="center"/>
              <w:rPr>
                <w:rFonts w:ascii="Arial Narrow" w:hAnsi="Arial Narrow"/>
                <w:bCs/>
                <w:color w:val="000000" w:themeColor="text1"/>
                <w:sz w:val="20"/>
              </w:rPr>
            </w:pPr>
          </w:p>
        </w:tc>
        <w:tc>
          <w:tcPr>
            <w:tcW w:w="599" w:type="dxa"/>
            <w:vMerge/>
            <w:tcMar>
              <w:top w:w="16" w:type="dxa"/>
              <w:left w:w="16" w:type="dxa"/>
              <w:bottom w:w="0" w:type="dxa"/>
              <w:right w:w="16" w:type="dxa"/>
            </w:tcMar>
            <w:textDirection w:val="btLr"/>
            <w:vAlign w:val="center"/>
          </w:tcPr>
          <w:p w14:paraId="11EA9842" w14:textId="77777777" w:rsidR="00040878" w:rsidRPr="00E53765" w:rsidRDefault="00040878" w:rsidP="00E56CF1">
            <w:pPr>
              <w:jc w:val="center"/>
              <w:rPr>
                <w:rFonts w:ascii="Arial Narrow" w:hAnsi="Arial Narrow"/>
                <w:bCs/>
                <w:color w:val="000000" w:themeColor="text1"/>
                <w:sz w:val="20"/>
              </w:rPr>
            </w:pPr>
          </w:p>
        </w:tc>
        <w:tc>
          <w:tcPr>
            <w:tcW w:w="1984" w:type="dxa"/>
            <w:vMerge/>
            <w:tcMar>
              <w:top w:w="16" w:type="dxa"/>
              <w:left w:w="16" w:type="dxa"/>
              <w:bottom w:w="0" w:type="dxa"/>
              <w:right w:w="16" w:type="dxa"/>
            </w:tcMar>
            <w:vAlign w:val="bottom"/>
          </w:tcPr>
          <w:p w14:paraId="11EA9843" w14:textId="77777777" w:rsidR="00040878" w:rsidRPr="00E53765" w:rsidRDefault="00040878" w:rsidP="00E56CF1">
            <w:pPr>
              <w:ind w:left="200"/>
              <w:rPr>
                <w:rFonts w:ascii="Arial Narrow" w:hAnsi="Arial Narrow"/>
                <w:bCs/>
                <w:color w:val="000000" w:themeColor="text1"/>
                <w:sz w:val="20"/>
              </w:rPr>
            </w:pPr>
          </w:p>
        </w:tc>
        <w:tc>
          <w:tcPr>
            <w:tcW w:w="999" w:type="dxa"/>
            <w:shd w:val="clear" w:color="auto" w:fill="F2F2F2" w:themeFill="background1" w:themeFillShade="F2"/>
            <w:tcMar>
              <w:top w:w="16" w:type="dxa"/>
              <w:left w:w="16" w:type="dxa"/>
              <w:bottom w:w="0" w:type="dxa"/>
              <w:right w:w="16" w:type="dxa"/>
            </w:tcMar>
            <w:vAlign w:val="center"/>
          </w:tcPr>
          <w:p w14:paraId="11EA9844" w14:textId="77777777" w:rsidR="00040878" w:rsidRPr="00E53765" w:rsidRDefault="00040878" w:rsidP="00E56CF1">
            <w:pPr>
              <w:jc w:val="center"/>
              <w:rPr>
                <w:rStyle w:val="IntenseReference"/>
                <w:rFonts w:eastAsia="Arial Unicode MS"/>
              </w:rPr>
            </w:pPr>
            <w:r w:rsidRPr="00E53765">
              <w:rPr>
                <w:rStyle w:val="IntenseReference"/>
              </w:rPr>
              <w:t>1998</w:t>
            </w:r>
          </w:p>
        </w:tc>
        <w:tc>
          <w:tcPr>
            <w:tcW w:w="851" w:type="dxa"/>
            <w:shd w:val="clear" w:color="auto" w:fill="F2F2F2" w:themeFill="background1" w:themeFillShade="F2"/>
            <w:vAlign w:val="center"/>
          </w:tcPr>
          <w:p w14:paraId="11EA9845" w14:textId="77777777" w:rsidR="00040878" w:rsidRPr="00E53765" w:rsidRDefault="00040878" w:rsidP="00E56CF1">
            <w:pPr>
              <w:jc w:val="center"/>
              <w:rPr>
                <w:rStyle w:val="IntenseReference"/>
                <w:rFonts w:eastAsia="Arial Unicode MS"/>
              </w:rPr>
            </w:pPr>
            <w:r w:rsidRPr="00E53765">
              <w:rPr>
                <w:rStyle w:val="IntenseReference"/>
              </w:rPr>
              <w:t>2002</w:t>
            </w:r>
          </w:p>
        </w:tc>
        <w:tc>
          <w:tcPr>
            <w:tcW w:w="843" w:type="dxa"/>
            <w:shd w:val="clear" w:color="auto" w:fill="F2F2F2" w:themeFill="background1" w:themeFillShade="F2"/>
            <w:tcMar>
              <w:top w:w="16" w:type="dxa"/>
              <w:left w:w="16" w:type="dxa"/>
              <w:bottom w:w="0" w:type="dxa"/>
              <w:right w:w="16" w:type="dxa"/>
            </w:tcMar>
            <w:vAlign w:val="center"/>
          </w:tcPr>
          <w:p w14:paraId="11EA9846" w14:textId="77777777" w:rsidR="00040878" w:rsidRPr="00E53765" w:rsidRDefault="00040878" w:rsidP="00E56CF1">
            <w:pPr>
              <w:jc w:val="center"/>
              <w:rPr>
                <w:rStyle w:val="IntenseReference"/>
                <w:rFonts w:eastAsia="Arial Unicode MS"/>
              </w:rPr>
            </w:pPr>
            <w:r w:rsidRPr="00E53765">
              <w:rPr>
                <w:rStyle w:val="IntenseReference"/>
                <w:rFonts w:eastAsia="Arial Unicode MS"/>
              </w:rPr>
              <w:t>2006</w:t>
            </w:r>
          </w:p>
        </w:tc>
        <w:tc>
          <w:tcPr>
            <w:tcW w:w="8222" w:type="dxa"/>
            <w:vMerge/>
            <w:tcMar>
              <w:top w:w="16" w:type="dxa"/>
              <w:left w:w="16" w:type="dxa"/>
              <w:bottom w:w="0" w:type="dxa"/>
              <w:right w:w="16" w:type="dxa"/>
            </w:tcMar>
            <w:vAlign w:val="bottom"/>
          </w:tcPr>
          <w:p w14:paraId="11EA9847" w14:textId="77777777" w:rsidR="00040878" w:rsidRPr="00E53765" w:rsidRDefault="00040878" w:rsidP="00E56CF1">
            <w:pPr>
              <w:spacing w:after="0"/>
              <w:rPr>
                <w:rFonts w:ascii="Arial Narrow" w:hAnsi="Arial Narrow"/>
                <w:bCs/>
                <w:color w:val="000000" w:themeColor="text1"/>
                <w:sz w:val="20"/>
              </w:rPr>
            </w:pPr>
          </w:p>
        </w:tc>
      </w:tr>
      <w:tr w:rsidR="00F439FB" w:rsidRPr="00F439FB" w14:paraId="11EA9850" w14:textId="77777777" w:rsidTr="00040878">
        <w:trPr>
          <w:cantSplit/>
          <w:trHeight w:val="264"/>
        </w:trPr>
        <w:tc>
          <w:tcPr>
            <w:tcW w:w="394" w:type="dxa"/>
            <w:vMerge w:val="restart"/>
            <w:tcMar>
              <w:top w:w="16" w:type="dxa"/>
              <w:left w:w="16" w:type="dxa"/>
              <w:bottom w:w="0" w:type="dxa"/>
              <w:right w:w="16" w:type="dxa"/>
            </w:tcMar>
            <w:textDirection w:val="btLr"/>
            <w:vAlign w:val="center"/>
          </w:tcPr>
          <w:p w14:paraId="11EA9849" w14:textId="77777777" w:rsidR="00040878" w:rsidRPr="00E53765" w:rsidRDefault="00040878" w:rsidP="00E56CF1">
            <w:pPr>
              <w:jc w:val="center"/>
              <w:rPr>
                <w:rFonts w:ascii="Arial Narrow" w:eastAsia="Arial Unicode MS" w:hAnsi="Arial Narrow"/>
                <w:bCs/>
                <w:color w:val="000000" w:themeColor="text1"/>
                <w:sz w:val="20"/>
              </w:rPr>
            </w:pPr>
            <w:r w:rsidRPr="00E53765">
              <w:rPr>
                <w:rFonts w:ascii="Arial Narrow" w:hAnsi="Arial Narrow"/>
                <w:bCs/>
                <w:color w:val="000000" w:themeColor="text1"/>
                <w:sz w:val="20"/>
              </w:rPr>
              <w:t>Burdekin</w:t>
            </w:r>
          </w:p>
        </w:tc>
        <w:tc>
          <w:tcPr>
            <w:tcW w:w="599" w:type="dxa"/>
            <w:vMerge w:val="restart"/>
            <w:tcMar>
              <w:top w:w="16" w:type="dxa"/>
              <w:left w:w="16" w:type="dxa"/>
              <w:bottom w:w="0" w:type="dxa"/>
              <w:right w:w="16" w:type="dxa"/>
            </w:tcMar>
            <w:textDirection w:val="btLr"/>
            <w:vAlign w:val="center"/>
          </w:tcPr>
          <w:p w14:paraId="11EA984A" w14:textId="77777777" w:rsidR="00040878" w:rsidRPr="00E53765" w:rsidRDefault="00040878" w:rsidP="00E56CF1">
            <w:pPr>
              <w:jc w:val="center"/>
              <w:rPr>
                <w:rFonts w:ascii="Arial Narrow" w:eastAsia="Arial Unicode MS" w:hAnsi="Arial Narrow"/>
                <w:bCs/>
                <w:color w:val="000000" w:themeColor="text1"/>
                <w:sz w:val="20"/>
              </w:rPr>
            </w:pPr>
            <w:r w:rsidRPr="00E53765">
              <w:rPr>
                <w:rFonts w:ascii="Arial Narrow" w:hAnsi="Arial Narrow"/>
                <w:bCs/>
                <w:color w:val="000000" w:themeColor="text1"/>
                <w:sz w:val="20"/>
              </w:rPr>
              <w:t>Burdekin</w:t>
            </w:r>
          </w:p>
        </w:tc>
        <w:tc>
          <w:tcPr>
            <w:tcW w:w="1984" w:type="dxa"/>
            <w:tcMar>
              <w:top w:w="16" w:type="dxa"/>
              <w:left w:w="16" w:type="dxa"/>
              <w:bottom w:w="0" w:type="dxa"/>
              <w:right w:w="16" w:type="dxa"/>
            </w:tcMar>
            <w:vAlign w:val="bottom"/>
          </w:tcPr>
          <w:p w14:paraId="11EA984B" w14:textId="77777777" w:rsidR="00040878" w:rsidRPr="00E53765" w:rsidRDefault="00040878" w:rsidP="00E56CF1">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Palms East</w:t>
            </w:r>
          </w:p>
        </w:tc>
        <w:tc>
          <w:tcPr>
            <w:tcW w:w="999" w:type="dxa"/>
            <w:tcMar>
              <w:top w:w="16" w:type="dxa"/>
              <w:left w:w="16" w:type="dxa"/>
              <w:bottom w:w="0" w:type="dxa"/>
              <w:right w:w="16" w:type="dxa"/>
            </w:tcMar>
            <w:vAlign w:val="center"/>
          </w:tcPr>
          <w:p w14:paraId="11EA984C"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0.93</w:t>
            </w:r>
          </w:p>
        </w:tc>
        <w:tc>
          <w:tcPr>
            <w:tcW w:w="851" w:type="dxa"/>
            <w:vAlign w:val="center"/>
          </w:tcPr>
          <w:p w14:paraId="11EA984D"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0.80</w:t>
            </w:r>
          </w:p>
        </w:tc>
        <w:tc>
          <w:tcPr>
            <w:tcW w:w="843" w:type="dxa"/>
            <w:tcMar>
              <w:top w:w="16" w:type="dxa"/>
              <w:left w:w="16" w:type="dxa"/>
              <w:bottom w:w="0" w:type="dxa"/>
              <w:right w:w="16" w:type="dxa"/>
            </w:tcMar>
            <w:vAlign w:val="center"/>
          </w:tcPr>
          <w:p w14:paraId="11EA984E"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4F" w14:textId="768490B7" w:rsidR="00040878" w:rsidRPr="00E53765" w:rsidRDefault="00040878" w:rsidP="00040878">
            <w:pPr>
              <w:spacing w:after="0"/>
              <w:jc w:val="left"/>
              <w:rPr>
                <w:rFonts w:ascii="Arial Narrow" w:hAnsi="Arial Narrow"/>
                <w:bCs/>
                <w:color w:val="000000" w:themeColor="text1"/>
                <w:sz w:val="18"/>
                <w:szCs w:val="18"/>
              </w:rPr>
            </w:pPr>
            <w:r w:rsidRPr="00E53765">
              <w:rPr>
                <w:rFonts w:ascii="Arial Narrow" w:hAnsi="Arial Narrow"/>
                <w:bCs/>
                <w:color w:val="000000" w:themeColor="text1"/>
                <w:sz w:val="18"/>
                <w:szCs w:val="18"/>
              </w:rPr>
              <w:t xml:space="preserve">Cyclone Larry 2006 (22% at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 xml:space="preserve">, 39% at </w:t>
            </w:r>
            <w:r w:rsidR="00AA72A3">
              <w:rPr>
                <w:rFonts w:ascii="Arial Narrow" w:hAnsi="Arial Narrow"/>
                <w:bCs/>
                <w:color w:val="000000" w:themeColor="text1"/>
                <w:sz w:val="18"/>
                <w:szCs w:val="18"/>
              </w:rPr>
              <w:t>5 m</w:t>
            </w:r>
            <w:r w:rsidRPr="00E53765">
              <w:rPr>
                <w:rFonts w:ascii="Arial Narrow" w:hAnsi="Arial Narrow"/>
                <w:bCs/>
                <w:color w:val="000000" w:themeColor="text1"/>
                <w:sz w:val="18"/>
                <w:szCs w:val="18"/>
              </w:rPr>
              <w:t xml:space="preserve">), Cyclone Yasi 2011 (83% at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 xml:space="preserve">, 83% at </w:t>
            </w:r>
            <w:r w:rsidR="00AA72A3">
              <w:rPr>
                <w:rFonts w:ascii="Arial Narrow" w:hAnsi="Arial Narrow"/>
                <w:bCs/>
                <w:color w:val="000000" w:themeColor="text1"/>
                <w:sz w:val="18"/>
                <w:szCs w:val="18"/>
              </w:rPr>
              <w:t>5 m</w:t>
            </w:r>
            <w:r w:rsidRPr="00E53765">
              <w:rPr>
                <w:rFonts w:ascii="Arial Narrow" w:hAnsi="Arial Narrow"/>
                <w:bCs/>
                <w:color w:val="000000" w:themeColor="text1"/>
                <w:sz w:val="18"/>
                <w:szCs w:val="18"/>
              </w:rPr>
              <w:t>)</w:t>
            </w:r>
          </w:p>
        </w:tc>
      </w:tr>
      <w:tr w:rsidR="00F439FB" w:rsidRPr="00F439FB" w14:paraId="11EA9859" w14:textId="77777777" w:rsidTr="00040878">
        <w:trPr>
          <w:cantSplit/>
          <w:trHeight w:val="236"/>
        </w:trPr>
        <w:tc>
          <w:tcPr>
            <w:tcW w:w="394" w:type="dxa"/>
            <w:vMerge/>
            <w:vAlign w:val="center"/>
          </w:tcPr>
          <w:p w14:paraId="11EA9851" w14:textId="77777777" w:rsidR="00040878" w:rsidRPr="00E53765" w:rsidRDefault="00040878" w:rsidP="00E56CF1">
            <w:pPr>
              <w:rPr>
                <w:rFonts w:ascii="Arial Narrow" w:eastAsia="Arial Unicode MS" w:hAnsi="Arial Narrow"/>
                <w:bCs/>
                <w:color w:val="000000" w:themeColor="text1"/>
                <w:sz w:val="20"/>
              </w:rPr>
            </w:pPr>
          </w:p>
        </w:tc>
        <w:tc>
          <w:tcPr>
            <w:tcW w:w="599" w:type="dxa"/>
            <w:vMerge/>
            <w:vAlign w:val="center"/>
          </w:tcPr>
          <w:p w14:paraId="11EA9852" w14:textId="77777777" w:rsidR="00040878" w:rsidRPr="00E53765"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853" w14:textId="77777777" w:rsidR="00040878" w:rsidRPr="00E53765" w:rsidRDefault="00040878" w:rsidP="00E56CF1">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Palms West</w:t>
            </w:r>
          </w:p>
        </w:tc>
        <w:tc>
          <w:tcPr>
            <w:tcW w:w="999" w:type="dxa"/>
            <w:tcMar>
              <w:top w:w="16" w:type="dxa"/>
              <w:left w:w="16" w:type="dxa"/>
              <w:bottom w:w="0" w:type="dxa"/>
              <w:right w:w="16" w:type="dxa"/>
            </w:tcMar>
            <w:vAlign w:val="center"/>
          </w:tcPr>
          <w:p w14:paraId="11EA9854"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0.92 (83%)</w:t>
            </w:r>
          </w:p>
        </w:tc>
        <w:tc>
          <w:tcPr>
            <w:tcW w:w="851" w:type="dxa"/>
            <w:vAlign w:val="center"/>
          </w:tcPr>
          <w:p w14:paraId="11EA9855"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0.80</w:t>
            </w:r>
          </w:p>
        </w:tc>
        <w:tc>
          <w:tcPr>
            <w:tcW w:w="843" w:type="dxa"/>
            <w:tcMar>
              <w:top w:w="16" w:type="dxa"/>
              <w:left w:w="16" w:type="dxa"/>
              <w:bottom w:w="0" w:type="dxa"/>
              <w:right w:w="16" w:type="dxa"/>
            </w:tcMar>
            <w:vAlign w:val="center"/>
          </w:tcPr>
          <w:p w14:paraId="11EA9856"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57" w14:textId="78FB3821" w:rsidR="00040878" w:rsidRPr="00E53765" w:rsidRDefault="00040878" w:rsidP="00040878">
            <w:pPr>
              <w:spacing w:after="0"/>
              <w:jc w:val="left"/>
              <w:rPr>
                <w:rFonts w:ascii="Arial Narrow" w:hAnsi="Arial Narrow"/>
                <w:bCs/>
                <w:color w:val="000000" w:themeColor="text1"/>
                <w:sz w:val="18"/>
                <w:szCs w:val="18"/>
              </w:rPr>
            </w:pPr>
            <w:r w:rsidRPr="00E53765">
              <w:rPr>
                <w:rFonts w:ascii="Arial Narrow" w:hAnsi="Arial Narrow"/>
                <w:bCs/>
                <w:color w:val="000000" w:themeColor="text1"/>
                <w:sz w:val="18"/>
                <w:szCs w:val="18"/>
              </w:rPr>
              <w:t xml:space="preserve">Unknown 1995-1997 though possibly Cyclone Justin (32%) , Cyclone Larry 2006 (15% at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w:t>
            </w:r>
          </w:p>
          <w:p w14:paraId="11EA9858" w14:textId="5547AC23" w:rsidR="00040878" w:rsidRPr="00E53765" w:rsidRDefault="00040878" w:rsidP="00040878">
            <w:pPr>
              <w:spacing w:after="0"/>
              <w:jc w:val="left"/>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 xml:space="preserve">Storm 2010 (68% at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w:t>
            </w:r>
          </w:p>
        </w:tc>
      </w:tr>
      <w:tr w:rsidR="00F439FB" w:rsidRPr="00F439FB" w14:paraId="11EA9861" w14:textId="77777777" w:rsidTr="00040878">
        <w:trPr>
          <w:cantSplit/>
          <w:trHeight w:val="264"/>
        </w:trPr>
        <w:tc>
          <w:tcPr>
            <w:tcW w:w="394" w:type="dxa"/>
            <w:vMerge/>
            <w:vAlign w:val="center"/>
          </w:tcPr>
          <w:p w14:paraId="11EA985A" w14:textId="77777777" w:rsidR="00040878" w:rsidRPr="00E53765" w:rsidRDefault="00040878" w:rsidP="00E56CF1">
            <w:pPr>
              <w:rPr>
                <w:rFonts w:ascii="Arial Narrow" w:eastAsia="Arial Unicode MS" w:hAnsi="Arial Narrow"/>
                <w:bCs/>
                <w:color w:val="000000" w:themeColor="text1"/>
                <w:sz w:val="20"/>
              </w:rPr>
            </w:pPr>
          </w:p>
        </w:tc>
        <w:tc>
          <w:tcPr>
            <w:tcW w:w="599" w:type="dxa"/>
            <w:vMerge/>
            <w:vAlign w:val="center"/>
          </w:tcPr>
          <w:p w14:paraId="11EA985B" w14:textId="77777777" w:rsidR="00040878" w:rsidRPr="00E53765"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85C" w14:textId="77777777" w:rsidR="00040878" w:rsidRPr="00E53765" w:rsidRDefault="00040878" w:rsidP="00E56CF1">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Lady Elliott Reef</w:t>
            </w:r>
          </w:p>
        </w:tc>
        <w:tc>
          <w:tcPr>
            <w:tcW w:w="999" w:type="dxa"/>
            <w:tcMar>
              <w:top w:w="16" w:type="dxa"/>
              <w:left w:w="16" w:type="dxa"/>
              <w:bottom w:w="0" w:type="dxa"/>
              <w:right w:w="16" w:type="dxa"/>
            </w:tcMar>
            <w:vAlign w:val="center"/>
          </w:tcPr>
          <w:p w14:paraId="11EA985D"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0.93</w:t>
            </w:r>
          </w:p>
        </w:tc>
        <w:tc>
          <w:tcPr>
            <w:tcW w:w="851" w:type="dxa"/>
            <w:vAlign w:val="center"/>
          </w:tcPr>
          <w:p w14:paraId="11EA985E"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0.85</w:t>
            </w:r>
          </w:p>
        </w:tc>
        <w:tc>
          <w:tcPr>
            <w:tcW w:w="843" w:type="dxa"/>
            <w:tcMar>
              <w:top w:w="16" w:type="dxa"/>
              <w:left w:w="16" w:type="dxa"/>
              <w:bottom w:w="0" w:type="dxa"/>
              <w:right w:w="16" w:type="dxa"/>
            </w:tcMar>
            <w:vAlign w:val="center"/>
          </w:tcPr>
          <w:p w14:paraId="11EA985F"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60" w14:textId="512746A7" w:rsidR="00040878" w:rsidRPr="00E53765" w:rsidRDefault="00040878" w:rsidP="00040878">
            <w:pPr>
              <w:spacing w:after="0"/>
              <w:jc w:val="left"/>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 xml:space="preserve">Cyclone Yasi 2011 most likely although reef not surveyed that year (863% at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 xml:space="preserve">, 45% at </w:t>
            </w:r>
            <w:r w:rsidR="00AA72A3">
              <w:rPr>
                <w:rFonts w:ascii="Arial Narrow" w:hAnsi="Arial Narrow"/>
                <w:bCs/>
                <w:color w:val="000000" w:themeColor="text1"/>
                <w:sz w:val="18"/>
                <w:szCs w:val="18"/>
              </w:rPr>
              <w:t>5 m</w:t>
            </w:r>
            <w:r w:rsidRPr="00E53765">
              <w:rPr>
                <w:rFonts w:ascii="Arial Narrow" w:hAnsi="Arial Narrow"/>
                <w:bCs/>
                <w:color w:val="000000" w:themeColor="text1"/>
                <w:sz w:val="18"/>
                <w:szCs w:val="18"/>
              </w:rPr>
              <w:t>)</w:t>
            </w:r>
          </w:p>
        </w:tc>
      </w:tr>
      <w:tr w:rsidR="00F439FB" w:rsidRPr="00F439FB" w14:paraId="11EA9869" w14:textId="77777777" w:rsidTr="00040878">
        <w:trPr>
          <w:cantSplit/>
          <w:trHeight w:val="297"/>
        </w:trPr>
        <w:tc>
          <w:tcPr>
            <w:tcW w:w="394" w:type="dxa"/>
            <w:vMerge/>
            <w:vAlign w:val="center"/>
          </w:tcPr>
          <w:p w14:paraId="11EA9862" w14:textId="77777777" w:rsidR="00040878" w:rsidRPr="00E53765" w:rsidRDefault="00040878" w:rsidP="00E56CF1">
            <w:pPr>
              <w:rPr>
                <w:rFonts w:ascii="Arial Narrow" w:eastAsia="Arial Unicode MS" w:hAnsi="Arial Narrow"/>
                <w:bCs/>
                <w:color w:val="000000" w:themeColor="text1"/>
                <w:sz w:val="20"/>
              </w:rPr>
            </w:pPr>
          </w:p>
        </w:tc>
        <w:tc>
          <w:tcPr>
            <w:tcW w:w="599" w:type="dxa"/>
            <w:vMerge/>
            <w:vAlign w:val="center"/>
          </w:tcPr>
          <w:p w14:paraId="11EA9863" w14:textId="77777777" w:rsidR="00040878" w:rsidRPr="00E53765"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864" w14:textId="77777777" w:rsidR="00040878" w:rsidRPr="00E53765" w:rsidRDefault="00040878" w:rsidP="00E56CF1">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Pandora Reef</w:t>
            </w:r>
          </w:p>
        </w:tc>
        <w:tc>
          <w:tcPr>
            <w:tcW w:w="999" w:type="dxa"/>
            <w:tcMar>
              <w:top w:w="16" w:type="dxa"/>
              <w:left w:w="16" w:type="dxa"/>
              <w:bottom w:w="0" w:type="dxa"/>
              <w:right w:w="16" w:type="dxa"/>
            </w:tcMar>
            <w:vAlign w:val="center"/>
          </w:tcPr>
          <w:p w14:paraId="11EA9865"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0.93 (21%)</w:t>
            </w:r>
          </w:p>
        </w:tc>
        <w:tc>
          <w:tcPr>
            <w:tcW w:w="851" w:type="dxa"/>
            <w:vAlign w:val="center"/>
          </w:tcPr>
          <w:p w14:paraId="11EA9866"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0.85 (2%)</w:t>
            </w:r>
          </w:p>
        </w:tc>
        <w:tc>
          <w:tcPr>
            <w:tcW w:w="843" w:type="dxa"/>
            <w:tcMar>
              <w:top w:w="16" w:type="dxa"/>
              <w:left w:w="16" w:type="dxa"/>
              <w:bottom w:w="0" w:type="dxa"/>
              <w:right w:w="16" w:type="dxa"/>
            </w:tcMar>
            <w:vAlign w:val="center"/>
          </w:tcPr>
          <w:p w14:paraId="11EA9867"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68" w14:textId="0D217F44" w:rsidR="00040878" w:rsidRPr="00E53765" w:rsidRDefault="00040878" w:rsidP="00040878">
            <w:pPr>
              <w:spacing w:after="0"/>
              <w:jc w:val="left"/>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 xml:space="preserve">Cyclone Tessie 2000 (9%), Cyclone Larry 2006 (27% at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 xml:space="preserve">, 7% at </w:t>
            </w:r>
            <w:r w:rsidR="00AA72A3">
              <w:rPr>
                <w:rFonts w:ascii="Arial Narrow" w:hAnsi="Arial Narrow"/>
                <w:bCs/>
                <w:color w:val="000000" w:themeColor="text1"/>
                <w:sz w:val="18"/>
                <w:szCs w:val="18"/>
              </w:rPr>
              <w:t>5 m</w:t>
            </w:r>
            <w:r w:rsidRPr="00E53765">
              <w:rPr>
                <w:rFonts w:ascii="Arial Narrow" w:hAnsi="Arial Narrow"/>
                <w:bCs/>
                <w:color w:val="000000" w:themeColor="text1"/>
                <w:sz w:val="18"/>
                <w:szCs w:val="18"/>
              </w:rPr>
              <w:t xml:space="preserve">), Storm 2009 (40% at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 xml:space="preserve">, 53% at </w:t>
            </w:r>
            <w:r w:rsidR="00AA72A3">
              <w:rPr>
                <w:rFonts w:ascii="Arial Narrow" w:hAnsi="Arial Narrow"/>
                <w:bCs/>
                <w:color w:val="000000" w:themeColor="text1"/>
                <w:sz w:val="18"/>
                <w:szCs w:val="18"/>
              </w:rPr>
              <w:t>5 m</w:t>
            </w:r>
            <w:r w:rsidRPr="00E53765">
              <w:rPr>
                <w:rFonts w:ascii="Arial Narrow" w:hAnsi="Arial Narrow"/>
                <w:bCs/>
                <w:color w:val="000000" w:themeColor="text1"/>
                <w:sz w:val="18"/>
                <w:szCs w:val="18"/>
              </w:rPr>
              <w:t xml:space="preserve">), Cyclone Yasi 2011 (11% at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 xml:space="preserve">, 46% at </w:t>
            </w:r>
            <w:r w:rsidR="00AA72A3">
              <w:rPr>
                <w:rFonts w:ascii="Arial Narrow" w:hAnsi="Arial Narrow"/>
                <w:bCs/>
                <w:color w:val="000000" w:themeColor="text1"/>
                <w:sz w:val="18"/>
                <w:szCs w:val="18"/>
              </w:rPr>
              <w:t>5 m</w:t>
            </w:r>
            <w:r w:rsidRPr="00E53765">
              <w:rPr>
                <w:rFonts w:ascii="Arial Narrow" w:hAnsi="Arial Narrow"/>
                <w:bCs/>
                <w:color w:val="000000" w:themeColor="text1"/>
                <w:sz w:val="18"/>
                <w:szCs w:val="18"/>
              </w:rPr>
              <w:t>)</w:t>
            </w:r>
          </w:p>
        </w:tc>
      </w:tr>
      <w:tr w:rsidR="00F439FB" w:rsidRPr="00F439FB" w14:paraId="11EA9871" w14:textId="77777777" w:rsidTr="00040878">
        <w:trPr>
          <w:cantSplit/>
          <w:trHeight w:val="297"/>
        </w:trPr>
        <w:tc>
          <w:tcPr>
            <w:tcW w:w="394" w:type="dxa"/>
            <w:vMerge/>
            <w:vAlign w:val="center"/>
          </w:tcPr>
          <w:p w14:paraId="11EA986A" w14:textId="77777777" w:rsidR="00040878" w:rsidRPr="00E53765" w:rsidRDefault="00040878" w:rsidP="00E56CF1">
            <w:pPr>
              <w:rPr>
                <w:rFonts w:ascii="Arial Narrow" w:eastAsia="Arial Unicode MS" w:hAnsi="Arial Narrow"/>
                <w:bCs/>
                <w:color w:val="000000" w:themeColor="text1"/>
                <w:sz w:val="20"/>
              </w:rPr>
            </w:pPr>
          </w:p>
        </w:tc>
        <w:tc>
          <w:tcPr>
            <w:tcW w:w="599" w:type="dxa"/>
            <w:vMerge/>
            <w:vAlign w:val="center"/>
          </w:tcPr>
          <w:p w14:paraId="11EA986B" w14:textId="77777777" w:rsidR="00040878" w:rsidRPr="00E53765"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86C" w14:textId="77777777" w:rsidR="00040878" w:rsidRPr="00E53765" w:rsidRDefault="00040878" w:rsidP="00E56CF1">
            <w:pPr>
              <w:ind w:left="200"/>
              <w:rPr>
                <w:rFonts w:ascii="Arial Narrow" w:hAnsi="Arial Narrow"/>
                <w:bCs/>
                <w:color w:val="000000" w:themeColor="text1"/>
                <w:sz w:val="20"/>
              </w:rPr>
            </w:pPr>
            <w:r w:rsidRPr="00E53765">
              <w:rPr>
                <w:rFonts w:ascii="Arial Narrow" w:hAnsi="Arial Narrow"/>
                <w:bCs/>
                <w:color w:val="000000" w:themeColor="text1"/>
                <w:sz w:val="20"/>
              </w:rPr>
              <w:t>Pandora North</w:t>
            </w:r>
          </w:p>
        </w:tc>
        <w:tc>
          <w:tcPr>
            <w:tcW w:w="999" w:type="dxa"/>
            <w:tcMar>
              <w:top w:w="16" w:type="dxa"/>
              <w:left w:w="16" w:type="dxa"/>
              <w:bottom w:w="0" w:type="dxa"/>
              <w:right w:w="16" w:type="dxa"/>
            </w:tcMar>
            <w:vAlign w:val="center"/>
          </w:tcPr>
          <w:p w14:paraId="11EA986D" w14:textId="77777777" w:rsidR="00040878" w:rsidRPr="00E53765" w:rsidRDefault="00040878" w:rsidP="00E56CF1">
            <w:pPr>
              <w:jc w:val="center"/>
              <w:rPr>
                <w:rFonts w:ascii="Arial Narrow" w:hAnsi="Arial Narrow"/>
                <w:bCs/>
                <w:color w:val="000000" w:themeColor="text1"/>
                <w:sz w:val="18"/>
                <w:szCs w:val="18"/>
              </w:rPr>
            </w:pPr>
            <w:r w:rsidRPr="00E53765">
              <w:rPr>
                <w:rFonts w:ascii="Arial Narrow" w:hAnsi="Arial Narrow"/>
                <w:bCs/>
                <w:color w:val="000000" w:themeColor="text1"/>
                <w:sz w:val="18"/>
                <w:szCs w:val="18"/>
              </w:rPr>
              <w:t>11%</w:t>
            </w:r>
          </w:p>
        </w:tc>
        <w:tc>
          <w:tcPr>
            <w:tcW w:w="851" w:type="dxa"/>
            <w:vAlign w:val="center"/>
          </w:tcPr>
          <w:p w14:paraId="11EA986E" w14:textId="77777777" w:rsidR="00040878" w:rsidRPr="00E53765" w:rsidRDefault="00040878" w:rsidP="00E56CF1">
            <w:pPr>
              <w:jc w:val="center"/>
              <w:rPr>
                <w:rFonts w:ascii="Arial Narrow" w:hAnsi="Arial Narrow"/>
                <w:bCs/>
                <w:color w:val="000000" w:themeColor="text1"/>
                <w:sz w:val="18"/>
                <w:szCs w:val="18"/>
              </w:rPr>
            </w:pPr>
          </w:p>
        </w:tc>
        <w:tc>
          <w:tcPr>
            <w:tcW w:w="843" w:type="dxa"/>
            <w:tcMar>
              <w:top w:w="16" w:type="dxa"/>
              <w:left w:w="16" w:type="dxa"/>
              <w:bottom w:w="0" w:type="dxa"/>
              <w:right w:w="16" w:type="dxa"/>
            </w:tcMar>
            <w:vAlign w:val="center"/>
          </w:tcPr>
          <w:p w14:paraId="11EA986F"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70" w14:textId="77777777" w:rsidR="00040878" w:rsidRPr="00E53765" w:rsidRDefault="00040878" w:rsidP="00040878">
            <w:pPr>
              <w:spacing w:after="0"/>
              <w:jc w:val="left"/>
              <w:rPr>
                <w:rFonts w:ascii="Arial Narrow" w:hAnsi="Arial Narrow"/>
                <w:bCs/>
                <w:color w:val="000000" w:themeColor="text1"/>
                <w:sz w:val="18"/>
                <w:szCs w:val="18"/>
              </w:rPr>
            </w:pPr>
            <w:r w:rsidRPr="00E53765">
              <w:rPr>
                <w:rFonts w:ascii="Arial Narrow" w:hAnsi="Arial Narrow"/>
                <w:bCs/>
                <w:color w:val="000000" w:themeColor="text1"/>
                <w:sz w:val="18"/>
                <w:szCs w:val="18"/>
              </w:rPr>
              <w:t>Cyclone Yasi 2011 (24%)</w:t>
            </w:r>
          </w:p>
        </w:tc>
      </w:tr>
      <w:tr w:rsidR="00F439FB" w:rsidRPr="00F439FB" w14:paraId="11EA9879" w14:textId="77777777" w:rsidTr="00040878">
        <w:trPr>
          <w:cantSplit/>
          <w:trHeight w:val="265"/>
        </w:trPr>
        <w:tc>
          <w:tcPr>
            <w:tcW w:w="394" w:type="dxa"/>
            <w:vMerge/>
            <w:vAlign w:val="center"/>
          </w:tcPr>
          <w:p w14:paraId="11EA9872" w14:textId="77777777" w:rsidR="00040878" w:rsidRPr="00E53765" w:rsidRDefault="00040878" w:rsidP="00E56CF1">
            <w:pPr>
              <w:rPr>
                <w:rFonts w:ascii="Arial Narrow" w:eastAsia="Arial Unicode MS" w:hAnsi="Arial Narrow"/>
                <w:bCs/>
                <w:color w:val="000000" w:themeColor="text1"/>
                <w:sz w:val="20"/>
              </w:rPr>
            </w:pPr>
          </w:p>
        </w:tc>
        <w:tc>
          <w:tcPr>
            <w:tcW w:w="599" w:type="dxa"/>
            <w:vMerge/>
            <w:vAlign w:val="center"/>
          </w:tcPr>
          <w:p w14:paraId="11EA9873" w14:textId="77777777" w:rsidR="00040878" w:rsidRPr="00E53765"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874" w14:textId="77777777" w:rsidR="00040878" w:rsidRPr="00E53765" w:rsidRDefault="00040878" w:rsidP="00E56CF1">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Havannah</w:t>
            </w:r>
          </w:p>
        </w:tc>
        <w:tc>
          <w:tcPr>
            <w:tcW w:w="999" w:type="dxa"/>
            <w:tcMar>
              <w:top w:w="16" w:type="dxa"/>
              <w:left w:w="16" w:type="dxa"/>
              <w:bottom w:w="0" w:type="dxa"/>
              <w:right w:w="16" w:type="dxa"/>
            </w:tcMar>
            <w:vAlign w:val="center"/>
          </w:tcPr>
          <w:p w14:paraId="11EA9875"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 xml:space="preserve">0.93 </w:t>
            </w:r>
          </w:p>
        </w:tc>
        <w:tc>
          <w:tcPr>
            <w:tcW w:w="851" w:type="dxa"/>
            <w:vAlign w:val="center"/>
          </w:tcPr>
          <w:p w14:paraId="11EA9876"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 xml:space="preserve">0.95 </w:t>
            </w:r>
          </w:p>
        </w:tc>
        <w:tc>
          <w:tcPr>
            <w:tcW w:w="843" w:type="dxa"/>
            <w:tcMar>
              <w:top w:w="16" w:type="dxa"/>
              <w:left w:w="16" w:type="dxa"/>
              <w:bottom w:w="0" w:type="dxa"/>
              <w:right w:w="16" w:type="dxa"/>
            </w:tcMar>
            <w:vAlign w:val="center"/>
          </w:tcPr>
          <w:p w14:paraId="11EA9877"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78" w14:textId="24BC30D5" w:rsidR="00040878" w:rsidRPr="00E53765" w:rsidRDefault="00040878" w:rsidP="00040878">
            <w:pPr>
              <w:spacing w:after="0"/>
              <w:jc w:val="left"/>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 xml:space="preserve">Combination of Cyclone Tessie and Crown-of-thorns 1999-2001 (66%) Cyclone Yasi 2011 (3% at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 xml:space="preserve">, 19% at </w:t>
            </w:r>
            <w:r w:rsidR="00AA72A3">
              <w:rPr>
                <w:rFonts w:ascii="Arial Narrow" w:hAnsi="Arial Narrow"/>
                <w:bCs/>
                <w:color w:val="000000" w:themeColor="text1"/>
                <w:sz w:val="18"/>
                <w:szCs w:val="18"/>
              </w:rPr>
              <w:t>5 m</w:t>
            </w:r>
            <w:r w:rsidRPr="00E53765">
              <w:rPr>
                <w:rFonts w:ascii="Arial Narrow" w:hAnsi="Arial Narrow"/>
                <w:bCs/>
                <w:color w:val="000000" w:themeColor="text1"/>
                <w:sz w:val="18"/>
                <w:szCs w:val="18"/>
              </w:rPr>
              <w:t>)</w:t>
            </w:r>
          </w:p>
        </w:tc>
      </w:tr>
      <w:tr w:rsidR="00F439FB" w:rsidRPr="00F439FB" w14:paraId="11EA9881" w14:textId="77777777" w:rsidTr="00040878">
        <w:trPr>
          <w:cantSplit/>
          <w:trHeight w:val="265"/>
        </w:trPr>
        <w:tc>
          <w:tcPr>
            <w:tcW w:w="394" w:type="dxa"/>
            <w:vMerge/>
            <w:vAlign w:val="center"/>
          </w:tcPr>
          <w:p w14:paraId="11EA987A" w14:textId="77777777" w:rsidR="00040878" w:rsidRPr="00E53765" w:rsidRDefault="00040878" w:rsidP="00E56CF1">
            <w:pPr>
              <w:rPr>
                <w:rFonts w:ascii="Arial Narrow" w:eastAsia="Arial Unicode MS" w:hAnsi="Arial Narrow"/>
                <w:bCs/>
                <w:color w:val="000000" w:themeColor="text1"/>
                <w:sz w:val="20"/>
              </w:rPr>
            </w:pPr>
          </w:p>
        </w:tc>
        <w:tc>
          <w:tcPr>
            <w:tcW w:w="599" w:type="dxa"/>
            <w:vMerge/>
            <w:vAlign w:val="center"/>
          </w:tcPr>
          <w:p w14:paraId="11EA987B" w14:textId="77777777" w:rsidR="00040878" w:rsidRPr="00E53765"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87C" w14:textId="77777777" w:rsidR="00040878" w:rsidRPr="00E53765" w:rsidRDefault="00040878" w:rsidP="00E56CF1">
            <w:pPr>
              <w:ind w:left="200"/>
              <w:rPr>
                <w:rFonts w:ascii="Arial Narrow" w:hAnsi="Arial Narrow"/>
                <w:bCs/>
                <w:color w:val="000000" w:themeColor="text1"/>
                <w:sz w:val="20"/>
              </w:rPr>
            </w:pPr>
            <w:r w:rsidRPr="00E53765">
              <w:rPr>
                <w:rFonts w:ascii="Arial Narrow" w:hAnsi="Arial Narrow"/>
                <w:bCs/>
                <w:color w:val="000000" w:themeColor="text1"/>
                <w:sz w:val="20"/>
              </w:rPr>
              <w:t>Havannah North</w:t>
            </w:r>
          </w:p>
        </w:tc>
        <w:tc>
          <w:tcPr>
            <w:tcW w:w="999" w:type="dxa"/>
            <w:tcMar>
              <w:top w:w="16" w:type="dxa"/>
              <w:left w:w="16" w:type="dxa"/>
              <w:bottom w:w="0" w:type="dxa"/>
              <w:right w:w="16" w:type="dxa"/>
            </w:tcMar>
            <w:vAlign w:val="center"/>
          </w:tcPr>
          <w:p w14:paraId="11EA987D" w14:textId="77777777" w:rsidR="00040878" w:rsidRPr="00E53765" w:rsidRDefault="00040878" w:rsidP="00E56CF1">
            <w:pPr>
              <w:jc w:val="center"/>
              <w:rPr>
                <w:rFonts w:ascii="Arial Narrow" w:hAnsi="Arial Narrow"/>
                <w:bCs/>
                <w:color w:val="000000" w:themeColor="text1"/>
                <w:sz w:val="18"/>
                <w:szCs w:val="18"/>
              </w:rPr>
            </w:pPr>
            <w:r w:rsidRPr="00E53765">
              <w:rPr>
                <w:rFonts w:ascii="Arial Narrow" w:hAnsi="Arial Narrow"/>
                <w:bCs/>
                <w:color w:val="000000" w:themeColor="text1"/>
                <w:sz w:val="18"/>
                <w:szCs w:val="18"/>
              </w:rPr>
              <w:t>49%</w:t>
            </w:r>
          </w:p>
        </w:tc>
        <w:tc>
          <w:tcPr>
            <w:tcW w:w="851" w:type="dxa"/>
            <w:vAlign w:val="center"/>
          </w:tcPr>
          <w:p w14:paraId="11EA987E" w14:textId="77777777" w:rsidR="00040878" w:rsidRPr="00E53765" w:rsidRDefault="00040878" w:rsidP="00E56CF1">
            <w:pPr>
              <w:jc w:val="center"/>
              <w:rPr>
                <w:rFonts w:ascii="Arial Narrow" w:hAnsi="Arial Narrow"/>
                <w:bCs/>
                <w:color w:val="000000" w:themeColor="text1"/>
                <w:sz w:val="18"/>
                <w:szCs w:val="18"/>
              </w:rPr>
            </w:pPr>
            <w:r w:rsidRPr="00E53765">
              <w:rPr>
                <w:rFonts w:ascii="Arial Narrow" w:hAnsi="Arial Narrow"/>
                <w:bCs/>
                <w:color w:val="000000" w:themeColor="text1"/>
                <w:sz w:val="18"/>
                <w:szCs w:val="18"/>
              </w:rPr>
              <w:t>21%</w:t>
            </w:r>
          </w:p>
        </w:tc>
        <w:tc>
          <w:tcPr>
            <w:tcW w:w="843" w:type="dxa"/>
            <w:tcMar>
              <w:top w:w="16" w:type="dxa"/>
              <w:left w:w="16" w:type="dxa"/>
              <w:bottom w:w="0" w:type="dxa"/>
              <w:right w:w="16" w:type="dxa"/>
            </w:tcMar>
            <w:vAlign w:val="center"/>
          </w:tcPr>
          <w:p w14:paraId="11EA987F"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80" w14:textId="77777777" w:rsidR="00040878" w:rsidRPr="00E53765" w:rsidRDefault="00040878" w:rsidP="00040878">
            <w:pPr>
              <w:spacing w:after="0"/>
              <w:jc w:val="left"/>
              <w:rPr>
                <w:rFonts w:ascii="Arial Narrow" w:hAnsi="Arial Narrow"/>
                <w:bCs/>
                <w:color w:val="000000" w:themeColor="text1"/>
                <w:sz w:val="18"/>
                <w:szCs w:val="18"/>
              </w:rPr>
            </w:pPr>
            <w:r w:rsidRPr="00E53765">
              <w:rPr>
                <w:rFonts w:ascii="Arial Narrow" w:hAnsi="Arial Narrow"/>
                <w:bCs/>
                <w:color w:val="000000" w:themeColor="text1"/>
                <w:sz w:val="18"/>
                <w:szCs w:val="18"/>
              </w:rPr>
              <w:t>Cyclone Tessie 2000 (54%), 2001 Crown-of-thorns (44%) Cyclone Yasi 2011 (68%)</w:t>
            </w:r>
          </w:p>
        </w:tc>
      </w:tr>
      <w:tr w:rsidR="00F439FB" w:rsidRPr="00F439FB" w14:paraId="11EA9889" w14:textId="77777777" w:rsidTr="00040878">
        <w:trPr>
          <w:cantSplit/>
          <w:trHeight w:val="248"/>
        </w:trPr>
        <w:tc>
          <w:tcPr>
            <w:tcW w:w="394" w:type="dxa"/>
            <w:vMerge/>
            <w:vAlign w:val="center"/>
          </w:tcPr>
          <w:p w14:paraId="11EA9882" w14:textId="77777777" w:rsidR="00040878" w:rsidRPr="00E53765" w:rsidRDefault="00040878" w:rsidP="00E56CF1">
            <w:pPr>
              <w:rPr>
                <w:rFonts w:ascii="Arial Narrow" w:eastAsia="Arial Unicode MS" w:hAnsi="Arial Narrow"/>
                <w:bCs/>
                <w:color w:val="000000" w:themeColor="text1"/>
                <w:sz w:val="20"/>
              </w:rPr>
            </w:pPr>
          </w:p>
        </w:tc>
        <w:tc>
          <w:tcPr>
            <w:tcW w:w="599" w:type="dxa"/>
            <w:vMerge/>
            <w:vAlign w:val="center"/>
          </w:tcPr>
          <w:p w14:paraId="11EA9883" w14:textId="77777777" w:rsidR="00040878" w:rsidRPr="00E53765"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884" w14:textId="77777777" w:rsidR="00040878" w:rsidRPr="00E53765" w:rsidRDefault="00040878" w:rsidP="00E56CF1">
            <w:pPr>
              <w:ind w:left="200"/>
              <w:rPr>
                <w:rFonts w:ascii="Arial Narrow" w:hAnsi="Arial Narrow"/>
                <w:bCs/>
                <w:color w:val="000000" w:themeColor="text1"/>
                <w:sz w:val="20"/>
              </w:rPr>
            </w:pPr>
            <w:r w:rsidRPr="00E53765">
              <w:rPr>
                <w:rFonts w:ascii="Arial Narrow" w:hAnsi="Arial Narrow"/>
                <w:bCs/>
                <w:color w:val="000000" w:themeColor="text1"/>
                <w:sz w:val="20"/>
              </w:rPr>
              <w:t>Middle Reef LTMP</w:t>
            </w:r>
          </w:p>
        </w:tc>
        <w:tc>
          <w:tcPr>
            <w:tcW w:w="999" w:type="dxa"/>
            <w:tcMar>
              <w:top w:w="16" w:type="dxa"/>
              <w:left w:w="16" w:type="dxa"/>
              <w:bottom w:w="0" w:type="dxa"/>
              <w:right w:w="16" w:type="dxa"/>
            </w:tcMar>
            <w:vAlign w:val="center"/>
          </w:tcPr>
          <w:p w14:paraId="11EA9885" w14:textId="77777777" w:rsidR="00040878" w:rsidRPr="00E53765" w:rsidRDefault="00040878" w:rsidP="00E56CF1">
            <w:pPr>
              <w:jc w:val="center"/>
              <w:rPr>
                <w:rFonts w:ascii="Arial Narrow" w:hAnsi="Arial Narrow"/>
                <w:bCs/>
                <w:color w:val="000000" w:themeColor="text1"/>
                <w:sz w:val="18"/>
                <w:szCs w:val="18"/>
              </w:rPr>
            </w:pPr>
            <w:r w:rsidRPr="00E53765">
              <w:rPr>
                <w:rFonts w:ascii="Arial Narrow" w:hAnsi="Arial Narrow"/>
                <w:bCs/>
                <w:color w:val="000000" w:themeColor="text1"/>
                <w:sz w:val="18"/>
                <w:szCs w:val="18"/>
              </w:rPr>
              <w:t>(7%)</w:t>
            </w:r>
          </w:p>
        </w:tc>
        <w:tc>
          <w:tcPr>
            <w:tcW w:w="851" w:type="dxa"/>
            <w:vAlign w:val="center"/>
          </w:tcPr>
          <w:p w14:paraId="11EA9886" w14:textId="77777777" w:rsidR="00040878" w:rsidRPr="00E53765" w:rsidRDefault="00040878" w:rsidP="00E56CF1">
            <w:pPr>
              <w:jc w:val="center"/>
              <w:rPr>
                <w:rFonts w:ascii="Arial Narrow" w:hAnsi="Arial Narrow"/>
                <w:bCs/>
                <w:color w:val="000000" w:themeColor="text1"/>
                <w:sz w:val="18"/>
                <w:szCs w:val="18"/>
              </w:rPr>
            </w:pPr>
            <w:r w:rsidRPr="00E53765">
              <w:rPr>
                <w:rFonts w:ascii="Arial Narrow" w:hAnsi="Arial Narrow"/>
                <w:bCs/>
                <w:color w:val="000000" w:themeColor="text1"/>
                <w:sz w:val="18"/>
                <w:szCs w:val="18"/>
              </w:rPr>
              <w:t>(12%)</w:t>
            </w:r>
          </w:p>
        </w:tc>
        <w:tc>
          <w:tcPr>
            <w:tcW w:w="843" w:type="dxa"/>
            <w:tcMar>
              <w:top w:w="16" w:type="dxa"/>
              <w:left w:w="16" w:type="dxa"/>
              <w:bottom w:w="0" w:type="dxa"/>
              <w:right w:w="16" w:type="dxa"/>
            </w:tcMar>
            <w:vAlign w:val="center"/>
          </w:tcPr>
          <w:p w14:paraId="11EA9887"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88" w14:textId="77777777" w:rsidR="00040878" w:rsidRPr="00E53765" w:rsidRDefault="00040878" w:rsidP="00040878">
            <w:pPr>
              <w:spacing w:after="0"/>
              <w:jc w:val="left"/>
              <w:rPr>
                <w:rFonts w:ascii="Arial Narrow" w:hAnsi="Arial Narrow"/>
                <w:bCs/>
                <w:color w:val="000000" w:themeColor="text1"/>
                <w:sz w:val="18"/>
                <w:szCs w:val="18"/>
              </w:rPr>
            </w:pPr>
            <w:r w:rsidRPr="00E53765">
              <w:rPr>
                <w:rFonts w:ascii="Arial Narrow" w:hAnsi="Arial Narrow"/>
                <w:bCs/>
                <w:color w:val="000000" w:themeColor="text1"/>
                <w:sz w:val="18"/>
                <w:szCs w:val="18"/>
              </w:rPr>
              <w:t>Flood/freshwater bleaching 2009 (20%)</w:t>
            </w:r>
          </w:p>
        </w:tc>
      </w:tr>
      <w:tr w:rsidR="00F439FB" w:rsidRPr="00F439FB" w14:paraId="11EA9891" w14:textId="77777777" w:rsidTr="00040878">
        <w:trPr>
          <w:cantSplit/>
          <w:trHeight w:val="409"/>
        </w:trPr>
        <w:tc>
          <w:tcPr>
            <w:tcW w:w="394" w:type="dxa"/>
            <w:vMerge/>
            <w:vAlign w:val="center"/>
          </w:tcPr>
          <w:p w14:paraId="11EA988A" w14:textId="77777777" w:rsidR="00040878" w:rsidRPr="00E53765" w:rsidRDefault="00040878" w:rsidP="00E56CF1">
            <w:pPr>
              <w:rPr>
                <w:rFonts w:ascii="Arial Narrow" w:eastAsia="Arial Unicode MS" w:hAnsi="Arial Narrow"/>
                <w:bCs/>
                <w:color w:val="000000" w:themeColor="text1"/>
                <w:sz w:val="20"/>
              </w:rPr>
            </w:pPr>
          </w:p>
        </w:tc>
        <w:tc>
          <w:tcPr>
            <w:tcW w:w="599" w:type="dxa"/>
            <w:vMerge/>
            <w:vAlign w:val="center"/>
          </w:tcPr>
          <w:p w14:paraId="11EA988B" w14:textId="77777777" w:rsidR="00040878" w:rsidRPr="00E53765"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88C" w14:textId="77777777" w:rsidR="00040878" w:rsidRPr="00E53765" w:rsidRDefault="00040878" w:rsidP="00E56CF1">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Magnetic</w:t>
            </w:r>
          </w:p>
        </w:tc>
        <w:tc>
          <w:tcPr>
            <w:tcW w:w="999" w:type="dxa"/>
            <w:tcMar>
              <w:top w:w="16" w:type="dxa"/>
              <w:left w:w="16" w:type="dxa"/>
              <w:bottom w:w="0" w:type="dxa"/>
              <w:right w:w="16" w:type="dxa"/>
            </w:tcMar>
            <w:vAlign w:val="center"/>
          </w:tcPr>
          <w:p w14:paraId="11EA988D"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0.93 (24%)</w:t>
            </w:r>
          </w:p>
        </w:tc>
        <w:tc>
          <w:tcPr>
            <w:tcW w:w="851" w:type="dxa"/>
            <w:vAlign w:val="center"/>
          </w:tcPr>
          <w:p w14:paraId="11EA988E"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0.95 (37%)</w:t>
            </w:r>
          </w:p>
        </w:tc>
        <w:tc>
          <w:tcPr>
            <w:tcW w:w="843" w:type="dxa"/>
            <w:tcMar>
              <w:top w:w="16" w:type="dxa"/>
              <w:left w:w="16" w:type="dxa"/>
              <w:bottom w:w="0" w:type="dxa"/>
              <w:right w:w="16" w:type="dxa"/>
            </w:tcMar>
            <w:vAlign w:val="center"/>
          </w:tcPr>
          <w:p w14:paraId="11EA988F"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90" w14:textId="33F9D69E" w:rsidR="00040878" w:rsidRPr="00E53765" w:rsidRDefault="00040878" w:rsidP="00040878">
            <w:pPr>
              <w:spacing w:after="0"/>
              <w:jc w:val="left"/>
              <w:rPr>
                <w:rFonts w:ascii="Arial Narrow" w:hAnsi="Arial Narrow"/>
                <w:bCs/>
                <w:color w:val="000000" w:themeColor="text1"/>
                <w:sz w:val="18"/>
                <w:szCs w:val="18"/>
              </w:rPr>
            </w:pPr>
            <w:r w:rsidRPr="00E53765">
              <w:rPr>
                <w:rFonts w:ascii="Arial Narrow" w:hAnsi="Arial Narrow"/>
                <w:bCs/>
                <w:color w:val="000000" w:themeColor="text1"/>
                <w:sz w:val="18"/>
                <w:szCs w:val="18"/>
              </w:rPr>
              <w:t xml:space="preserve">Cyclone Joy 1990 (13%), Bleaching 1993 (10%), Cyclone Tessie 2000 (18%), Cyclone Larry 2006 (39% at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 xml:space="preserve">, 6% at </w:t>
            </w:r>
            <w:r w:rsidR="00AA72A3">
              <w:rPr>
                <w:rFonts w:ascii="Arial Narrow" w:hAnsi="Arial Narrow"/>
                <w:bCs/>
                <w:color w:val="000000" w:themeColor="text1"/>
                <w:sz w:val="18"/>
                <w:szCs w:val="18"/>
              </w:rPr>
              <w:t>5 m</w:t>
            </w:r>
            <w:r w:rsidRPr="00E53765">
              <w:rPr>
                <w:rFonts w:ascii="Arial Narrow" w:hAnsi="Arial Narrow"/>
                <w:bCs/>
                <w:color w:val="000000" w:themeColor="text1"/>
                <w:sz w:val="18"/>
                <w:szCs w:val="18"/>
              </w:rPr>
              <w:t xml:space="preserve">), Cyclone Yasi and Flood/Bleaching 2011 (38% at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 xml:space="preserve">, 19% at </w:t>
            </w:r>
            <w:r w:rsidR="00AA72A3">
              <w:rPr>
                <w:rFonts w:ascii="Arial Narrow" w:hAnsi="Arial Narrow"/>
                <w:bCs/>
                <w:color w:val="000000" w:themeColor="text1"/>
                <w:sz w:val="18"/>
                <w:szCs w:val="18"/>
              </w:rPr>
              <w:t>5 m</w:t>
            </w:r>
            <w:r w:rsidRPr="00E53765">
              <w:rPr>
                <w:rFonts w:ascii="Arial Narrow" w:hAnsi="Arial Narrow"/>
                <w:bCs/>
                <w:color w:val="000000" w:themeColor="text1"/>
                <w:sz w:val="18"/>
                <w:szCs w:val="18"/>
              </w:rPr>
              <w:t>)</w:t>
            </w:r>
          </w:p>
        </w:tc>
      </w:tr>
      <w:tr w:rsidR="00F439FB" w:rsidRPr="00F439FB" w14:paraId="11EA9899" w14:textId="77777777" w:rsidTr="00040878">
        <w:trPr>
          <w:cantSplit/>
          <w:trHeight w:val="264"/>
        </w:trPr>
        <w:tc>
          <w:tcPr>
            <w:tcW w:w="394" w:type="dxa"/>
            <w:vMerge w:val="restart"/>
            <w:tcMar>
              <w:top w:w="16" w:type="dxa"/>
              <w:left w:w="16" w:type="dxa"/>
              <w:bottom w:w="0" w:type="dxa"/>
              <w:right w:w="16" w:type="dxa"/>
            </w:tcMar>
            <w:textDirection w:val="btLr"/>
            <w:vAlign w:val="center"/>
          </w:tcPr>
          <w:p w14:paraId="11EA9892" w14:textId="77777777" w:rsidR="00040878" w:rsidRPr="00E53765" w:rsidRDefault="00040878" w:rsidP="00E56CF1">
            <w:pPr>
              <w:jc w:val="center"/>
              <w:rPr>
                <w:rFonts w:ascii="Arial Narrow" w:eastAsia="Arial Unicode MS" w:hAnsi="Arial Narrow"/>
                <w:bCs/>
                <w:color w:val="000000" w:themeColor="text1"/>
                <w:sz w:val="20"/>
              </w:rPr>
            </w:pPr>
            <w:r w:rsidRPr="00E53765">
              <w:rPr>
                <w:rFonts w:ascii="Arial Narrow" w:hAnsi="Arial Narrow"/>
                <w:bCs/>
                <w:color w:val="000000" w:themeColor="text1"/>
                <w:sz w:val="20"/>
              </w:rPr>
              <w:t>Mackay Whitsunday</w:t>
            </w:r>
          </w:p>
        </w:tc>
        <w:tc>
          <w:tcPr>
            <w:tcW w:w="599" w:type="dxa"/>
            <w:vMerge w:val="restart"/>
            <w:tcMar>
              <w:top w:w="16" w:type="dxa"/>
              <w:left w:w="16" w:type="dxa"/>
              <w:bottom w:w="0" w:type="dxa"/>
              <w:right w:w="16" w:type="dxa"/>
            </w:tcMar>
            <w:textDirection w:val="btLr"/>
            <w:vAlign w:val="center"/>
          </w:tcPr>
          <w:p w14:paraId="11EA9893" w14:textId="77777777" w:rsidR="00040878" w:rsidRPr="00E53765" w:rsidRDefault="00040878" w:rsidP="00E56CF1">
            <w:pPr>
              <w:jc w:val="center"/>
              <w:rPr>
                <w:rFonts w:ascii="Arial Narrow" w:eastAsia="Arial Unicode MS" w:hAnsi="Arial Narrow"/>
                <w:bCs/>
                <w:color w:val="000000" w:themeColor="text1"/>
                <w:sz w:val="20"/>
              </w:rPr>
            </w:pPr>
            <w:r w:rsidRPr="00E53765">
              <w:rPr>
                <w:rFonts w:ascii="Arial Narrow" w:hAnsi="Arial Narrow"/>
                <w:bCs/>
                <w:color w:val="000000" w:themeColor="text1"/>
                <w:sz w:val="20"/>
              </w:rPr>
              <w:t>Proserpine</w:t>
            </w:r>
          </w:p>
        </w:tc>
        <w:tc>
          <w:tcPr>
            <w:tcW w:w="1984" w:type="dxa"/>
            <w:tcMar>
              <w:top w:w="16" w:type="dxa"/>
              <w:left w:w="16" w:type="dxa"/>
              <w:bottom w:w="0" w:type="dxa"/>
              <w:right w:w="16" w:type="dxa"/>
            </w:tcMar>
            <w:vAlign w:val="bottom"/>
          </w:tcPr>
          <w:p w14:paraId="11EA9894" w14:textId="77777777" w:rsidR="00040878" w:rsidRPr="00E53765" w:rsidRDefault="00040878" w:rsidP="00E56CF1">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Hook</w:t>
            </w:r>
          </w:p>
        </w:tc>
        <w:tc>
          <w:tcPr>
            <w:tcW w:w="999" w:type="dxa"/>
            <w:tcMar>
              <w:top w:w="16" w:type="dxa"/>
              <w:left w:w="16" w:type="dxa"/>
              <w:bottom w:w="0" w:type="dxa"/>
              <w:right w:w="16" w:type="dxa"/>
            </w:tcMar>
            <w:vAlign w:val="center"/>
          </w:tcPr>
          <w:p w14:paraId="11EA9895"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0.57</w:t>
            </w:r>
          </w:p>
        </w:tc>
        <w:tc>
          <w:tcPr>
            <w:tcW w:w="851" w:type="dxa"/>
            <w:vAlign w:val="center"/>
          </w:tcPr>
          <w:p w14:paraId="11EA9896"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1</w:t>
            </w:r>
          </w:p>
        </w:tc>
        <w:tc>
          <w:tcPr>
            <w:tcW w:w="843" w:type="dxa"/>
            <w:tcMar>
              <w:top w:w="16" w:type="dxa"/>
              <w:left w:w="16" w:type="dxa"/>
              <w:bottom w:w="0" w:type="dxa"/>
              <w:right w:w="16" w:type="dxa"/>
            </w:tcMar>
            <w:vAlign w:val="center"/>
          </w:tcPr>
          <w:p w14:paraId="11EA9897"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98" w14:textId="4C4A6C56" w:rsidR="00040878" w:rsidRPr="00E53765" w:rsidRDefault="00040878" w:rsidP="00040878">
            <w:pPr>
              <w:spacing w:after="0"/>
              <w:jc w:val="left"/>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 xml:space="preserve">Coral Bleaching Jan 2006, probable though not observed as we did not visit region at time of event. Same for other reefs in region, Cyclone Ului 2010 (31% at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 xml:space="preserve">,16% at </w:t>
            </w:r>
            <w:r w:rsidR="00AA72A3">
              <w:rPr>
                <w:rFonts w:ascii="Arial Narrow" w:hAnsi="Arial Narrow"/>
                <w:bCs/>
                <w:color w:val="000000" w:themeColor="text1"/>
                <w:sz w:val="18"/>
                <w:szCs w:val="18"/>
              </w:rPr>
              <w:t>5 m</w:t>
            </w:r>
            <w:r w:rsidRPr="00E53765">
              <w:rPr>
                <w:rFonts w:ascii="Arial Narrow" w:hAnsi="Arial Narrow"/>
                <w:bCs/>
                <w:color w:val="000000" w:themeColor="text1"/>
                <w:sz w:val="18"/>
                <w:szCs w:val="18"/>
              </w:rPr>
              <w:t>)</w:t>
            </w:r>
          </w:p>
        </w:tc>
      </w:tr>
      <w:tr w:rsidR="00F439FB" w:rsidRPr="00F439FB" w14:paraId="11EA98A1" w14:textId="77777777" w:rsidTr="00040878">
        <w:trPr>
          <w:cantSplit/>
          <w:trHeight w:val="361"/>
        </w:trPr>
        <w:tc>
          <w:tcPr>
            <w:tcW w:w="394" w:type="dxa"/>
            <w:vMerge/>
            <w:vAlign w:val="center"/>
          </w:tcPr>
          <w:p w14:paraId="11EA989A" w14:textId="77777777" w:rsidR="00040878" w:rsidRPr="00E53765" w:rsidRDefault="00040878" w:rsidP="00E56CF1">
            <w:pPr>
              <w:rPr>
                <w:rFonts w:ascii="Arial Narrow" w:eastAsia="Arial Unicode MS" w:hAnsi="Arial Narrow"/>
                <w:bCs/>
                <w:color w:val="000000" w:themeColor="text1"/>
                <w:sz w:val="20"/>
              </w:rPr>
            </w:pPr>
          </w:p>
        </w:tc>
        <w:tc>
          <w:tcPr>
            <w:tcW w:w="599" w:type="dxa"/>
            <w:vMerge/>
            <w:vAlign w:val="center"/>
          </w:tcPr>
          <w:p w14:paraId="11EA989B" w14:textId="77777777" w:rsidR="00040878" w:rsidRPr="00E53765"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89C" w14:textId="77777777" w:rsidR="00040878" w:rsidRPr="00E53765" w:rsidRDefault="00040878" w:rsidP="00E56CF1">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Dent</w:t>
            </w:r>
          </w:p>
        </w:tc>
        <w:tc>
          <w:tcPr>
            <w:tcW w:w="999" w:type="dxa"/>
            <w:tcMar>
              <w:top w:w="16" w:type="dxa"/>
              <w:left w:w="16" w:type="dxa"/>
              <w:bottom w:w="0" w:type="dxa"/>
              <w:right w:w="16" w:type="dxa"/>
            </w:tcMar>
            <w:vAlign w:val="center"/>
          </w:tcPr>
          <w:p w14:paraId="11EA989D"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0.57 (32%)</w:t>
            </w:r>
          </w:p>
        </w:tc>
        <w:tc>
          <w:tcPr>
            <w:tcW w:w="851" w:type="dxa"/>
            <w:vAlign w:val="center"/>
          </w:tcPr>
          <w:p w14:paraId="11EA989E"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0.95</w:t>
            </w:r>
          </w:p>
        </w:tc>
        <w:tc>
          <w:tcPr>
            <w:tcW w:w="843" w:type="dxa"/>
            <w:tcMar>
              <w:top w:w="16" w:type="dxa"/>
              <w:left w:w="16" w:type="dxa"/>
              <w:bottom w:w="0" w:type="dxa"/>
              <w:right w:w="16" w:type="dxa"/>
            </w:tcMar>
            <w:vAlign w:val="center"/>
          </w:tcPr>
          <w:p w14:paraId="11EA989F"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A0" w14:textId="75620F9B" w:rsidR="00040878" w:rsidRPr="00E53765" w:rsidRDefault="00040878" w:rsidP="00040878">
            <w:pPr>
              <w:spacing w:after="0"/>
              <w:jc w:val="left"/>
              <w:rPr>
                <w:rFonts w:ascii="Arial Narrow" w:eastAsia="Arial Unicode MS" w:hAnsi="Arial Narrow"/>
                <w:bCs/>
                <w:color w:val="000000" w:themeColor="text1"/>
                <w:sz w:val="18"/>
                <w:szCs w:val="18"/>
              </w:rPr>
            </w:pPr>
            <w:r w:rsidRPr="00E53765">
              <w:rPr>
                <w:rFonts w:ascii="Arial Narrow" w:eastAsia="Arial Unicode MS" w:hAnsi="Arial Narrow"/>
                <w:bCs/>
                <w:color w:val="000000" w:themeColor="text1"/>
                <w:sz w:val="18"/>
                <w:szCs w:val="18"/>
              </w:rPr>
              <w:t xml:space="preserve">Disease 2007(16% at </w:t>
            </w:r>
            <w:r w:rsidR="00AA72A3">
              <w:rPr>
                <w:rFonts w:ascii="Arial Narrow" w:eastAsia="Arial Unicode MS" w:hAnsi="Arial Narrow"/>
                <w:bCs/>
                <w:color w:val="000000" w:themeColor="text1"/>
                <w:sz w:val="18"/>
                <w:szCs w:val="18"/>
              </w:rPr>
              <w:t>2 m</w:t>
            </w:r>
            <w:r w:rsidRPr="00E53765">
              <w:rPr>
                <w:rFonts w:ascii="Arial Narrow" w:eastAsia="Arial Unicode MS" w:hAnsi="Arial Narrow"/>
                <w:bCs/>
                <w:color w:val="000000" w:themeColor="text1"/>
                <w:sz w:val="18"/>
                <w:szCs w:val="18"/>
              </w:rPr>
              <w:t xml:space="preserve"> and 17% </w:t>
            </w:r>
            <w:r w:rsidR="00AA72A3">
              <w:rPr>
                <w:rFonts w:ascii="Arial Narrow" w:eastAsia="Arial Unicode MS" w:hAnsi="Arial Narrow"/>
                <w:bCs/>
                <w:color w:val="000000" w:themeColor="text1"/>
                <w:sz w:val="18"/>
                <w:szCs w:val="18"/>
              </w:rPr>
              <w:t>5 m</w:t>
            </w:r>
            <w:r w:rsidRPr="00E53765">
              <w:rPr>
                <w:rFonts w:ascii="Arial Narrow" w:eastAsia="Arial Unicode MS" w:hAnsi="Arial Narrow"/>
                <w:bCs/>
                <w:color w:val="000000" w:themeColor="text1"/>
                <w:sz w:val="18"/>
                <w:szCs w:val="18"/>
              </w:rPr>
              <w:t xml:space="preserve">), Cyclone Ului 2010 most likely although reef not surveyed in that year (20% at </w:t>
            </w:r>
            <w:r w:rsidR="00AA72A3">
              <w:rPr>
                <w:rFonts w:ascii="Arial Narrow" w:eastAsia="Arial Unicode MS" w:hAnsi="Arial Narrow"/>
                <w:bCs/>
                <w:color w:val="000000" w:themeColor="text1"/>
                <w:sz w:val="18"/>
                <w:szCs w:val="18"/>
              </w:rPr>
              <w:t>2 m</w:t>
            </w:r>
            <w:r w:rsidRPr="00E53765">
              <w:rPr>
                <w:rFonts w:ascii="Arial Narrow" w:eastAsia="Arial Unicode MS" w:hAnsi="Arial Narrow"/>
                <w:bCs/>
                <w:color w:val="000000" w:themeColor="text1"/>
                <w:sz w:val="18"/>
                <w:szCs w:val="18"/>
              </w:rPr>
              <w:t xml:space="preserve">,26% at </w:t>
            </w:r>
            <w:r w:rsidR="00AA72A3">
              <w:rPr>
                <w:rFonts w:ascii="Arial Narrow" w:eastAsia="Arial Unicode MS" w:hAnsi="Arial Narrow"/>
                <w:bCs/>
                <w:color w:val="000000" w:themeColor="text1"/>
                <w:sz w:val="18"/>
                <w:szCs w:val="18"/>
              </w:rPr>
              <w:t>5 m</w:t>
            </w:r>
            <w:r w:rsidRPr="00E53765">
              <w:rPr>
                <w:rFonts w:ascii="Arial Narrow" w:eastAsia="Arial Unicode MS" w:hAnsi="Arial Narrow"/>
                <w:bCs/>
                <w:color w:val="000000" w:themeColor="text1"/>
                <w:sz w:val="18"/>
                <w:szCs w:val="18"/>
              </w:rPr>
              <w:t>)</w:t>
            </w:r>
          </w:p>
        </w:tc>
      </w:tr>
      <w:tr w:rsidR="00F439FB" w:rsidRPr="00F439FB" w14:paraId="11EA98A9" w14:textId="77777777" w:rsidTr="00040878">
        <w:trPr>
          <w:cantSplit/>
          <w:trHeight w:val="264"/>
        </w:trPr>
        <w:tc>
          <w:tcPr>
            <w:tcW w:w="394" w:type="dxa"/>
            <w:vMerge/>
            <w:vAlign w:val="center"/>
          </w:tcPr>
          <w:p w14:paraId="11EA98A2" w14:textId="77777777" w:rsidR="00040878" w:rsidRPr="00E53765" w:rsidRDefault="00040878" w:rsidP="00E56CF1">
            <w:pPr>
              <w:rPr>
                <w:rFonts w:ascii="Arial Narrow" w:eastAsia="Arial Unicode MS" w:hAnsi="Arial Narrow"/>
                <w:bCs/>
                <w:color w:val="000000" w:themeColor="text1"/>
                <w:sz w:val="20"/>
              </w:rPr>
            </w:pPr>
          </w:p>
        </w:tc>
        <w:tc>
          <w:tcPr>
            <w:tcW w:w="599" w:type="dxa"/>
            <w:vMerge/>
            <w:vAlign w:val="center"/>
          </w:tcPr>
          <w:p w14:paraId="11EA98A3" w14:textId="77777777" w:rsidR="00040878" w:rsidRPr="00E53765"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8A4" w14:textId="77777777" w:rsidR="00040878" w:rsidRPr="00E53765" w:rsidRDefault="00040878" w:rsidP="00E56CF1">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Seaforth</w:t>
            </w:r>
          </w:p>
        </w:tc>
        <w:tc>
          <w:tcPr>
            <w:tcW w:w="999" w:type="dxa"/>
            <w:tcMar>
              <w:top w:w="16" w:type="dxa"/>
              <w:left w:w="16" w:type="dxa"/>
              <w:bottom w:w="0" w:type="dxa"/>
              <w:right w:w="16" w:type="dxa"/>
            </w:tcMar>
            <w:vAlign w:val="center"/>
          </w:tcPr>
          <w:p w14:paraId="11EA98A5"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0.57</w:t>
            </w:r>
          </w:p>
        </w:tc>
        <w:tc>
          <w:tcPr>
            <w:tcW w:w="851" w:type="dxa"/>
            <w:vAlign w:val="center"/>
          </w:tcPr>
          <w:p w14:paraId="11EA98A6"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0.95</w:t>
            </w:r>
          </w:p>
        </w:tc>
        <w:tc>
          <w:tcPr>
            <w:tcW w:w="843" w:type="dxa"/>
            <w:tcMar>
              <w:top w:w="16" w:type="dxa"/>
              <w:left w:w="16" w:type="dxa"/>
              <w:bottom w:w="0" w:type="dxa"/>
              <w:right w:w="16" w:type="dxa"/>
            </w:tcMar>
            <w:vAlign w:val="center"/>
          </w:tcPr>
          <w:p w14:paraId="11EA98A7"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A8" w14:textId="1818CACA" w:rsidR="00040878" w:rsidRPr="00E53765" w:rsidRDefault="00040878" w:rsidP="00040878">
            <w:pPr>
              <w:spacing w:after="0"/>
              <w:jc w:val="left"/>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 xml:space="preserve">Flood 2009 (15% at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 xml:space="preserve">,, 21% at </w:t>
            </w:r>
            <w:r w:rsidR="00AA72A3">
              <w:rPr>
                <w:rFonts w:ascii="Arial Narrow" w:hAnsi="Arial Narrow"/>
                <w:bCs/>
                <w:color w:val="000000" w:themeColor="text1"/>
                <w:sz w:val="18"/>
                <w:szCs w:val="18"/>
              </w:rPr>
              <w:t>5 m</w:t>
            </w:r>
            <w:r w:rsidRPr="00E53765">
              <w:rPr>
                <w:rFonts w:ascii="Arial Narrow" w:hAnsi="Arial Narrow"/>
                <w:bCs/>
                <w:color w:val="000000" w:themeColor="text1"/>
                <w:sz w:val="18"/>
                <w:szCs w:val="18"/>
              </w:rPr>
              <w:t>)</w:t>
            </w:r>
          </w:p>
        </w:tc>
      </w:tr>
      <w:tr w:rsidR="00F439FB" w:rsidRPr="00F439FB" w14:paraId="11EA98B1" w14:textId="77777777" w:rsidTr="00040878">
        <w:trPr>
          <w:cantSplit/>
          <w:trHeight w:val="453"/>
        </w:trPr>
        <w:tc>
          <w:tcPr>
            <w:tcW w:w="394" w:type="dxa"/>
            <w:vMerge/>
            <w:vAlign w:val="center"/>
          </w:tcPr>
          <w:p w14:paraId="11EA98AA" w14:textId="77777777" w:rsidR="00040878" w:rsidRPr="00E53765" w:rsidRDefault="00040878" w:rsidP="00E56CF1">
            <w:pPr>
              <w:rPr>
                <w:rFonts w:ascii="Arial Narrow" w:eastAsia="Arial Unicode MS" w:hAnsi="Arial Narrow"/>
                <w:bCs/>
                <w:color w:val="000000" w:themeColor="text1"/>
                <w:sz w:val="20"/>
              </w:rPr>
            </w:pPr>
          </w:p>
        </w:tc>
        <w:tc>
          <w:tcPr>
            <w:tcW w:w="599" w:type="dxa"/>
            <w:vMerge/>
            <w:vAlign w:val="center"/>
          </w:tcPr>
          <w:p w14:paraId="11EA98AB" w14:textId="77777777" w:rsidR="00040878" w:rsidRPr="00E53765"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8AC" w14:textId="77777777" w:rsidR="00040878" w:rsidRPr="00E53765" w:rsidRDefault="00040878" w:rsidP="00E56CF1">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Double Cone</w:t>
            </w:r>
          </w:p>
        </w:tc>
        <w:tc>
          <w:tcPr>
            <w:tcW w:w="999" w:type="dxa"/>
            <w:tcMar>
              <w:top w:w="16" w:type="dxa"/>
              <w:left w:w="16" w:type="dxa"/>
              <w:bottom w:w="0" w:type="dxa"/>
              <w:right w:w="16" w:type="dxa"/>
            </w:tcMar>
            <w:vAlign w:val="center"/>
          </w:tcPr>
          <w:p w14:paraId="11EA98AD"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0.57</w:t>
            </w:r>
          </w:p>
        </w:tc>
        <w:tc>
          <w:tcPr>
            <w:tcW w:w="851" w:type="dxa"/>
            <w:vAlign w:val="center"/>
          </w:tcPr>
          <w:p w14:paraId="11EA98AE"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1</w:t>
            </w:r>
          </w:p>
        </w:tc>
        <w:tc>
          <w:tcPr>
            <w:tcW w:w="843" w:type="dxa"/>
            <w:tcMar>
              <w:top w:w="16" w:type="dxa"/>
              <w:left w:w="16" w:type="dxa"/>
              <w:bottom w:w="0" w:type="dxa"/>
              <w:right w:w="16" w:type="dxa"/>
            </w:tcMar>
            <w:vAlign w:val="center"/>
          </w:tcPr>
          <w:p w14:paraId="11EA98AF"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B0" w14:textId="4883237B" w:rsidR="00040878" w:rsidRPr="00E53765" w:rsidRDefault="00040878" w:rsidP="00040878">
            <w:pPr>
              <w:spacing w:after="0"/>
              <w:jc w:val="left"/>
              <w:rPr>
                <w:rFonts w:ascii="Arial Narrow" w:eastAsia="Arial Unicode MS" w:hAnsi="Arial Narrow"/>
                <w:bCs/>
                <w:color w:val="000000" w:themeColor="text1"/>
                <w:sz w:val="18"/>
                <w:szCs w:val="18"/>
                <w:lang w:val="da-DK"/>
              </w:rPr>
            </w:pPr>
            <w:r w:rsidRPr="00E53765">
              <w:rPr>
                <w:rFonts w:ascii="Arial Narrow" w:hAnsi="Arial Narrow"/>
                <w:bCs/>
                <w:color w:val="000000" w:themeColor="text1"/>
                <w:sz w:val="18"/>
                <w:szCs w:val="18"/>
                <w:lang w:val="da-DK"/>
              </w:rPr>
              <w:t xml:space="preserve">Flood 2009( 12% at </w:t>
            </w:r>
            <w:r w:rsidR="00AA72A3">
              <w:rPr>
                <w:rFonts w:ascii="Arial Narrow" w:hAnsi="Arial Narrow"/>
                <w:bCs/>
                <w:color w:val="000000" w:themeColor="text1"/>
                <w:sz w:val="18"/>
                <w:szCs w:val="18"/>
                <w:lang w:val="da-DK"/>
              </w:rPr>
              <w:t>2 m</w:t>
            </w:r>
            <w:r w:rsidRPr="00E53765">
              <w:rPr>
                <w:rFonts w:ascii="Arial Narrow" w:hAnsi="Arial Narrow"/>
                <w:bCs/>
                <w:color w:val="000000" w:themeColor="text1"/>
                <w:sz w:val="18"/>
                <w:szCs w:val="18"/>
                <w:lang w:val="da-DK"/>
              </w:rPr>
              <w:t xml:space="preserve">), Cyclone Ului 2010 (26% at </w:t>
            </w:r>
            <w:r w:rsidR="00AA72A3">
              <w:rPr>
                <w:rFonts w:ascii="Arial Narrow" w:hAnsi="Arial Narrow"/>
                <w:bCs/>
                <w:color w:val="000000" w:themeColor="text1"/>
                <w:sz w:val="18"/>
                <w:szCs w:val="18"/>
                <w:lang w:val="da-DK"/>
              </w:rPr>
              <w:t>2 m</w:t>
            </w:r>
            <w:r w:rsidRPr="00E53765">
              <w:rPr>
                <w:rFonts w:ascii="Arial Narrow" w:hAnsi="Arial Narrow"/>
                <w:bCs/>
                <w:color w:val="000000" w:themeColor="text1"/>
                <w:sz w:val="18"/>
                <w:szCs w:val="18"/>
                <w:lang w:val="da-DK"/>
              </w:rPr>
              <w:t xml:space="preserve">, 11% at </w:t>
            </w:r>
            <w:r w:rsidR="00AA72A3">
              <w:rPr>
                <w:rFonts w:ascii="Arial Narrow" w:hAnsi="Arial Narrow"/>
                <w:bCs/>
                <w:color w:val="000000" w:themeColor="text1"/>
                <w:sz w:val="18"/>
                <w:szCs w:val="18"/>
                <w:lang w:val="da-DK"/>
              </w:rPr>
              <w:t>5 m</w:t>
            </w:r>
            <w:r w:rsidRPr="00E53765">
              <w:rPr>
                <w:rFonts w:ascii="Arial Narrow" w:hAnsi="Arial Narrow"/>
                <w:bCs/>
                <w:color w:val="000000" w:themeColor="text1"/>
                <w:sz w:val="18"/>
                <w:szCs w:val="18"/>
                <w:lang w:val="da-DK"/>
              </w:rPr>
              <w:t>)</w:t>
            </w:r>
          </w:p>
        </w:tc>
      </w:tr>
      <w:tr w:rsidR="00F439FB" w:rsidRPr="00F439FB" w14:paraId="11EA98B9" w14:textId="77777777" w:rsidTr="00040878">
        <w:trPr>
          <w:cantSplit/>
          <w:trHeight w:val="443"/>
        </w:trPr>
        <w:tc>
          <w:tcPr>
            <w:tcW w:w="394" w:type="dxa"/>
            <w:vMerge/>
            <w:vAlign w:val="center"/>
          </w:tcPr>
          <w:p w14:paraId="11EA98B2" w14:textId="77777777" w:rsidR="00040878" w:rsidRPr="00E53765" w:rsidRDefault="00040878" w:rsidP="00E56CF1">
            <w:pPr>
              <w:rPr>
                <w:rFonts w:ascii="Arial Narrow" w:eastAsia="Arial Unicode MS" w:hAnsi="Arial Narrow"/>
                <w:bCs/>
                <w:color w:val="000000" w:themeColor="text1"/>
                <w:sz w:val="20"/>
                <w:lang w:val="da-DK"/>
              </w:rPr>
            </w:pPr>
          </w:p>
        </w:tc>
        <w:tc>
          <w:tcPr>
            <w:tcW w:w="599" w:type="dxa"/>
            <w:vMerge/>
            <w:vAlign w:val="center"/>
          </w:tcPr>
          <w:p w14:paraId="11EA98B3" w14:textId="77777777" w:rsidR="00040878" w:rsidRPr="00E53765" w:rsidRDefault="00040878" w:rsidP="00E56CF1">
            <w:pPr>
              <w:rPr>
                <w:rFonts w:ascii="Arial Narrow" w:eastAsia="Arial Unicode MS" w:hAnsi="Arial Narrow"/>
                <w:bCs/>
                <w:color w:val="000000" w:themeColor="text1"/>
                <w:sz w:val="20"/>
                <w:lang w:val="da-DK"/>
              </w:rPr>
            </w:pPr>
          </w:p>
        </w:tc>
        <w:tc>
          <w:tcPr>
            <w:tcW w:w="1984" w:type="dxa"/>
            <w:tcMar>
              <w:top w:w="16" w:type="dxa"/>
              <w:left w:w="16" w:type="dxa"/>
              <w:bottom w:w="0" w:type="dxa"/>
              <w:right w:w="16" w:type="dxa"/>
            </w:tcMar>
            <w:vAlign w:val="bottom"/>
          </w:tcPr>
          <w:p w14:paraId="11EA98B4" w14:textId="77777777" w:rsidR="00040878" w:rsidRPr="00E53765" w:rsidRDefault="00040878" w:rsidP="00E56CF1">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Daydream</w:t>
            </w:r>
          </w:p>
        </w:tc>
        <w:tc>
          <w:tcPr>
            <w:tcW w:w="999" w:type="dxa"/>
            <w:tcMar>
              <w:top w:w="16" w:type="dxa"/>
              <w:left w:w="16" w:type="dxa"/>
              <w:bottom w:w="0" w:type="dxa"/>
              <w:right w:w="16" w:type="dxa"/>
            </w:tcMar>
            <w:vAlign w:val="center"/>
          </w:tcPr>
          <w:p w14:paraId="11EA98B5"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0.31 (44%)</w:t>
            </w:r>
          </w:p>
        </w:tc>
        <w:tc>
          <w:tcPr>
            <w:tcW w:w="851" w:type="dxa"/>
            <w:vAlign w:val="center"/>
          </w:tcPr>
          <w:p w14:paraId="11EA98B6"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1</w:t>
            </w:r>
          </w:p>
        </w:tc>
        <w:tc>
          <w:tcPr>
            <w:tcW w:w="843" w:type="dxa"/>
            <w:tcMar>
              <w:top w:w="16" w:type="dxa"/>
              <w:left w:w="16" w:type="dxa"/>
              <w:bottom w:w="0" w:type="dxa"/>
              <w:right w:w="16" w:type="dxa"/>
            </w:tcMar>
            <w:vAlign w:val="center"/>
          </w:tcPr>
          <w:p w14:paraId="11EA98B7"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B8" w14:textId="449BB189" w:rsidR="00040878" w:rsidRPr="00E53765" w:rsidRDefault="00040878" w:rsidP="00040878">
            <w:pPr>
              <w:spacing w:after="0"/>
              <w:jc w:val="left"/>
              <w:rPr>
                <w:rFonts w:ascii="Arial Narrow" w:eastAsia="Arial Unicode MS" w:hAnsi="Arial Narrow"/>
                <w:bCs/>
                <w:color w:val="000000" w:themeColor="text1"/>
                <w:sz w:val="18"/>
                <w:szCs w:val="18"/>
                <w:lang w:val="da-DK"/>
              </w:rPr>
            </w:pPr>
            <w:r w:rsidRPr="00E53765">
              <w:rPr>
                <w:rFonts w:ascii="Arial Narrow" w:hAnsi="Arial Narrow"/>
                <w:bCs/>
                <w:color w:val="000000" w:themeColor="text1"/>
                <w:sz w:val="18"/>
                <w:szCs w:val="18"/>
                <w:lang w:val="da-DK"/>
              </w:rPr>
              <w:t xml:space="preserve">Disease 2008 (25% at </w:t>
            </w:r>
            <w:r w:rsidR="00AA72A3">
              <w:rPr>
                <w:rFonts w:ascii="Arial Narrow" w:hAnsi="Arial Narrow"/>
                <w:bCs/>
                <w:color w:val="000000" w:themeColor="text1"/>
                <w:sz w:val="18"/>
                <w:szCs w:val="18"/>
                <w:lang w:val="da-DK"/>
              </w:rPr>
              <w:t>2 m</w:t>
            </w:r>
            <w:r w:rsidRPr="00E53765">
              <w:rPr>
                <w:rFonts w:ascii="Arial Narrow" w:hAnsi="Arial Narrow"/>
                <w:bCs/>
                <w:color w:val="000000" w:themeColor="text1"/>
                <w:sz w:val="18"/>
                <w:szCs w:val="18"/>
                <w:lang w:val="da-DK"/>
              </w:rPr>
              <w:t xml:space="preserve">, 20% at </w:t>
            </w:r>
            <w:r w:rsidR="00AA72A3">
              <w:rPr>
                <w:rFonts w:ascii="Arial Narrow" w:hAnsi="Arial Narrow"/>
                <w:bCs/>
                <w:color w:val="000000" w:themeColor="text1"/>
                <w:sz w:val="18"/>
                <w:szCs w:val="18"/>
                <w:lang w:val="da-DK"/>
              </w:rPr>
              <w:t>5 m</w:t>
            </w:r>
            <w:r w:rsidRPr="00E53765">
              <w:rPr>
                <w:rFonts w:ascii="Arial Narrow" w:hAnsi="Arial Narrow"/>
                <w:bCs/>
                <w:color w:val="000000" w:themeColor="text1"/>
                <w:sz w:val="18"/>
                <w:szCs w:val="18"/>
                <w:lang w:val="da-DK"/>
              </w:rPr>
              <w:t xml:space="preserve">), Cyclone Ului 2010 (46% at </w:t>
            </w:r>
            <w:r w:rsidR="00AA72A3">
              <w:rPr>
                <w:rFonts w:ascii="Arial Narrow" w:hAnsi="Arial Narrow"/>
                <w:bCs/>
                <w:color w:val="000000" w:themeColor="text1"/>
                <w:sz w:val="18"/>
                <w:szCs w:val="18"/>
                <w:lang w:val="da-DK"/>
              </w:rPr>
              <w:t>2 m</w:t>
            </w:r>
            <w:r w:rsidRPr="00E53765">
              <w:rPr>
                <w:rFonts w:ascii="Arial Narrow" w:hAnsi="Arial Narrow"/>
                <w:bCs/>
                <w:color w:val="000000" w:themeColor="text1"/>
                <w:sz w:val="18"/>
                <w:szCs w:val="18"/>
                <w:lang w:val="da-DK"/>
              </w:rPr>
              <w:t xml:space="preserve">, 46% at </w:t>
            </w:r>
            <w:r w:rsidR="00AA72A3">
              <w:rPr>
                <w:rFonts w:ascii="Arial Narrow" w:hAnsi="Arial Narrow"/>
                <w:bCs/>
                <w:color w:val="000000" w:themeColor="text1"/>
                <w:sz w:val="18"/>
                <w:szCs w:val="18"/>
                <w:lang w:val="da-DK"/>
              </w:rPr>
              <w:t>5 m</w:t>
            </w:r>
            <w:r w:rsidRPr="00E53765">
              <w:rPr>
                <w:rFonts w:ascii="Arial Narrow" w:hAnsi="Arial Narrow"/>
                <w:bCs/>
                <w:color w:val="000000" w:themeColor="text1"/>
                <w:sz w:val="18"/>
                <w:szCs w:val="18"/>
                <w:lang w:val="da-DK"/>
              </w:rPr>
              <w:t>)</w:t>
            </w:r>
          </w:p>
        </w:tc>
      </w:tr>
      <w:tr w:rsidR="00F439FB" w:rsidRPr="00F439FB" w14:paraId="11EA98C1" w14:textId="77777777" w:rsidTr="00040878">
        <w:trPr>
          <w:cantSplit/>
          <w:trHeight w:val="377"/>
        </w:trPr>
        <w:tc>
          <w:tcPr>
            <w:tcW w:w="394" w:type="dxa"/>
            <w:vMerge/>
            <w:vAlign w:val="center"/>
          </w:tcPr>
          <w:p w14:paraId="11EA98BA" w14:textId="77777777" w:rsidR="00040878" w:rsidRPr="00E53765" w:rsidRDefault="00040878" w:rsidP="00E56CF1">
            <w:pPr>
              <w:rPr>
                <w:rFonts w:ascii="Arial Narrow" w:eastAsia="Arial Unicode MS" w:hAnsi="Arial Narrow"/>
                <w:bCs/>
                <w:color w:val="000000" w:themeColor="text1"/>
                <w:sz w:val="20"/>
                <w:lang w:val="da-DK"/>
              </w:rPr>
            </w:pPr>
          </w:p>
        </w:tc>
        <w:tc>
          <w:tcPr>
            <w:tcW w:w="599" w:type="dxa"/>
            <w:vMerge/>
            <w:vAlign w:val="center"/>
          </w:tcPr>
          <w:p w14:paraId="11EA98BB" w14:textId="77777777" w:rsidR="00040878" w:rsidRPr="00E53765" w:rsidRDefault="00040878" w:rsidP="00E56CF1">
            <w:pPr>
              <w:rPr>
                <w:rFonts w:ascii="Arial Narrow" w:eastAsia="Arial Unicode MS" w:hAnsi="Arial Narrow"/>
                <w:bCs/>
                <w:color w:val="000000" w:themeColor="text1"/>
                <w:sz w:val="20"/>
                <w:lang w:val="da-DK"/>
              </w:rPr>
            </w:pPr>
          </w:p>
        </w:tc>
        <w:tc>
          <w:tcPr>
            <w:tcW w:w="1984" w:type="dxa"/>
            <w:tcMar>
              <w:top w:w="16" w:type="dxa"/>
              <w:left w:w="16" w:type="dxa"/>
              <w:bottom w:w="0" w:type="dxa"/>
              <w:right w:w="16" w:type="dxa"/>
            </w:tcMar>
            <w:vAlign w:val="bottom"/>
          </w:tcPr>
          <w:p w14:paraId="11EA98BC" w14:textId="77777777" w:rsidR="00040878" w:rsidRPr="00E53765" w:rsidRDefault="00040878" w:rsidP="00E56CF1">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Shute Harbour</w:t>
            </w:r>
          </w:p>
        </w:tc>
        <w:tc>
          <w:tcPr>
            <w:tcW w:w="999" w:type="dxa"/>
            <w:tcMar>
              <w:top w:w="16" w:type="dxa"/>
              <w:left w:w="16" w:type="dxa"/>
              <w:bottom w:w="0" w:type="dxa"/>
              <w:right w:w="16" w:type="dxa"/>
            </w:tcMar>
            <w:vAlign w:val="center"/>
          </w:tcPr>
          <w:p w14:paraId="11EA98BD"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0.57</w:t>
            </w:r>
          </w:p>
        </w:tc>
        <w:tc>
          <w:tcPr>
            <w:tcW w:w="851" w:type="dxa"/>
            <w:vAlign w:val="center"/>
          </w:tcPr>
          <w:p w14:paraId="11EA98BE"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1</w:t>
            </w:r>
          </w:p>
        </w:tc>
        <w:tc>
          <w:tcPr>
            <w:tcW w:w="843" w:type="dxa"/>
            <w:tcMar>
              <w:top w:w="16" w:type="dxa"/>
              <w:left w:w="16" w:type="dxa"/>
              <w:bottom w:w="0" w:type="dxa"/>
              <w:right w:w="16" w:type="dxa"/>
            </w:tcMar>
            <w:vAlign w:val="center"/>
          </w:tcPr>
          <w:p w14:paraId="11EA98BF"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C0" w14:textId="708BB7C1" w:rsidR="00040878" w:rsidRPr="00E53765" w:rsidRDefault="00040878" w:rsidP="00040878">
            <w:pPr>
              <w:spacing w:after="0"/>
              <w:jc w:val="left"/>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 xml:space="preserve">Cyclone Ului 2010 (7% at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w:t>
            </w:r>
          </w:p>
        </w:tc>
      </w:tr>
      <w:tr w:rsidR="00F439FB" w:rsidRPr="00F439FB" w14:paraId="11EA98C9" w14:textId="77777777" w:rsidTr="00040878">
        <w:trPr>
          <w:cantSplit/>
          <w:trHeight w:val="368"/>
        </w:trPr>
        <w:tc>
          <w:tcPr>
            <w:tcW w:w="394" w:type="dxa"/>
            <w:vMerge/>
            <w:vAlign w:val="center"/>
          </w:tcPr>
          <w:p w14:paraId="11EA98C2" w14:textId="77777777" w:rsidR="00040878" w:rsidRPr="00E53765" w:rsidRDefault="00040878" w:rsidP="00E56CF1">
            <w:pPr>
              <w:rPr>
                <w:rFonts w:ascii="Arial Narrow" w:eastAsia="Arial Unicode MS" w:hAnsi="Arial Narrow"/>
                <w:bCs/>
                <w:color w:val="000000" w:themeColor="text1"/>
                <w:sz w:val="20"/>
              </w:rPr>
            </w:pPr>
          </w:p>
        </w:tc>
        <w:tc>
          <w:tcPr>
            <w:tcW w:w="599" w:type="dxa"/>
            <w:vMerge/>
            <w:vAlign w:val="center"/>
          </w:tcPr>
          <w:p w14:paraId="11EA98C3" w14:textId="77777777" w:rsidR="00040878" w:rsidRPr="00E53765"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8C4" w14:textId="77777777" w:rsidR="00040878" w:rsidRPr="00E53765" w:rsidRDefault="00040878" w:rsidP="00E56CF1">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Pine</w:t>
            </w:r>
          </w:p>
        </w:tc>
        <w:tc>
          <w:tcPr>
            <w:tcW w:w="999" w:type="dxa"/>
            <w:tcMar>
              <w:top w:w="16" w:type="dxa"/>
              <w:left w:w="16" w:type="dxa"/>
              <w:bottom w:w="0" w:type="dxa"/>
              <w:right w:w="16" w:type="dxa"/>
            </w:tcMar>
            <w:vAlign w:val="center"/>
          </w:tcPr>
          <w:p w14:paraId="11EA98C5"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0.31</w:t>
            </w:r>
          </w:p>
        </w:tc>
        <w:tc>
          <w:tcPr>
            <w:tcW w:w="851" w:type="dxa"/>
            <w:vAlign w:val="center"/>
          </w:tcPr>
          <w:p w14:paraId="11EA98C6" w14:textId="77777777" w:rsidR="00040878" w:rsidRPr="00E53765" w:rsidRDefault="00040878" w:rsidP="00E56CF1">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1</w:t>
            </w:r>
          </w:p>
        </w:tc>
        <w:tc>
          <w:tcPr>
            <w:tcW w:w="843" w:type="dxa"/>
            <w:tcMar>
              <w:top w:w="16" w:type="dxa"/>
              <w:left w:w="16" w:type="dxa"/>
              <w:bottom w:w="0" w:type="dxa"/>
              <w:right w:w="16" w:type="dxa"/>
            </w:tcMar>
            <w:vAlign w:val="center"/>
          </w:tcPr>
          <w:p w14:paraId="11EA98C7"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C8" w14:textId="631CAC02" w:rsidR="00040878" w:rsidRPr="00E53765" w:rsidRDefault="00040878" w:rsidP="00040878">
            <w:pPr>
              <w:spacing w:after="0"/>
              <w:jc w:val="left"/>
              <w:rPr>
                <w:rFonts w:ascii="Arial Narrow" w:eastAsia="Arial Unicode MS" w:hAnsi="Arial Narrow"/>
                <w:bCs/>
                <w:color w:val="000000" w:themeColor="text1"/>
                <w:sz w:val="18"/>
                <w:szCs w:val="18"/>
                <w:lang w:val="da-DK"/>
              </w:rPr>
            </w:pPr>
            <w:r w:rsidRPr="00E53765">
              <w:rPr>
                <w:rFonts w:ascii="Arial Narrow" w:hAnsi="Arial Narrow"/>
                <w:bCs/>
                <w:color w:val="000000" w:themeColor="text1"/>
                <w:sz w:val="18"/>
                <w:szCs w:val="18"/>
                <w:lang w:val="da-DK"/>
              </w:rPr>
              <w:t xml:space="preserve">Flood 2009(13% at 2 and </w:t>
            </w:r>
            <w:r w:rsidR="00AA72A3">
              <w:rPr>
                <w:rFonts w:ascii="Arial Narrow" w:hAnsi="Arial Narrow"/>
                <w:bCs/>
                <w:color w:val="000000" w:themeColor="text1"/>
                <w:sz w:val="18"/>
                <w:szCs w:val="18"/>
                <w:lang w:val="da-DK"/>
              </w:rPr>
              <w:t>5 m</w:t>
            </w:r>
            <w:r w:rsidRPr="00E53765">
              <w:rPr>
                <w:rFonts w:ascii="Arial Narrow" w:hAnsi="Arial Narrow"/>
                <w:bCs/>
                <w:color w:val="000000" w:themeColor="text1"/>
                <w:sz w:val="18"/>
                <w:szCs w:val="18"/>
                <w:lang w:val="da-DK"/>
              </w:rPr>
              <w:t xml:space="preserve">), Cyclone Ului 2010 (12% at </w:t>
            </w:r>
            <w:r w:rsidR="00AA72A3">
              <w:rPr>
                <w:rFonts w:ascii="Arial Narrow" w:hAnsi="Arial Narrow"/>
                <w:bCs/>
                <w:color w:val="000000" w:themeColor="text1"/>
                <w:sz w:val="18"/>
                <w:szCs w:val="18"/>
                <w:lang w:val="da-DK"/>
              </w:rPr>
              <w:t>2 m</w:t>
            </w:r>
            <w:r w:rsidRPr="00E53765">
              <w:rPr>
                <w:rFonts w:ascii="Arial Narrow" w:hAnsi="Arial Narrow"/>
                <w:bCs/>
                <w:color w:val="000000" w:themeColor="text1"/>
                <w:sz w:val="18"/>
                <w:szCs w:val="18"/>
                <w:lang w:val="da-DK"/>
              </w:rPr>
              <w:t xml:space="preserve">, 9% at </w:t>
            </w:r>
            <w:r w:rsidR="00AA72A3">
              <w:rPr>
                <w:rFonts w:ascii="Arial Narrow" w:hAnsi="Arial Narrow"/>
                <w:bCs/>
                <w:color w:val="000000" w:themeColor="text1"/>
                <w:sz w:val="18"/>
                <w:szCs w:val="18"/>
                <w:lang w:val="da-DK"/>
              </w:rPr>
              <w:t>5 m</w:t>
            </w:r>
            <w:r w:rsidRPr="00E53765">
              <w:rPr>
                <w:rFonts w:ascii="Arial Narrow" w:hAnsi="Arial Narrow"/>
                <w:bCs/>
                <w:color w:val="000000" w:themeColor="text1"/>
                <w:sz w:val="18"/>
                <w:szCs w:val="18"/>
                <w:lang w:val="da-DK"/>
              </w:rPr>
              <w:t xml:space="preserve">), Disease 2011(14% at </w:t>
            </w:r>
            <w:r w:rsidR="00AA72A3">
              <w:rPr>
                <w:rFonts w:ascii="Arial Narrow" w:hAnsi="Arial Narrow"/>
                <w:bCs/>
                <w:color w:val="000000" w:themeColor="text1"/>
                <w:sz w:val="18"/>
                <w:szCs w:val="18"/>
                <w:lang w:val="da-DK"/>
              </w:rPr>
              <w:t>5 m</w:t>
            </w:r>
            <w:r w:rsidRPr="00E53765">
              <w:rPr>
                <w:rFonts w:ascii="Arial Narrow" w:hAnsi="Arial Narrow"/>
                <w:bCs/>
                <w:color w:val="000000" w:themeColor="text1"/>
                <w:sz w:val="18"/>
                <w:szCs w:val="18"/>
                <w:lang w:val="da-DK"/>
              </w:rPr>
              <w:t>)</w:t>
            </w:r>
          </w:p>
        </w:tc>
      </w:tr>
      <w:tr w:rsidR="00F439FB" w:rsidRPr="00F439FB" w14:paraId="11EA98D1" w14:textId="77777777" w:rsidTr="00040878">
        <w:trPr>
          <w:cantSplit/>
          <w:trHeight w:val="371"/>
        </w:trPr>
        <w:tc>
          <w:tcPr>
            <w:tcW w:w="394" w:type="dxa"/>
            <w:vMerge/>
            <w:vAlign w:val="center"/>
          </w:tcPr>
          <w:p w14:paraId="11EA98CA" w14:textId="77777777" w:rsidR="00040878" w:rsidRPr="00E53765" w:rsidRDefault="00040878" w:rsidP="00E56CF1">
            <w:pPr>
              <w:rPr>
                <w:rFonts w:ascii="Arial Narrow" w:eastAsia="Arial Unicode MS" w:hAnsi="Arial Narrow"/>
                <w:bCs/>
                <w:color w:val="000000" w:themeColor="text1"/>
                <w:sz w:val="20"/>
              </w:rPr>
            </w:pPr>
          </w:p>
        </w:tc>
        <w:tc>
          <w:tcPr>
            <w:tcW w:w="599" w:type="dxa"/>
            <w:vMerge/>
            <w:vAlign w:val="center"/>
          </w:tcPr>
          <w:p w14:paraId="11EA98CB" w14:textId="77777777" w:rsidR="00040878" w:rsidRPr="00E53765"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8CC" w14:textId="77777777" w:rsidR="00040878" w:rsidRPr="00E53765" w:rsidRDefault="00040878" w:rsidP="00E56CF1">
            <w:pPr>
              <w:ind w:left="200"/>
              <w:rPr>
                <w:rFonts w:ascii="Arial Narrow" w:hAnsi="Arial Narrow"/>
                <w:bCs/>
                <w:color w:val="000000" w:themeColor="text1"/>
                <w:sz w:val="20"/>
              </w:rPr>
            </w:pPr>
            <w:r w:rsidRPr="00E53765">
              <w:rPr>
                <w:rFonts w:ascii="Arial Narrow" w:hAnsi="Arial Narrow"/>
                <w:bCs/>
                <w:color w:val="000000" w:themeColor="text1"/>
                <w:sz w:val="20"/>
              </w:rPr>
              <w:t>Hayman</w:t>
            </w:r>
          </w:p>
        </w:tc>
        <w:tc>
          <w:tcPr>
            <w:tcW w:w="999" w:type="dxa"/>
            <w:tcMar>
              <w:top w:w="16" w:type="dxa"/>
              <w:left w:w="16" w:type="dxa"/>
              <w:bottom w:w="0" w:type="dxa"/>
              <w:right w:w="16" w:type="dxa"/>
            </w:tcMar>
            <w:vAlign w:val="center"/>
          </w:tcPr>
          <w:p w14:paraId="11EA98CD" w14:textId="77777777" w:rsidR="00040878" w:rsidRPr="00E53765" w:rsidRDefault="00040878" w:rsidP="00E56CF1">
            <w:pPr>
              <w:jc w:val="center"/>
              <w:rPr>
                <w:rFonts w:ascii="Arial Narrow" w:hAnsi="Arial Narrow"/>
                <w:bCs/>
                <w:color w:val="000000" w:themeColor="text1"/>
                <w:sz w:val="18"/>
                <w:szCs w:val="18"/>
              </w:rPr>
            </w:pPr>
          </w:p>
        </w:tc>
        <w:tc>
          <w:tcPr>
            <w:tcW w:w="851" w:type="dxa"/>
            <w:vAlign w:val="center"/>
          </w:tcPr>
          <w:p w14:paraId="11EA98CE" w14:textId="77777777" w:rsidR="00040878" w:rsidRPr="00E53765" w:rsidRDefault="00040878" w:rsidP="00E56CF1">
            <w:pPr>
              <w:jc w:val="center"/>
              <w:rPr>
                <w:rFonts w:ascii="Arial Narrow" w:hAnsi="Arial Narrow"/>
                <w:bCs/>
                <w:color w:val="000000" w:themeColor="text1"/>
                <w:sz w:val="18"/>
                <w:szCs w:val="18"/>
              </w:rPr>
            </w:pPr>
          </w:p>
        </w:tc>
        <w:tc>
          <w:tcPr>
            <w:tcW w:w="843" w:type="dxa"/>
            <w:tcMar>
              <w:top w:w="16" w:type="dxa"/>
              <w:left w:w="16" w:type="dxa"/>
              <w:bottom w:w="0" w:type="dxa"/>
              <w:right w:w="16" w:type="dxa"/>
            </w:tcMar>
            <w:vAlign w:val="center"/>
          </w:tcPr>
          <w:p w14:paraId="11EA98CF"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center"/>
          </w:tcPr>
          <w:p w14:paraId="11EA98D0" w14:textId="77777777" w:rsidR="00040878" w:rsidRPr="00E53765" w:rsidRDefault="00040878" w:rsidP="00040878">
            <w:pPr>
              <w:spacing w:after="0"/>
              <w:jc w:val="left"/>
              <w:rPr>
                <w:rFonts w:ascii="Arial Narrow" w:hAnsi="Arial Narrow"/>
                <w:bCs/>
                <w:color w:val="000000" w:themeColor="text1"/>
                <w:sz w:val="18"/>
                <w:szCs w:val="18"/>
                <w:lang w:val="da-DK"/>
              </w:rPr>
            </w:pPr>
            <w:r w:rsidRPr="00E53765">
              <w:rPr>
                <w:rFonts w:ascii="Arial Narrow" w:hAnsi="Arial Narrow"/>
                <w:bCs/>
                <w:color w:val="000000" w:themeColor="text1"/>
                <w:sz w:val="18"/>
                <w:szCs w:val="18"/>
                <w:lang w:val="da-DK"/>
              </w:rPr>
              <w:t>Cyclone Ului 2010 (36%)</w:t>
            </w:r>
          </w:p>
        </w:tc>
      </w:tr>
      <w:tr w:rsidR="00F439FB" w:rsidRPr="00F439FB" w14:paraId="11EA98D9" w14:textId="77777777" w:rsidTr="00040878">
        <w:trPr>
          <w:cantSplit/>
          <w:trHeight w:val="362"/>
        </w:trPr>
        <w:tc>
          <w:tcPr>
            <w:tcW w:w="394" w:type="dxa"/>
            <w:vMerge/>
            <w:vAlign w:val="center"/>
          </w:tcPr>
          <w:p w14:paraId="11EA98D2" w14:textId="77777777" w:rsidR="00040878" w:rsidRPr="00E53765" w:rsidRDefault="00040878" w:rsidP="00E56CF1">
            <w:pPr>
              <w:rPr>
                <w:rFonts w:ascii="Arial Narrow" w:eastAsia="Arial Unicode MS" w:hAnsi="Arial Narrow"/>
                <w:bCs/>
                <w:color w:val="000000" w:themeColor="text1"/>
                <w:sz w:val="20"/>
              </w:rPr>
            </w:pPr>
          </w:p>
        </w:tc>
        <w:tc>
          <w:tcPr>
            <w:tcW w:w="599" w:type="dxa"/>
            <w:vMerge/>
            <w:vAlign w:val="center"/>
          </w:tcPr>
          <w:p w14:paraId="11EA98D3" w14:textId="77777777" w:rsidR="00040878" w:rsidRPr="00E53765"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8D4" w14:textId="77777777" w:rsidR="00040878" w:rsidRPr="00E53765" w:rsidRDefault="00040878" w:rsidP="00E56CF1">
            <w:pPr>
              <w:ind w:left="200"/>
              <w:rPr>
                <w:rFonts w:ascii="Arial Narrow" w:hAnsi="Arial Narrow"/>
                <w:bCs/>
                <w:color w:val="000000" w:themeColor="text1"/>
                <w:sz w:val="20"/>
              </w:rPr>
            </w:pPr>
            <w:r w:rsidRPr="00E53765">
              <w:rPr>
                <w:rFonts w:ascii="Arial Narrow" w:hAnsi="Arial Narrow"/>
                <w:bCs/>
                <w:color w:val="000000" w:themeColor="text1"/>
                <w:sz w:val="20"/>
              </w:rPr>
              <w:t>Langford</w:t>
            </w:r>
          </w:p>
        </w:tc>
        <w:tc>
          <w:tcPr>
            <w:tcW w:w="999" w:type="dxa"/>
            <w:tcMar>
              <w:top w:w="16" w:type="dxa"/>
              <w:left w:w="16" w:type="dxa"/>
              <w:bottom w:w="0" w:type="dxa"/>
              <w:right w:w="16" w:type="dxa"/>
            </w:tcMar>
            <w:vAlign w:val="center"/>
          </w:tcPr>
          <w:p w14:paraId="11EA98D5" w14:textId="77777777" w:rsidR="00040878" w:rsidRPr="00E53765" w:rsidRDefault="00040878" w:rsidP="00E56CF1">
            <w:pPr>
              <w:jc w:val="center"/>
              <w:rPr>
                <w:rFonts w:ascii="Arial Narrow" w:hAnsi="Arial Narrow"/>
                <w:bCs/>
                <w:color w:val="000000" w:themeColor="text1"/>
                <w:sz w:val="20"/>
              </w:rPr>
            </w:pPr>
          </w:p>
        </w:tc>
        <w:tc>
          <w:tcPr>
            <w:tcW w:w="851" w:type="dxa"/>
            <w:vAlign w:val="center"/>
          </w:tcPr>
          <w:p w14:paraId="11EA98D6" w14:textId="77777777" w:rsidR="00040878" w:rsidRPr="00E53765" w:rsidRDefault="00040878" w:rsidP="00E56CF1">
            <w:pPr>
              <w:jc w:val="center"/>
              <w:rPr>
                <w:rFonts w:ascii="Arial Narrow" w:hAnsi="Arial Narrow"/>
                <w:bCs/>
                <w:color w:val="000000" w:themeColor="text1"/>
                <w:sz w:val="20"/>
              </w:rPr>
            </w:pPr>
          </w:p>
        </w:tc>
        <w:tc>
          <w:tcPr>
            <w:tcW w:w="843" w:type="dxa"/>
            <w:tcMar>
              <w:top w:w="16" w:type="dxa"/>
              <w:left w:w="16" w:type="dxa"/>
              <w:bottom w:w="0" w:type="dxa"/>
              <w:right w:w="16" w:type="dxa"/>
            </w:tcMar>
            <w:vAlign w:val="center"/>
          </w:tcPr>
          <w:p w14:paraId="11EA98D7" w14:textId="77777777" w:rsidR="00040878" w:rsidRPr="00E53765" w:rsidRDefault="00040878" w:rsidP="00E56CF1">
            <w:pPr>
              <w:jc w:val="center"/>
              <w:rPr>
                <w:rFonts w:ascii="Arial Narrow" w:eastAsia="Arial Unicode MS" w:hAnsi="Arial Narrow"/>
                <w:bCs/>
                <w:color w:val="000000" w:themeColor="text1"/>
                <w:sz w:val="20"/>
              </w:rPr>
            </w:pPr>
          </w:p>
        </w:tc>
        <w:tc>
          <w:tcPr>
            <w:tcW w:w="8222" w:type="dxa"/>
            <w:tcMar>
              <w:top w:w="16" w:type="dxa"/>
              <w:left w:w="16" w:type="dxa"/>
              <w:bottom w:w="0" w:type="dxa"/>
              <w:right w:w="16" w:type="dxa"/>
            </w:tcMar>
            <w:vAlign w:val="center"/>
          </w:tcPr>
          <w:p w14:paraId="11EA98D8" w14:textId="77777777" w:rsidR="00040878" w:rsidRPr="00E53765" w:rsidRDefault="00040878" w:rsidP="00040878">
            <w:pPr>
              <w:jc w:val="left"/>
              <w:rPr>
                <w:rFonts w:ascii="Arial Narrow" w:hAnsi="Arial Narrow"/>
                <w:bCs/>
                <w:color w:val="000000" w:themeColor="text1"/>
                <w:sz w:val="20"/>
                <w:lang w:val="da-DK"/>
              </w:rPr>
            </w:pPr>
          </w:p>
        </w:tc>
      </w:tr>
      <w:tr w:rsidR="00040878" w:rsidRPr="00F439FB" w14:paraId="11EA98E1" w14:textId="77777777" w:rsidTr="00040878">
        <w:trPr>
          <w:cantSplit/>
          <w:trHeight w:val="355"/>
        </w:trPr>
        <w:tc>
          <w:tcPr>
            <w:tcW w:w="394" w:type="dxa"/>
            <w:vMerge/>
            <w:vAlign w:val="center"/>
          </w:tcPr>
          <w:p w14:paraId="11EA98DA" w14:textId="77777777" w:rsidR="00040878" w:rsidRPr="00E53765" w:rsidRDefault="00040878" w:rsidP="00E56CF1">
            <w:pPr>
              <w:rPr>
                <w:rFonts w:ascii="Arial Narrow" w:eastAsia="Arial Unicode MS" w:hAnsi="Arial Narrow"/>
                <w:bCs/>
                <w:color w:val="000000" w:themeColor="text1"/>
                <w:sz w:val="20"/>
              </w:rPr>
            </w:pPr>
          </w:p>
        </w:tc>
        <w:tc>
          <w:tcPr>
            <w:tcW w:w="599" w:type="dxa"/>
            <w:vMerge/>
            <w:vAlign w:val="center"/>
          </w:tcPr>
          <w:p w14:paraId="11EA98DB" w14:textId="77777777" w:rsidR="00040878" w:rsidRPr="00E53765" w:rsidRDefault="00040878" w:rsidP="00E56CF1">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8DC" w14:textId="77777777" w:rsidR="00040878" w:rsidRPr="00E53765" w:rsidRDefault="00040878" w:rsidP="00E56CF1">
            <w:pPr>
              <w:ind w:left="200"/>
              <w:rPr>
                <w:rFonts w:ascii="Arial Narrow" w:hAnsi="Arial Narrow"/>
                <w:bCs/>
                <w:color w:val="000000" w:themeColor="text1"/>
                <w:sz w:val="20"/>
              </w:rPr>
            </w:pPr>
            <w:r w:rsidRPr="00E53765">
              <w:rPr>
                <w:rFonts w:ascii="Arial Narrow" w:hAnsi="Arial Narrow"/>
                <w:bCs/>
                <w:color w:val="000000" w:themeColor="text1"/>
                <w:sz w:val="20"/>
              </w:rPr>
              <w:t>Border</w:t>
            </w:r>
          </w:p>
        </w:tc>
        <w:tc>
          <w:tcPr>
            <w:tcW w:w="999" w:type="dxa"/>
            <w:tcMar>
              <w:top w:w="16" w:type="dxa"/>
              <w:left w:w="16" w:type="dxa"/>
              <w:bottom w:w="0" w:type="dxa"/>
              <w:right w:w="16" w:type="dxa"/>
            </w:tcMar>
            <w:vAlign w:val="center"/>
          </w:tcPr>
          <w:p w14:paraId="11EA98DD" w14:textId="77777777" w:rsidR="00040878" w:rsidRPr="00E53765" w:rsidRDefault="00040878" w:rsidP="00E56CF1">
            <w:pPr>
              <w:jc w:val="center"/>
              <w:rPr>
                <w:rFonts w:ascii="Arial Narrow" w:hAnsi="Arial Narrow"/>
                <w:bCs/>
                <w:color w:val="000000" w:themeColor="text1"/>
                <w:sz w:val="18"/>
                <w:szCs w:val="18"/>
              </w:rPr>
            </w:pPr>
          </w:p>
        </w:tc>
        <w:tc>
          <w:tcPr>
            <w:tcW w:w="851" w:type="dxa"/>
            <w:vAlign w:val="center"/>
          </w:tcPr>
          <w:p w14:paraId="11EA98DE" w14:textId="77777777" w:rsidR="00040878" w:rsidRPr="00E53765" w:rsidRDefault="00040878" w:rsidP="00E56CF1">
            <w:pPr>
              <w:jc w:val="center"/>
              <w:rPr>
                <w:rFonts w:ascii="Arial Narrow" w:hAnsi="Arial Narrow"/>
                <w:bCs/>
                <w:color w:val="000000" w:themeColor="text1"/>
                <w:sz w:val="18"/>
                <w:szCs w:val="18"/>
              </w:rPr>
            </w:pPr>
            <w:r w:rsidRPr="00E53765">
              <w:rPr>
                <w:rFonts w:ascii="Arial Narrow" w:hAnsi="Arial Narrow"/>
                <w:bCs/>
                <w:color w:val="000000" w:themeColor="text1"/>
                <w:sz w:val="18"/>
                <w:szCs w:val="18"/>
              </w:rPr>
              <w:t>(10%)</w:t>
            </w:r>
          </w:p>
        </w:tc>
        <w:tc>
          <w:tcPr>
            <w:tcW w:w="843" w:type="dxa"/>
            <w:tcMar>
              <w:top w:w="16" w:type="dxa"/>
              <w:left w:w="16" w:type="dxa"/>
              <w:bottom w:w="0" w:type="dxa"/>
              <w:right w:w="16" w:type="dxa"/>
            </w:tcMar>
            <w:vAlign w:val="center"/>
          </w:tcPr>
          <w:p w14:paraId="11EA98DF" w14:textId="77777777" w:rsidR="00040878" w:rsidRPr="00E53765" w:rsidRDefault="00040878" w:rsidP="00E56CF1">
            <w:pPr>
              <w:jc w:val="center"/>
              <w:rPr>
                <w:rFonts w:ascii="Arial Narrow" w:eastAsia="Arial Unicode MS" w:hAnsi="Arial Narrow"/>
                <w:bCs/>
                <w:color w:val="000000" w:themeColor="text1"/>
                <w:sz w:val="18"/>
                <w:szCs w:val="18"/>
              </w:rPr>
            </w:pPr>
          </w:p>
        </w:tc>
        <w:tc>
          <w:tcPr>
            <w:tcW w:w="8222" w:type="dxa"/>
            <w:tcMar>
              <w:top w:w="16" w:type="dxa"/>
              <w:left w:w="16" w:type="dxa"/>
              <w:bottom w:w="0" w:type="dxa"/>
              <w:right w:w="16" w:type="dxa"/>
            </w:tcMar>
            <w:vAlign w:val="bottom"/>
          </w:tcPr>
          <w:p w14:paraId="11EA98E0" w14:textId="77777777" w:rsidR="00040878" w:rsidRPr="00E53765" w:rsidRDefault="00040878" w:rsidP="00E56CF1">
            <w:pPr>
              <w:rPr>
                <w:rFonts w:ascii="Arial Narrow" w:hAnsi="Arial Narrow"/>
                <w:bCs/>
                <w:color w:val="000000" w:themeColor="text1"/>
                <w:sz w:val="18"/>
                <w:szCs w:val="18"/>
                <w:lang w:val="da-DK"/>
              </w:rPr>
            </w:pPr>
          </w:p>
        </w:tc>
      </w:tr>
    </w:tbl>
    <w:p w14:paraId="11EA98E2" w14:textId="6661CB63" w:rsidR="00040878" w:rsidRPr="00E53765" w:rsidRDefault="00040878">
      <w:pPr>
        <w:rPr>
          <w:rFonts w:ascii="Arial Narrow" w:hAnsi="Arial Narrow"/>
          <w:bCs/>
          <w:color w:val="000000" w:themeColor="text1"/>
          <w:sz w:val="20"/>
        </w:rPr>
      </w:pPr>
      <w:r w:rsidRPr="00E53765">
        <w:rPr>
          <w:rFonts w:ascii="Arial Narrow" w:hAnsi="Arial Narrow"/>
          <w:bCs/>
          <w:color w:val="000000" w:themeColor="text1"/>
          <w:sz w:val="20"/>
        </w:rPr>
        <w:t>Table A</w:t>
      </w:r>
      <w:r w:rsidR="00583793">
        <w:rPr>
          <w:rFonts w:ascii="Arial Narrow" w:hAnsi="Arial Narrow"/>
          <w:bCs/>
          <w:color w:val="000000" w:themeColor="text1"/>
          <w:sz w:val="20"/>
        </w:rPr>
        <w:t>1.</w:t>
      </w:r>
      <w:r w:rsidR="0096504D" w:rsidRPr="00E53765">
        <w:rPr>
          <w:rFonts w:ascii="Arial Narrow" w:hAnsi="Arial Narrow"/>
          <w:bCs/>
          <w:color w:val="000000" w:themeColor="text1"/>
          <w:sz w:val="20"/>
        </w:rPr>
        <w:t xml:space="preserve"> </w:t>
      </w:r>
      <w:r w:rsidR="00E53765" w:rsidRPr="00E53765">
        <w:rPr>
          <w:rFonts w:ascii="Arial Narrow" w:hAnsi="Arial Narrow"/>
          <w:bCs/>
          <w:color w:val="000000" w:themeColor="text1"/>
          <w:sz w:val="20"/>
        </w:rPr>
        <w:t>4</w:t>
      </w:r>
      <w:r w:rsidR="00583793">
        <w:rPr>
          <w:rStyle w:val="IntenseReference"/>
        </w:rPr>
        <w:t xml:space="preserve"> </w:t>
      </w:r>
      <w:r w:rsidRPr="00E53765">
        <w:rPr>
          <w:rStyle w:val="IntenseReference"/>
        </w:rPr>
        <w:t>continued</w:t>
      </w:r>
    </w:p>
    <w:tbl>
      <w:tblPr>
        <w:tblpPr w:leftFromText="180" w:rightFromText="180" w:vertAnchor="text" w:tblpY="1"/>
        <w:tblOverlap w:val="never"/>
        <w:tblW w:w="14034" w:type="dxa"/>
        <w:tblBorders>
          <w:top w:val="single" w:sz="12" w:space="0" w:color="auto"/>
          <w:left w:val="single" w:sz="12" w:space="0" w:color="auto"/>
          <w:bottom w:val="single" w:sz="4"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01"/>
        <w:gridCol w:w="608"/>
        <w:gridCol w:w="1984"/>
        <w:gridCol w:w="992"/>
        <w:gridCol w:w="851"/>
        <w:gridCol w:w="850"/>
        <w:gridCol w:w="8348"/>
      </w:tblGrid>
      <w:tr w:rsidR="00F439FB" w:rsidRPr="00E53765" w14:paraId="11EA98E8" w14:textId="77777777" w:rsidTr="00040878">
        <w:trPr>
          <w:cantSplit/>
          <w:trHeight w:val="519"/>
        </w:trPr>
        <w:tc>
          <w:tcPr>
            <w:tcW w:w="401" w:type="dxa"/>
            <w:vMerge w:val="restart"/>
            <w:shd w:val="clear" w:color="auto" w:fill="E6E6E6"/>
            <w:tcMar>
              <w:top w:w="16" w:type="dxa"/>
              <w:left w:w="16" w:type="dxa"/>
              <w:bottom w:w="0" w:type="dxa"/>
              <w:right w:w="16" w:type="dxa"/>
            </w:tcMar>
            <w:textDirection w:val="btLr"/>
            <w:vAlign w:val="center"/>
          </w:tcPr>
          <w:p w14:paraId="11EA98E3" w14:textId="77777777" w:rsidR="00040878" w:rsidRPr="00E53765" w:rsidRDefault="00040878" w:rsidP="00792EDF">
            <w:pPr>
              <w:jc w:val="center"/>
              <w:rPr>
                <w:rFonts w:ascii="Arial Narrow" w:eastAsia="Arial Unicode MS" w:hAnsi="Arial Narrow"/>
                <w:bCs/>
                <w:color w:val="000000" w:themeColor="text1"/>
                <w:sz w:val="20"/>
              </w:rPr>
            </w:pPr>
            <w:r w:rsidRPr="00E53765">
              <w:rPr>
                <w:rFonts w:ascii="Arial Narrow" w:hAnsi="Arial Narrow"/>
                <w:bCs/>
                <w:color w:val="000000" w:themeColor="text1"/>
                <w:sz w:val="20"/>
              </w:rPr>
              <w:t>Region</w:t>
            </w:r>
          </w:p>
        </w:tc>
        <w:tc>
          <w:tcPr>
            <w:tcW w:w="608" w:type="dxa"/>
            <w:vMerge w:val="restart"/>
            <w:shd w:val="clear" w:color="auto" w:fill="E6E6E6"/>
            <w:tcMar>
              <w:top w:w="16" w:type="dxa"/>
              <w:left w:w="16" w:type="dxa"/>
              <w:bottom w:w="0" w:type="dxa"/>
              <w:right w:w="16" w:type="dxa"/>
            </w:tcMar>
            <w:textDirection w:val="btLr"/>
            <w:vAlign w:val="center"/>
          </w:tcPr>
          <w:p w14:paraId="11EA98E4" w14:textId="77777777" w:rsidR="00040878" w:rsidRPr="00E53765" w:rsidRDefault="00040878" w:rsidP="00792EDF">
            <w:pPr>
              <w:jc w:val="center"/>
              <w:rPr>
                <w:rFonts w:ascii="Arial Narrow" w:eastAsia="Arial Unicode MS" w:hAnsi="Arial Narrow"/>
                <w:bCs/>
                <w:color w:val="000000" w:themeColor="text1"/>
                <w:sz w:val="20"/>
              </w:rPr>
            </w:pPr>
            <w:r w:rsidRPr="00E53765">
              <w:rPr>
                <w:rFonts w:ascii="Arial Narrow" w:hAnsi="Arial Narrow"/>
                <w:bCs/>
                <w:color w:val="000000" w:themeColor="text1"/>
                <w:sz w:val="20"/>
              </w:rPr>
              <w:t>Catchment</w:t>
            </w:r>
          </w:p>
        </w:tc>
        <w:tc>
          <w:tcPr>
            <w:tcW w:w="1984" w:type="dxa"/>
            <w:vMerge w:val="restart"/>
            <w:shd w:val="clear" w:color="auto" w:fill="E6E6E6"/>
            <w:tcMar>
              <w:top w:w="16" w:type="dxa"/>
              <w:left w:w="16" w:type="dxa"/>
              <w:bottom w:w="0" w:type="dxa"/>
              <w:right w:w="16" w:type="dxa"/>
            </w:tcMar>
            <w:vAlign w:val="center"/>
          </w:tcPr>
          <w:p w14:paraId="11EA98E5" w14:textId="77777777" w:rsidR="00040878" w:rsidRPr="00E53765" w:rsidRDefault="00040878" w:rsidP="00792EDF">
            <w:pPr>
              <w:jc w:val="center"/>
              <w:rPr>
                <w:rFonts w:ascii="Arial Narrow" w:eastAsia="Arial Unicode MS" w:hAnsi="Arial Narrow"/>
                <w:bCs/>
                <w:color w:val="000000" w:themeColor="text1"/>
                <w:sz w:val="20"/>
              </w:rPr>
            </w:pPr>
            <w:r w:rsidRPr="00E53765">
              <w:rPr>
                <w:rFonts w:ascii="Arial Narrow" w:hAnsi="Arial Narrow"/>
                <w:bCs/>
                <w:color w:val="000000" w:themeColor="text1"/>
                <w:sz w:val="20"/>
              </w:rPr>
              <w:t>Reef</w:t>
            </w:r>
          </w:p>
        </w:tc>
        <w:tc>
          <w:tcPr>
            <w:tcW w:w="2693" w:type="dxa"/>
            <w:gridSpan w:val="3"/>
            <w:shd w:val="clear" w:color="auto" w:fill="E6E6E6"/>
            <w:tcMar>
              <w:top w:w="16" w:type="dxa"/>
              <w:left w:w="16" w:type="dxa"/>
              <w:bottom w:w="0" w:type="dxa"/>
              <w:right w:w="16" w:type="dxa"/>
            </w:tcMar>
            <w:vAlign w:val="center"/>
          </w:tcPr>
          <w:p w14:paraId="11EA98E6" w14:textId="77777777" w:rsidR="00040878" w:rsidRPr="00E53765" w:rsidRDefault="00040878" w:rsidP="00792EDF">
            <w:pPr>
              <w:jc w:val="center"/>
              <w:rPr>
                <w:rFonts w:ascii="Arial Narrow" w:hAnsi="Arial Narrow"/>
                <w:bCs/>
                <w:color w:val="000000" w:themeColor="text1"/>
                <w:sz w:val="20"/>
              </w:rPr>
            </w:pPr>
            <w:r w:rsidRPr="00E53765">
              <w:rPr>
                <w:rFonts w:ascii="Arial Narrow" w:hAnsi="Arial Narrow"/>
                <w:bCs/>
                <w:color w:val="000000" w:themeColor="text1"/>
                <w:sz w:val="20"/>
              </w:rPr>
              <w:t>Bleaching</w:t>
            </w:r>
          </w:p>
        </w:tc>
        <w:tc>
          <w:tcPr>
            <w:tcW w:w="8348" w:type="dxa"/>
            <w:vMerge w:val="restart"/>
            <w:shd w:val="clear" w:color="auto" w:fill="E6E6E6"/>
            <w:tcMar>
              <w:top w:w="16" w:type="dxa"/>
              <w:left w:w="16" w:type="dxa"/>
              <w:bottom w:w="0" w:type="dxa"/>
              <w:right w:w="16" w:type="dxa"/>
            </w:tcMar>
            <w:vAlign w:val="center"/>
          </w:tcPr>
          <w:p w14:paraId="11EA98E7" w14:textId="77777777" w:rsidR="00040878" w:rsidRPr="00E53765" w:rsidRDefault="00040878" w:rsidP="00792EDF">
            <w:pPr>
              <w:jc w:val="center"/>
              <w:rPr>
                <w:rFonts w:ascii="Arial Narrow" w:eastAsia="Arial Unicode MS" w:hAnsi="Arial Narrow"/>
                <w:bCs/>
                <w:color w:val="000000" w:themeColor="text1"/>
                <w:sz w:val="20"/>
              </w:rPr>
            </w:pPr>
            <w:r w:rsidRPr="00E53765">
              <w:rPr>
                <w:rFonts w:ascii="Arial Narrow" w:hAnsi="Arial Narrow"/>
                <w:bCs/>
                <w:color w:val="000000" w:themeColor="text1"/>
                <w:sz w:val="20"/>
              </w:rPr>
              <w:t>Other recorded disturbances</w:t>
            </w:r>
          </w:p>
        </w:tc>
      </w:tr>
      <w:tr w:rsidR="00F439FB" w:rsidRPr="00E53765" w14:paraId="11EA98F0" w14:textId="77777777" w:rsidTr="00040878">
        <w:trPr>
          <w:cantSplit/>
          <w:trHeight w:val="375"/>
        </w:trPr>
        <w:tc>
          <w:tcPr>
            <w:tcW w:w="401" w:type="dxa"/>
            <w:vMerge/>
            <w:shd w:val="clear" w:color="auto" w:fill="E6E6E6"/>
            <w:tcMar>
              <w:top w:w="16" w:type="dxa"/>
              <w:left w:w="16" w:type="dxa"/>
              <w:bottom w:w="0" w:type="dxa"/>
              <w:right w:w="16" w:type="dxa"/>
            </w:tcMar>
            <w:textDirection w:val="btLr"/>
            <w:vAlign w:val="center"/>
          </w:tcPr>
          <w:p w14:paraId="11EA98E9" w14:textId="77777777" w:rsidR="00040878" w:rsidRPr="00E53765" w:rsidRDefault="00040878" w:rsidP="00792EDF">
            <w:pPr>
              <w:jc w:val="center"/>
              <w:rPr>
                <w:rFonts w:ascii="Arial Narrow" w:hAnsi="Arial Narrow"/>
                <w:bCs/>
                <w:color w:val="000000" w:themeColor="text1"/>
                <w:sz w:val="20"/>
              </w:rPr>
            </w:pPr>
          </w:p>
        </w:tc>
        <w:tc>
          <w:tcPr>
            <w:tcW w:w="608" w:type="dxa"/>
            <w:vMerge/>
            <w:shd w:val="clear" w:color="auto" w:fill="E6E6E6"/>
            <w:tcMar>
              <w:top w:w="16" w:type="dxa"/>
              <w:left w:w="16" w:type="dxa"/>
              <w:bottom w:w="0" w:type="dxa"/>
              <w:right w:w="16" w:type="dxa"/>
            </w:tcMar>
            <w:textDirection w:val="btLr"/>
            <w:vAlign w:val="center"/>
          </w:tcPr>
          <w:p w14:paraId="11EA98EA" w14:textId="77777777" w:rsidR="00040878" w:rsidRPr="00E53765" w:rsidRDefault="00040878" w:rsidP="00792EDF">
            <w:pPr>
              <w:jc w:val="center"/>
              <w:rPr>
                <w:rFonts w:ascii="Arial Narrow" w:hAnsi="Arial Narrow"/>
                <w:bCs/>
                <w:color w:val="000000" w:themeColor="text1"/>
                <w:sz w:val="20"/>
              </w:rPr>
            </w:pPr>
          </w:p>
        </w:tc>
        <w:tc>
          <w:tcPr>
            <w:tcW w:w="1984" w:type="dxa"/>
            <w:vMerge/>
            <w:shd w:val="clear" w:color="auto" w:fill="E6E6E6"/>
            <w:tcMar>
              <w:top w:w="16" w:type="dxa"/>
              <w:left w:w="16" w:type="dxa"/>
              <w:bottom w:w="0" w:type="dxa"/>
              <w:right w:w="16" w:type="dxa"/>
            </w:tcMar>
            <w:vAlign w:val="center"/>
          </w:tcPr>
          <w:p w14:paraId="11EA98EB" w14:textId="77777777" w:rsidR="00040878" w:rsidRPr="00E53765" w:rsidRDefault="00040878" w:rsidP="00792EDF">
            <w:pPr>
              <w:jc w:val="center"/>
              <w:rPr>
                <w:rFonts w:ascii="Arial Narrow" w:hAnsi="Arial Narrow"/>
                <w:bCs/>
                <w:color w:val="000000" w:themeColor="text1"/>
                <w:sz w:val="20"/>
              </w:rPr>
            </w:pPr>
          </w:p>
        </w:tc>
        <w:tc>
          <w:tcPr>
            <w:tcW w:w="992" w:type="dxa"/>
            <w:tcBorders>
              <w:bottom w:val="single" w:sz="4" w:space="0" w:color="auto"/>
            </w:tcBorders>
            <w:shd w:val="clear" w:color="auto" w:fill="E6E6E6"/>
            <w:tcMar>
              <w:top w:w="16" w:type="dxa"/>
              <w:left w:w="16" w:type="dxa"/>
              <w:bottom w:w="0" w:type="dxa"/>
              <w:right w:w="16" w:type="dxa"/>
            </w:tcMar>
            <w:vAlign w:val="center"/>
          </w:tcPr>
          <w:p w14:paraId="11EA98EC" w14:textId="77777777" w:rsidR="00040878" w:rsidRPr="00E53765" w:rsidRDefault="00040878" w:rsidP="00792EDF">
            <w:pPr>
              <w:jc w:val="center"/>
              <w:rPr>
                <w:rFonts w:ascii="Arial Narrow" w:hAnsi="Arial Narrow"/>
                <w:bCs/>
                <w:color w:val="000000" w:themeColor="text1"/>
                <w:sz w:val="20"/>
              </w:rPr>
            </w:pPr>
            <w:r w:rsidRPr="00E53765">
              <w:rPr>
                <w:rFonts w:ascii="Arial Narrow" w:hAnsi="Arial Narrow"/>
                <w:bCs/>
                <w:color w:val="000000" w:themeColor="text1"/>
                <w:sz w:val="20"/>
              </w:rPr>
              <w:t>1998</w:t>
            </w:r>
          </w:p>
        </w:tc>
        <w:tc>
          <w:tcPr>
            <w:tcW w:w="851" w:type="dxa"/>
            <w:tcBorders>
              <w:bottom w:val="single" w:sz="4" w:space="0" w:color="auto"/>
            </w:tcBorders>
            <w:shd w:val="clear" w:color="auto" w:fill="E6E6E6"/>
            <w:vAlign w:val="center"/>
          </w:tcPr>
          <w:p w14:paraId="11EA98ED" w14:textId="77777777" w:rsidR="00040878" w:rsidRPr="00E53765" w:rsidRDefault="00040878" w:rsidP="00792EDF">
            <w:pPr>
              <w:jc w:val="center"/>
              <w:rPr>
                <w:rFonts w:ascii="Arial Narrow" w:hAnsi="Arial Narrow"/>
                <w:bCs/>
                <w:color w:val="000000" w:themeColor="text1"/>
                <w:sz w:val="20"/>
              </w:rPr>
            </w:pPr>
            <w:r w:rsidRPr="00E53765">
              <w:rPr>
                <w:rFonts w:ascii="Arial Narrow" w:hAnsi="Arial Narrow"/>
                <w:bCs/>
                <w:color w:val="000000" w:themeColor="text1"/>
                <w:sz w:val="20"/>
              </w:rPr>
              <w:t>2002</w:t>
            </w:r>
          </w:p>
        </w:tc>
        <w:tc>
          <w:tcPr>
            <w:tcW w:w="850" w:type="dxa"/>
            <w:shd w:val="clear" w:color="auto" w:fill="E8E8E8"/>
            <w:vAlign w:val="center"/>
          </w:tcPr>
          <w:p w14:paraId="11EA98EE" w14:textId="77777777" w:rsidR="00040878" w:rsidRPr="00E53765" w:rsidRDefault="00040878" w:rsidP="00792EDF">
            <w:pPr>
              <w:jc w:val="center"/>
              <w:rPr>
                <w:rFonts w:ascii="Arial Narrow" w:hAnsi="Arial Narrow"/>
                <w:bCs/>
                <w:color w:val="000000" w:themeColor="text1"/>
                <w:sz w:val="20"/>
              </w:rPr>
            </w:pPr>
            <w:r w:rsidRPr="00E53765">
              <w:rPr>
                <w:rFonts w:ascii="Arial Narrow" w:hAnsi="Arial Narrow"/>
                <w:bCs/>
                <w:color w:val="000000" w:themeColor="text1"/>
                <w:sz w:val="20"/>
              </w:rPr>
              <w:t>2006</w:t>
            </w:r>
          </w:p>
        </w:tc>
        <w:tc>
          <w:tcPr>
            <w:tcW w:w="8348" w:type="dxa"/>
            <w:vMerge/>
            <w:shd w:val="clear" w:color="auto" w:fill="FFFFFF" w:themeFill="background1"/>
            <w:tcMar>
              <w:top w:w="16" w:type="dxa"/>
              <w:left w:w="16" w:type="dxa"/>
              <w:bottom w:w="0" w:type="dxa"/>
              <w:right w:w="16" w:type="dxa"/>
            </w:tcMar>
            <w:vAlign w:val="center"/>
          </w:tcPr>
          <w:p w14:paraId="11EA98EF" w14:textId="77777777" w:rsidR="00040878" w:rsidRPr="00E53765" w:rsidRDefault="00040878" w:rsidP="00792EDF">
            <w:pPr>
              <w:jc w:val="center"/>
              <w:rPr>
                <w:rFonts w:ascii="Arial Narrow" w:hAnsi="Arial Narrow"/>
                <w:bCs/>
                <w:color w:val="000000" w:themeColor="text1"/>
                <w:sz w:val="20"/>
              </w:rPr>
            </w:pPr>
          </w:p>
        </w:tc>
      </w:tr>
    </w:tbl>
    <w:tbl>
      <w:tblPr>
        <w:tblW w:w="140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01"/>
        <w:gridCol w:w="608"/>
        <w:gridCol w:w="1984"/>
        <w:gridCol w:w="992"/>
        <w:gridCol w:w="851"/>
        <w:gridCol w:w="850"/>
        <w:gridCol w:w="8348"/>
      </w:tblGrid>
      <w:tr w:rsidR="00F439FB" w:rsidRPr="00E53765" w14:paraId="11EA98F9" w14:textId="77777777" w:rsidTr="00040878">
        <w:trPr>
          <w:cantSplit/>
          <w:trHeight w:val="627"/>
        </w:trPr>
        <w:tc>
          <w:tcPr>
            <w:tcW w:w="401" w:type="dxa"/>
            <w:vMerge w:val="restart"/>
            <w:tcMar>
              <w:top w:w="16" w:type="dxa"/>
              <w:left w:w="16" w:type="dxa"/>
              <w:bottom w:w="0" w:type="dxa"/>
              <w:right w:w="16" w:type="dxa"/>
            </w:tcMar>
            <w:textDirection w:val="btLr"/>
            <w:vAlign w:val="center"/>
          </w:tcPr>
          <w:p w14:paraId="11EA98F1" w14:textId="77777777" w:rsidR="00851754" w:rsidRPr="00E53765" w:rsidRDefault="00851754" w:rsidP="00AD78A5">
            <w:pPr>
              <w:jc w:val="center"/>
              <w:rPr>
                <w:rFonts w:ascii="Arial Narrow" w:eastAsia="Arial Unicode MS" w:hAnsi="Arial Narrow"/>
                <w:bCs/>
                <w:color w:val="000000" w:themeColor="text1"/>
                <w:sz w:val="20"/>
              </w:rPr>
            </w:pPr>
            <w:r w:rsidRPr="00E53765">
              <w:rPr>
                <w:rFonts w:ascii="Arial Narrow" w:hAnsi="Arial Narrow"/>
                <w:bCs/>
                <w:color w:val="000000" w:themeColor="text1"/>
                <w:sz w:val="20"/>
              </w:rPr>
              <w:t>Fitzroy</w:t>
            </w:r>
          </w:p>
        </w:tc>
        <w:tc>
          <w:tcPr>
            <w:tcW w:w="608" w:type="dxa"/>
            <w:vMerge w:val="restart"/>
            <w:tcMar>
              <w:top w:w="16" w:type="dxa"/>
              <w:left w:w="16" w:type="dxa"/>
              <w:bottom w:w="0" w:type="dxa"/>
              <w:right w:w="16" w:type="dxa"/>
            </w:tcMar>
            <w:textDirection w:val="btLr"/>
            <w:vAlign w:val="center"/>
          </w:tcPr>
          <w:p w14:paraId="11EA98F2" w14:textId="77777777" w:rsidR="00851754" w:rsidRPr="00E53765" w:rsidRDefault="00851754" w:rsidP="00AD78A5">
            <w:pPr>
              <w:jc w:val="center"/>
              <w:rPr>
                <w:rFonts w:ascii="Arial Narrow" w:eastAsia="Arial Unicode MS" w:hAnsi="Arial Narrow"/>
                <w:bCs/>
                <w:color w:val="000000" w:themeColor="text1"/>
                <w:sz w:val="20"/>
              </w:rPr>
            </w:pPr>
            <w:r w:rsidRPr="00E53765">
              <w:rPr>
                <w:rFonts w:ascii="Arial Narrow" w:hAnsi="Arial Narrow"/>
                <w:bCs/>
                <w:color w:val="000000" w:themeColor="text1"/>
                <w:sz w:val="20"/>
              </w:rPr>
              <w:t>Fitzroy</w:t>
            </w:r>
          </w:p>
        </w:tc>
        <w:tc>
          <w:tcPr>
            <w:tcW w:w="1984" w:type="dxa"/>
            <w:tcMar>
              <w:top w:w="16" w:type="dxa"/>
              <w:left w:w="16" w:type="dxa"/>
              <w:bottom w:w="0" w:type="dxa"/>
              <w:right w:w="16" w:type="dxa"/>
            </w:tcMar>
            <w:vAlign w:val="bottom"/>
          </w:tcPr>
          <w:p w14:paraId="11EA98F3" w14:textId="77777777" w:rsidR="00851754" w:rsidRPr="00E53765" w:rsidRDefault="00851754" w:rsidP="00AD78A5">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Barren</w:t>
            </w:r>
          </w:p>
        </w:tc>
        <w:tc>
          <w:tcPr>
            <w:tcW w:w="992" w:type="dxa"/>
            <w:tcMar>
              <w:top w:w="16" w:type="dxa"/>
              <w:left w:w="16" w:type="dxa"/>
              <w:bottom w:w="0" w:type="dxa"/>
              <w:right w:w="16" w:type="dxa"/>
            </w:tcMar>
            <w:vAlign w:val="center"/>
          </w:tcPr>
          <w:p w14:paraId="11EA98F4" w14:textId="77777777" w:rsidR="00851754" w:rsidRPr="00E53765" w:rsidRDefault="00851754" w:rsidP="00AD78A5">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1</w:t>
            </w:r>
          </w:p>
        </w:tc>
        <w:tc>
          <w:tcPr>
            <w:tcW w:w="851" w:type="dxa"/>
            <w:vAlign w:val="center"/>
          </w:tcPr>
          <w:p w14:paraId="11EA98F5" w14:textId="77777777" w:rsidR="00851754" w:rsidRPr="00E53765" w:rsidRDefault="00851754" w:rsidP="00AD78A5">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1</w:t>
            </w:r>
          </w:p>
        </w:tc>
        <w:tc>
          <w:tcPr>
            <w:tcW w:w="850" w:type="dxa"/>
            <w:tcMar>
              <w:top w:w="16" w:type="dxa"/>
              <w:left w:w="16" w:type="dxa"/>
              <w:bottom w:w="0" w:type="dxa"/>
              <w:right w:w="16" w:type="dxa"/>
            </w:tcMar>
            <w:vAlign w:val="center"/>
          </w:tcPr>
          <w:p w14:paraId="11EA98F6" w14:textId="3596091F" w:rsidR="00851754" w:rsidRPr="00E53765" w:rsidRDefault="00851754" w:rsidP="005D3940">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w:t>
            </w:r>
            <w:r w:rsidR="005D3940" w:rsidRPr="00E53765">
              <w:rPr>
                <w:rFonts w:ascii="Arial Narrow" w:hAnsi="Arial Narrow"/>
                <w:bCs/>
                <w:color w:val="000000" w:themeColor="text1"/>
                <w:sz w:val="18"/>
                <w:szCs w:val="18"/>
              </w:rPr>
              <w:t>25</w:t>
            </w:r>
            <w:r w:rsidRPr="00E53765">
              <w:rPr>
                <w:rFonts w:ascii="Arial Narrow" w:hAnsi="Arial Narrow"/>
                <w:bCs/>
                <w:color w:val="000000" w:themeColor="text1"/>
                <w:sz w:val="18"/>
                <w:szCs w:val="18"/>
              </w:rPr>
              <w:t xml:space="preserve">%,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 xml:space="preserve"> ) (</w:t>
            </w:r>
            <w:r w:rsidR="005D3940" w:rsidRPr="00E53765">
              <w:rPr>
                <w:rFonts w:ascii="Arial Narrow" w:hAnsi="Arial Narrow"/>
                <w:bCs/>
                <w:color w:val="000000" w:themeColor="text1"/>
                <w:sz w:val="18"/>
                <w:szCs w:val="18"/>
              </w:rPr>
              <w:t>30</w:t>
            </w:r>
            <w:r w:rsidRPr="00E53765">
              <w:rPr>
                <w:rFonts w:ascii="Arial Narrow" w:hAnsi="Arial Narrow"/>
                <w:bCs/>
                <w:color w:val="000000" w:themeColor="text1"/>
                <w:sz w:val="18"/>
                <w:szCs w:val="18"/>
              </w:rPr>
              <w:t xml:space="preserve">%, </w:t>
            </w:r>
            <w:r w:rsidR="00AA72A3">
              <w:rPr>
                <w:rFonts w:ascii="Arial Narrow" w:hAnsi="Arial Narrow"/>
                <w:bCs/>
                <w:color w:val="000000" w:themeColor="text1"/>
                <w:sz w:val="18"/>
                <w:szCs w:val="18"/>
              </w:rPr>
              <w:t>5 m</w:t>
            </w:r>
            <w:r w:rsidRPr="00E53765">
              <w:rPr>
                <w:rFonts w:ascii="Arial Narrow" w:hAnsi="Arial Narrow"/>
                <w:bCs/>
                <w:color w:val="000000" w:themeColor="text1"/>
                <w:sz w:val="18"/>
                <w:szCs w:val="18"/>
              </w:rPr>
              <w:t>)</w:t>
            </w:r>
          </w:p>
        </w:tc>
        <w:tc>
          <w:tcPr>
            <w:tcW w:w="8348" w:type="dxa"/>
            <w:tcMar>
              <w:top w:w="16" w:type="dxa"/>
              <w:left w:w="16" w:type="dxa"/>
              <w:bottom w:w="0" w:type="dxa"/>
              <w:right w:w="16" w:type="dxa"/>
            </w:tcMar>
            <w:vAlign w:val="center"/>
          </w:tcPr>
          <w:p w14:paraId="11EA98F7" w14:textId="583D0219" w:rsidR="00075887" w:rsidRPr="00E53765" w:rsidRDefault="00851754" w:rsidP="00040878">
            <w:pPr>
              <w:spacing w:after="0"/>
              <w:jc w:val="left"/>
              <w:rPr>
                <w:rFonts w:ascii="Arial Narrow" w:hAnsi="Arial Narrow"/>
                <w:color w:val="000000" w:themeColor="text1"/>
                <w:sz w:val="18"/>
                <w:szCs w:val="18"/>
                <w:lang w:val="da-DK"/>
              </w:rPr>
            </w:pPr>
            <w:r w:rsidRPr="00E53765">
              <w:rPr>
                <w:rFonts w:ascii="Arial Narrow" w:hAnsi="Arial Narrow"/>
                <w:color w:val="000000" w:themeColor="text1"/>
                <w:sz w:val="18"/>
                <w:szCs w:val="18"/>
                <w:lang w:val="da-DK"/>
              </w:rPr>
              <w:t>Storm Feb 2008 (</w:t>
            </w:r>
            <w:r w:rsidR="005D3940" w:rsidRPr="00E53765">
              <w:rPr>
                <w:rFonts w:ascii="Arial Narrow" w:hAnsi="Arial Narrow"/>
                <w:color w:val="000000" w:themeColor="text1"/>
                <w:sz w:val="18"/>
                <w:szCs w:val="18"/>
                <w:lang w:val="da-DK"/>
              </w:rPr>
              <w:t>42</w:t>
            </w:r>
            <w:r w:rsidRPr="00E53765">
              <w:rPr>
                <w:rFonts w:ascii="Arial Narrow" w:hAnsi="Arial Narrow"/>
                <w:color w:val="000000" w:themeColor="text1"/>
                <w:sz w:val="18"/>
                <w:szCs w:val="18"/>
                <w:lang w:val="da-DK"/>
              </w:rPr>
              <w:t xml:space="preserve">% at </w:t>
            </w:r>
            <w:r w:rsidR="00AA72A3">
              <w:rPr>
                <w:rFonts w:ascii="Arial Narrow" w:hAnsi="Arial Narrow"/>
                <w:color w:val="000000" w:themeColor="text1"/>
                <w:sz w:val="18"/>
                <w:szCs w:val="18"/>
                <w:lang w:val="da-DK"/>
              </w:rPr>
              <w:t>2 m</w:t>
            </w:r>
            <w:r w:rsidRPr="00E53765">
              <w:rPr>
                <w:rFonts w:ascii="Arial Narrow" w:hAnsi="Arial Narrow"/>
                <w:color w:val="000000" w:themeColor="text1"/>
                <w:sz w:val="18"/>
                <w:szCs w:val="18"/>
                <w:lang w:val="da-DK"/>
              </w:rPr>
              <w:t xml:space="preserve">, </w:t>
            </w:r>
            <w:r w:rsidR="005D3940" w:rsidRPr="00E53765">
              <w:rPr>
                <w:rFonts w:ascii="Arial Narrow" w:hAnsi="Arial Narrow"/>
                <w:color w:val="000000" w:themeColor="text1"/>
                <w:sz w:val="18"/>
                <w:szCs w:val="18"/>
                <w:lang w:val="da-DK"/>
              </w:rPr>
              <w:t>25</w:t>
            </w:r>
            <w:r w:rsidRPr="00E53765">
              <w:rPr>
                <w:rFonts w:ascii="Arial Narrow" w:hAnsi="Arial Narrow"/>
                <w:color w:val="000000" w:themeColor="text1"/>
                <w:sz w:val="18"/>
                <w:szCs w:val="18"/>
                <w:lang w:val="da-DK"/>
              </w:rPr>
              <w:t xml:space="preserve">% at </w:t>
            </w:r>
            <w:r w:rsidR="00AA72A3">
              <w:rPr>
                <w:rFonts w:ascii="Arial Narrow" w:hAnsi="Arial Narrow"/>
                <w:color w:val="000000" w:themeColor="text1"/>
                <w:sz w:val="18"/>
                <w:szCs w:val="18"/>
                <w:lang w:val="da-DK"/>
              </w:rPr>
              <w:t>5 m</w:t>
            </w:r>
            <w:r w:rsidRPr="00E53765">
              <w:rPr>
                <w:rFonts w:ascii="Arial Narrow" w:hAnsi="Arial Narrow"/>
                <w:color w:val="000000" w:themeColor="text1"/>
                <w:sz w:val="18"/>
                <w:szCs w:val="18"/>
                <w:lang w:val="da-DK"/>
              </w:rPr>
              <w:t>),</w:t>
            </w:r>
            <w:r w:rsidR="00755F97" w:rsidRPr="00E53765">
              <w:rPr>
                <w:rFonts w:ascii="Arial Narrow" w:hAnsi="Arial Narrow"/>
                <w:color w:val="000000" w:themeColor="text1"/>
                <w:sz w:val="18"/>
                <w:szCs w:val="18"/>
                <w:lang w:val="da-DK"/>
              </w:rPr>
              <w:t xml:space="preserve"> Storm Feb 2010 plus disease (</w:t>
            </w:r>
            <w:r w:rsidR="005D3940" w:rsidRPr="00E53765">
              <w:rPr>
                <w:rFonts w:ascii="Arial Narrow" w:hAnsi="Arial Narrow"/>
                <w:color w:val="000000" w:themeColor="text1"/>
                <w:sz w:val="18"/>
                <w:szCs w:val="18"/>
                <w:lang w:val="da-DK"/>
              </w:rPr>
              <w:t>23</w:t>
            </w:r>
            <w:r w:rsidRPr="00E53765">
              <w:rPr>
                <w:rFonts w:ascii="Arial Narrow" w:hAnsi="Arial Narrow"/>
                <w:color w:val="000000" w:themeColor="text1"/>
                <w:sz w:val="18"/>
                <w:szCs w:val="18"/>
                <w:lang w:val="da-DK"/>
              </w:rPr>
              <w:t xml:space="preserve">% at </w:t>
            </w:r>
            <w:r w:rsidR="00AA72A3">
              <w:rPr>
                <w:rFonts w:ascii="Arial Narrow" w:hAnsi="Arial Narrow"/>
                <w:color w:val="000000" w:themeColor="text1"/>
                <w:sz w:val="18"/>
                <w:szCs w:val="18"/>
                <w:lang w:val="da-DK"/>
              </w:rPr>
              <w:t>2 m</w:t>
            </w:r>
            <w:r w:rsidR="00075887" w:rsidRPr="00E53765">
              <w:rPr>
                <w:rFonts w:ascii="Arial Narrow" w:hAnsi="Arial Narrow"/>
                <w:color w:val="000000" w:themeColor="text1"/>
                <w:sz w:val="18"/>
                <w:szCs w:val="18"/>
                <w:lang w:val="da-DK"/>
              </w:rPr>
              <w:t>,</w:t>
            </w:r>
            <w:r w:rsidR="00755F97" w:rsidRPr="00E53765">
              <w:rPr>
                <w:rFonts w:ascii="Arial Narrow" w:hAnsi="Arial Narrow"/>
                <w:color w:val="000000" w:themeColor="text1"/>
                <w:sz w:val="18"/>
                <w:szCs w:val="18"/>
                <w:lang w:val="da-DK"/>
              </w:rPr>
              <w:t xml:space="preserve">9% at </w:t>
            </w:r>
            <w:r w:rsidR="00AA72A3">
              <w:rPr>
                <w:rFonts w:ascii="Arial Narrow" w:hAnsi="Arial Narrow"/>
                <w:color w:val="000000" w:themeColor="text1"/>
                <w:sz w:val="18"/>
                <w:szCs w:val="18"/>
                <w:lang w:val="da-DK"/>
              </w:rPr>
              <w:t>5 m</w:t>
            </w:r>
            <w:r w:rsidR="00755F97" w:rsidRPr="00E53765">
              <w:rPr>
                <w:rFonts w:ascii="Arial Narrow" w:hAnsi="Arial Narrow"/>
                <w:color w:val="000000" w:themeColor="text1"/>
                <w:sz w:val="18"/>
                <w:szCs w:val="18"/>
                <w:lang w:val="da-DK"/>
              </w:rPr>
              <w:t xml:space="preserve">), </w:t>
            </w:r>
          </w:p>
          <w:p w14:paraId="11EA98F8" w14:textId="5EC14F02" w:rsidR="00755F97" w:rsidRPr="00E53765" w:rsidRDefault="00755F97" w:rsidP="00040878">
            <w:pPr>
              <w:spacing w:after="0"/>
              <w:jc w:val="left"/>
              <w:rPr>
                <w:color w:val="000000" w:themeColor="text1"/>
                <w:sz w:val="18"/>
                <w:szCs w:val="18"/>
                <w:lang w:val="da-DK"/>
              </w:rPr>
            </w:pPr>
            <w:r w:rsidRPr="00E53765">
              <w:rPr>
                <w:rFonts w:ascii="Arial Narrow" w:hAnsi="Arial Narrow"/>
                <w:color w:val="000000" w:themeColor="text1"/>
                <w:sz w:val="18"/>
                <w:szCs w:val="18"/>
                <w:lang w:val="da-DK"/>
              </w:rPr>
              <w:t>Storm Feb 2013 (</w:t>
            </w:r>
            <w:r w:rsidR="00075887" w:rsidRPr="00E53765">
              <w:rPr>
                <w:rFonts w:ascii="Arial Narrow" w:hAnsi="Arial Narrow"/>
                <w:color w:val="000000" w:themeColor="text1"/>
                <w:sz w:val="18"/>
                <w:szCs w:val="18"/>
                <w:lang w:val="da-DK"/>
              </w:rPr>
              <w:t>50</w:t>
            </w:r>
            <w:r w:rsidRPr="00E53765">
              <w:rPr>
                <w:rFonts w:ascii="Arial Narrow" w:hAnsi="Arial Narrow"/>
                <w:color w:val="000000" w:themeColor="text1"/>
                <w:sz w:val="18"/>
                <w:szCs w:val="18"/>
                <w:lang w:val="da-DK"/>
              </w:rPr>
              <w:t xml:space="preserve">% at </w:t>
            </w:r>
            <w:r w:rsidR="00AA72A3">
              <w:rPr>
                <w:rFonts w:ascii="Arial Narrow" w:hAnsi="Arial Narrow"/>
                <w:color w:val="000000" w:themeColor="text1"/>
                <w:sz w:val="18"/>
                <w:szCs w:val="18"/>
                <w:lang w:val="da-DK"/>
              </w:rPr>
              <w:t>2 m</w:t>
            </w:r>
            <w:r w:rsidRPr="00E53765">
              <w:rPr>
                <w:rFonts w:ascii="Arial Narrow" w:hAnsi="Arial Narrow"/>
                <w:color w:val="000000" w:themeColor="text1"/>
                <w:sz w:val="18"/>
                <w:szCs w:val="18"/>
                <w:lang w:val="da-DK"/>
              </w:rPr>
              <w:t xml:space="preserve">, </w:t>
            </w:r>
            <w:r w:rsidR="00075887" w:rsidRPr="00E53765">
              <w:rPr>
                <w:rFonts w:ascii="Arial Narrow" w:hAnsi="Arial Narrow"/>
                <w:color w:val="000000" w:themeColor="text1"/>
                <w:sz w:val="18"/>
                <w:szCs w:val="18"/>
                <w:lang w:val="da-DK"/>
              </w:rPr>
              <w:t>49</w:t>
            </w:r>
            <w:r w:rsidRPr="00E53765">
              <w:rPr>
                <w:rFonts w:ascii="Arial Narrow" w:hAnsi="Arial Narrow"/>
                <w:color w:val="000000" w:themeColor="text1"/>
                <w:sz w:val="18"/>
                <w:szCs w:val="18"/>
                <w:lang w:val="da-DK"/>
              </w:rPr>
              <w:t xml:space="preserve">% at </w:t>
            </w:r>
            <w:r w:rsidR="00AA72A3">
              <w:rPr>
                <w:rFonts w:ascii="Arial Narrow" w:hAnsi="Arial Narrow"/>
                <w:color w:val="000000" w:themeColor="text1"/>
                <w:sz w:val="18"/>
                <w:szCs w:val="18"/>
                <w:lang w:val="da-DK"/>
              </w:rPr>
              <w:t>5 m</w:t>
            </w:r>
            <w:r w:rsidRPr="00E53765">
              <w:rPr>
                <w:rFonts w:ascii="Arial Narrow" w:hAnsi="Arial Narrow"/>
                <w:color w:val="000000" w:themeColor="text1"/>
                <w:sz w:val="18"/>
                <w:szCs w:val="18"/>
                <w:lang w:val="da-DK"/>
              </w:rPr>
              <w:t>) ), Storm Feb 2014 (</w:t>
            </w:r>
            <w:r w:rsidR="00075887" w:rsidRPr="00E53765">
              <w:rPr>
                <w:rFonts w:ascii="Arial Narrow" w:hAnsi="Arial Narrow"/>
                <w:color w:val="000000" w:themeColor="text1"/>
                <w:sz w:val="18"/>
                <w:szCs w:val="18"/>
                <w:lang w:val="da-DK"/>
              </w:rPr>
              <w:t>17</w:t>
            </w:r>
            <w:r w:rsidR="00851754" w:rsidRPr="00E53765">
              <w:rPr>
                <w:rFonts w:ascii="Arial Narrow" w:hAnsi="Arial Narrow"/>
                <w:color w:val="000000" w:themeColor="text1"/>
                <w:sz w:val="18"/>
                <w:szCs w:val="18"/>
                <w:lang w:val="da-DK"/>
              </w:rPr>
              <w:t xml:space="preserve">% </w:t>
            </w:r>
            <w:r w:rsidRPr="00E53765">
              <w:rPr>
                <w:rFonts w:ascii="Arial Narrow" w:hAnsi="Arial Narrow"/>
                <w:color w:val="000000" w:themeColor="text1"/>
                <w:sz w:val="18"/>
                <w:szCs w:val="18"/>
                <w:lang w:val="da-DK"/>
              </w:rPr>
              <w:t xml:space="preserve">at </w:t>
            </w:r>
            <w:r w:rsidR="00AA72A3">
              <w:rPr>
                <w:rFonts w:ascii="Arial Narrow" w:hAnsi="Arial Narrow"/>
                <w:color w:val="000000" w:themeColor="text1"/>
                <w:sz w:val="18"/>
                <w:szCs w:val="18"/>
                <w:lang w:val="da-DK"/>
              </w:rPr>
              <w:t>2 m</w:t>
            </w:r>
            <w:r w:rsidRPr="00E53765">
              <w:rPr>
                <w:rFonts w:ascii="Arial Narrow" w:hAnsi="Arial Narrow"/>
                <w:color w:val="000000" w:themeColor="text1"/>
                <w:sz w:val="18"/>
                <w:szCs w:val="18"/>
                <w:lang w:val="da-DK"/>
              </w:rPr>
              <w:t xml:space="preserve">, </w:t>
            </w:r>
            <w:r w:rsidR="00075887" w:rsidRPr="00E53765">
              <w:rPr>
                <w:rFonts w:ascii="Arial Narrow" w:hAnsi="Arial Narrow"/>
                <w:color w:val="000000" w:themeColor="text1"/>
                <w:sz w:val="18"/>
                <w:szCs w:val="18"/>
                <w:lang w:val="da-DK"/>
              </w:rPr>
              <w:t>19</w:t>
            </w:r>
            <w:r w:rsidRPr="00E53765">
              <w:rPr>
                <w:rFonts w:ascii="Arial Narrow" w:hAnsi="Arial Narrow"/>
                <w:color w:val="000000" w:themeColor="text1"/>
                <w:sz w:val="18"/>
                <w:szCs w:val="18"/>
                <w:lang w:val="da-DK"/>
              </w:rPr>
              <w:t xml:space="preserve">% </w:t>
            </w:r>
            <w:r w:rsidR="00851754" w:rsidRPr="00E53765">
              <w:rPr>
                <w:rFonts w:ascii="Arial Narrow" w:hAnsi="Arial Narrow"/>
                <w:color w:val="000000" w:themeColor="text1"/>
                <w:sz w:val="18"/>
                <w:szCs w:val="18"/>
                <w:lang w:val="da-DK"/>
              </w:rPr>
              <w:t xml:space="preserve">at </w:t>
            </w:r>
            <w:r w:rsidR="00AA72A3">
              <w:rPr>
                <w:rFonts w:ascii="Arial Narrow" w:hAnsi="Arial Narrow"/>
                <w:color w:val="000000" w:themeColor="text1"/>
                <w:sz w:val="18"/>
                <w:szCs w:val="18"/>
                <w:lang w:val="da-DK"/>
              </w:rPr>
              <w:t>5 m</w:t>
            </w:r>
            <w:r w:rsidR="00851754" w:rsidRPr="00E53765">
              <w:rPr>
                <w:rFonts w:ascii="Arial Narrow" w:hAnsi="Arial Narrow"/>
                <w:color w:val="000000" w:themeColor="text1"/>
                <w:sz w:val="18"/>
                <w:szCs w:val="18"/>
                <w:lang w:val="da-DK"/>
              </w:rPr>
              <w:t>),</w:t>
            </w:r>
            <w:r w:rsidR="00075887" w:rsidRPr="00E53765">
              <w:rPr>
                <w:rFonts w:ascii="Arial Narrow" w:hAnsi="Arial Narrow"/>
                <w:color w:val="000000" w:themeColor="text1"/>
                <w:sz w:val="18"/>
                <w:szCs w:val="18"/>
                <w:lang w:val="da-DK"/>
              </w:rPr>
              <w:t xml:space="preserve"> Cyclone Marcia 2015 (62% at </w:t>
            </w:r>
            <w:r w:rsidR="00AA72A3">
              <w:rPr>
                <w:rFonts w:ascii="Arial Narrow" w:hAnsi="Arial Narrow"/>
                <w:color w:val="000000" w:themeColor="text1"/>
                <w:sz w:val="18"/>
                <w:szCs w:val="18"/>
                <w:lang w:val="da-DK"/>
              </w:rPr>
              <w:t>2 m</w:t>
            </w:r>
            <w:r w:rsidR="00075887" w:rsidRPr="00E53765">
              <w:rPr>
                <w:rFonts w:ascii="Arial Narrow" w:hAnsi="Arial Narrow"/>
                <w:color w:val="000000" w:themeColor="text1"/>
                <w:sz w:val="18"/>
                <w:szCs w:val="18"/>
                <w:lang w:val="da-DK"/>
              </w:rPr>
              <w:t xml:space="preserve">, 23% at </w:t>
            </w:r>
            <w:r w:rsidR="00AA72A3">
              <w:rPr>
                <w:rFonts w:ascii="Arial Narrow" w:hAnsi="Arial Narrow"/>
                <w:color w:val="000000" w:themeColor="text1"/>
                <w:sz w:val="18"/>
                <w:szCs w:val="18"/>
                <w:lang w:val="da-DK"/>
              </w:rPr>
              <w:t>5 m</w:t>
            </w:r>
            <w:r w:rsidR="00075887" w:rsidRPr="00E53765">
              <w:rPr>
                <w:rFonts w:ascii="Arial Narrow" w:hAnsi="Arial Narrow"/>
                <w:color w:val="000000" w:themeColor="text1"/>
                <w:sz w:val="18"/>
                <w:szCs w:val="18"/>
                <w:lang w:val="da-DK"/>
              </w:rPr>
              <w:t>)</w:t>
            </w:r>
          </w:p>
        </w:tc>
      </w:tr>
      <w:tr w:rsidR="00F439FB" w:rsidRPr="00E53765" w14:paraId="11EA9901" w14:textId="77777777" w:rsidTr="00040878">
        <w:trPr>
          <w:cantSplit/>
          <w:trHeight w:val="359"/>
        </w:trPr>
        <w:tc>
          <w:tcPr>
            <w:tcW w:w="0" w:type="auto"/>
            <w:vMerge/>
            <w:vAlign w:val="center"/>
          </w:tcPr>
          <w:p w14:paraId="11EA98FA" w14:textId="77777777" w:rsidR="00851754" w:rsidRPr="00E53765" w:rsidRDefault="00851754">
            <w:pPr>
              <w:rPr>
                <w:rFonts w:ascii="Arial Narrow" w:eastAsia="Arial Unicode MS" w:hAnsi="Arial Narrow"/>
                <w:bCs/>
                <w:color w:val="000000" w:themeColor="text1"/>
                <w:sz w:val="20"/>
                <w:lang w:val="da-DK"/>
              </w:rPr>
            </w:pPr>
          </w:p>
        </w:tc>
        <w:tc>
          <w:tcPr>
            <w:tcW w:w="608" w:type="dxa"/>
            <w:vMerge/>
            <w:vAlign w:val="center"/>
          </w:tcPr>
          <w:p w14:paraId="11EA98FB" w14:textId="77777777" w:rsidR="00851754" w:rsidRPr="00E53765" w:rsidRDefault="00851754">
            <w:pPr>
              <w:rPr>
                <w:rFonts w:ascii="Arial Narrow" w:eastAsia="Arial Unicode MS" w:hAnsi="Arial Narrow"/>
                <w:bCs/>
                <w:color w:val="000000" w:themeColor="text1"/>
                <w:sz w:val="20"/>
                <w:lang w:val="da-DK"/>
              </w:rPr>
            </w:pPr>
          </w:p>
        </w:tc>
        <w:tc>
          <w:tcPr>
            <w:tcW w:w="1984" w:type="dxa"/>
            <w:tcMar>
              <w:top w:w="16" w:type="dxa"/>
              <w:left w:w="16" w:type="dxa"/>
              <w:bottom w:w="0" w:type="dxa"/>
              <w:right w:w="16" w:type="dxa"/>
            </w:tcMar>
            <w:vAlign w:val="bottom"/>
          </w:tcPr>
          <w:p w14:paraId="11EA98FC" w14:textId="77777777" w:rsidR="00851754" w:rsidRPr="00E53765" w:rsidRDefault="00851754">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North Keppel</w:t>
            </w:r>
          </w:p>
        </w:tc>
        <w:tc>
          <w:tcPr>
            <w:tcW w:w="992" w:type="dxa"/>
            <w:tcMar>
              <w:top w:w="16" w:type="dxa"/>
              <w:left w:w="16" w:type="dxa"/>
              <w:bottom w:w="0" w:type="dxa"/>
              <w:right w:w="16" w:type="dxa"/>
            </w:tcMar>
            <w:vAlign w:val="center"/>
          </w:tcPr>
          <w:p w14:paraId="11EA98FD" w14:textId="77777777" w:rsidR="00851754" w:rsidRPr="00E53765" w:rsidRDefault="00851754">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1 (15%)</w:t>
            </w:r>
          </w:p>
        </w:tc>
        <w:tc>
          <w:tcPr>
            <w:tcW w:w="851" w:type="dxa"/>
            <w:vAlign w:val="center"/>
          </w:tcPr>
          <w:p w14:paraId="11EA98FE" w14:textId="77777777" w:rsidR="00851754" w:rsidRPr="00E53765" w:rsidRDefault="00851754">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0.89 (36%)</w:t>
            </w:r>
          </w:p>
        </w:tc>
        <w:tc>
          <w:tcPr>
            <w:tcW w:w="850" w:type="dxa"/>
            <w:tcMar>
              <w:top w:w="16" w:type="dxa"/>
              <w:left w:w="16" w:type="dxa"/>
              <w:bottom w:w="0" w:type="dxa"/>
              <w:right w:w="16" w:type="dxa"/>
            </w:tcMar>
            <w:vAlign w:val="center"/>
          </w:tcPr>
          <w:p w14:paraId="11EA98FF" w14:textId="74677626" w:rsidR="00851754" w:rsidRPr="00E53765" w:rsidRDefault="00851754" w:rsidP="00075887">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w:t>
            </w:r>
            <w:r w:rsidR="00075887" w:rsidRPr="00E53765">
              <w:rPr>
                <w:rFonts w:ascii="Arial Narrow" w:hAnsi="Arial Narrow"/>
                <w:bCs/>
                <w:color w:val="000000" w:themeColor="text1"/>
                <w:sz w:val="18"/>
                <w:szCs w:val="18"/>
              </w:rPr>
              <w:t>61</w:t>
            </w:r>
            <w:r w:rsidRPr="00E53765">
              <w:rPr>
                <w:rFonts w:ascii="Arial Narrow" w:hAnsi="Arial Narrow"/>
                <w:bCs/>
                <w:color w:val="000000" w:themeColor="text1"/>
                <w:sz w:val="18"/>
                <w:szCs w:val="18"/>
              </w:rPr>
              <w:t xml:space="preserve">%,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 (</w:t>
            </w:r>
            <w:r w:rsidR="00075887" w:rsidRPr="00E53765">
              <w:rPr>
                <w:rFonts w:ascii="Arial Narrow" w:hAnsi="Arial Narrow"/>
                <w:bCs/>
                <w:color w:val="000000" w:themeColor="text1"/>
                <w:sz w:val="18"/>
                <w:szCs w:val="18"/>
              </w:rPr>
              <w:t>41</w:t>
            </w:r>
            <w:r w:rsidRPr="00E53765">
              <w:rPr>
                <w:rFonts w:ascii="Arial Narrow" w:hAnsi="Arial Narrow"/>
                <w:bCs/>
                <w:color w:val="000000" w:themeColor="text1"/>
                <w:sz w:val="18"/>
                <w:szCs w:val="18"/>
              </w:rPr>
              <w:t xml:space="preserve">% , </w:t>
            </w:r>
            <w:r w:rsidR="00AA72A3">
              <w:rPr>
                <w:rFonts w:ascii="Arial Narrow" w:hAnsi="Arial Narrow"/>
                <w:bCs/>
                <w:color w:val="000000" w:themeColor="text1"/>
                <w:sz w:val="18"/>
                <w:szCs w:val="18"/>
              </w:rPr>
              <w:t>5 m</w:t>
            </w:r>
            <w:r w:rsidRPr="00E53765">
              <w:rPr>
                <w:rFonts w:ascii="Arial Narrow" w:hAnsi="Arial Narrow"/>
                <w:bCs/>
                <w:color w:val="000000" w:themeColor="text1"/>
                <w:sz w:val="18"/>
                <w:szCs w:val="18"/>
              </w:rPr>
              <w:t>)</w:t>
            </w:r>
          </w:p>
        </w:tc>
        <w:tc>
          <w:tcPr>
            <w:tcW w:w="8348" w:type="dxa"/>
            <w:tcMar>
              <w:top w:w="16" w:type="dxa"/>
              <w:left w:w="16" w:type="dxa"/>
              <w:bottom w:w="0" w:type="dxa"/>
              <w:right w:w="16" w:type="dxa"/>
            </w:tcMar>
            <w:vAlign w:val="center"/>
          </w:tcPr>
          <w:p w14:paraId="11EA9900" w14:textId="093E673C" w:rsidR="00851754" w:rsidRPr="00E53765" w:rsidRDefault="00851754" w:rsidP="00040878">
            <w:pPr>
              <w:spacing w:after="0"/>
              <w:jc w:val="left"/>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Storm Feb 2010 possible though not observed as site not surveyed that year. 2011 ongoing disease (</w:t>
            </w:r>
            <w:r w:rsidR="00075887" w:rsidRPr="00E53765">
              <w:rPr>
                <w:rFonts w:ascii="Arial Narrow" w:hAnsi="Arial Narrow"/>
                <w:bCs/>
                <w:color w:val="000000" w:themeColor="text1"/>
                <w:sz w:val="18"/>
                <w:szCs w:val="18"/>
              </w:rPr>
              <w:t xml:space="preserve">26% at </w:t>
            </w:r>
            <w:r w:rsidR="00AA72A3">
              <w:rPr>
                <w:rFonts w:ascii="Arial Narrow" w:hAnsi="Arial Narrow"/>
                <w:bCs/>
                <w:color w:val="000000" w:themeColor="text1"/>
                <w:sz w:val="18"/>
                <w:szCs w:val="18"/>
              </w:rPr>
              <w:t>2 m</w:t>
            </w:r>
            <w:r w:rsidR="00075887" w:rsidRPr="00E53765">
              <w:rPr>
                <w:rFonts w:ascii="Arial Narrow" w:hAnsi="Arial Narrow"/>
                <w:bCs/>
                <w:color w:val="000000" w:themeColor="text1"/>
                <w:sz w:val="18"/>
                <w:szCs w:val="18"/>
              </w:rPr>
              <w:t xml:space="preserve"> and 55</w:t>
            </w:r>
            <w:r w:rsidRPr="00E53765">
              <w:rPr>
                <w:rFonts w:ascii="Arial Narrow" w:hAnsi="Arial Narrow"/>
                <w:bCs/>
                <w:color w:val="000000" w:themeColor="text1"/>
                <w:sz w:val="18"/>
                <w:szCs w:val="18"/>
              </w:rPr>
              <w:t xml:space="preserve">% at </w:t>
            </w:r>
            <w:r w:rsidR="00AA72A3">
              <w:rPr>
                <w:rFonts w:ascii="Arial Narrow" w:hAnsi="Arial Narrow"/>
                <w:bCs/>
                <w:color w:val="000000" w:themeColor="text1"/>
                <w:sz w:val="18"/>
                <w:szCs w:val="18"/>
              </w:rPr>
              <w:t>5 m</w:t>
            </w:r>
            <w:r w:rsidRPr="00E53765">
              <w:rPr>
                <w:rFonts w:ascii="Arial Narrow" w:hAnsi="Arial Narrow"/>
                <w:bCs/>
                <w:color w:val="000000" w:themeColor="text1"/>
                <w:sz w:val="18"/>
                <w:szCs w:val="18"/>
              </w:rPr>
              <w:t>) possibly associated with flood.</w:t>
            </w:r>
          </w:p>
        </w:tc>
      </w:tr>
      <w:tr w:rsidR="00F439FB" w:rsidRPr="00E53765" w14:paraId="11EA9909" w14:textId="77777777" w:rsidTr="00040878">
        <w:trPr>
          <w:cantSplit/>
          <w:trHeight w:val="327"/>
        </w:trPr>
        <w:tc>
          <w:tcPr>
            <w:tcW w:w="0" w:type="auto"/>
            <w:vMerge/>
            <w:vAlign w:val="center"/>
          </w:tcPr>
          <w:p w14:paraId="11EA9902" w14:textId="77777777" w:rsidR="00851754" w:rsidRPr="00E53765" w:rsidRDefault="00851754">
            <w:pPr>
              <w:rPr>
                <w:rFonts w:ascii="Arial Narrow" w:eastAsia="Arial Unicode MS" w:hAnsi="Arial Narrow"/>
                <w:bCs/>
                <w:color w:val="000000" w:themeColor="text1"/>
                <w:sz w:val="20"/>
              </w:rPr>
            </w:pPr>
          </w:p>
        </w:tc>
        <w:tc>
          <w:tcPr>
            <w:tcW w:w="608" w:type="dxa"/>
            <w:vMerge/>
            <w:vAlign w:val="center"/>
          </w:tcPr>
          <w:p w14:paraId="11EA9903" w14:textId="77777777" w:rsidR="00851754" w:rsidRPr="00E53765" w:rsidRDefault="00851754">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904" w14:textId="77777777" w:rsidR="00851754" w:rsidRPr="00E53765" w:rsidRDefault="00851754">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Middle Is</w:t>
            </w:r>
          </w:p>
        </w:tc>
        <w:tc>
          <w:tcPr>
            <w:tcW w:w="992" w:type="dxa"/>
            <w:tcMar>
              <w:top w:w="16" w:type="dxa"/>
              <w:left w:w="16" w:type="dxa"/>
              <w:bottom w:w="0" w:type="dxa"/>
              <w:right w:w="16" w:type="dxa"/>
            </w:tcMar>
            <w:vAlign w:val="center"/>
          </w:tcPr>
          <w:p w14:paraId="11EA9905" w14:textId="77777777" w:rsidR="00851754" w:rsidRPr="00E53765" w:rsidRDefault="00851754">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1 (56%)</w:t>
            </w:r>
          </w:p>
        </w:tc>
        <w:tc>
          <w:tcPr>
            <w:tcW w:w="851" w:type="dxa"/>
            <w:vAlign w:val="center"/>
          </w:tcPr>
          <w:p w14:paraId="11EA9906" w14:textId="77777777" w:rsidR="00851754" w:rsidRPr="00E53765" w:rsidRDefault="00851754">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1 (Nil)</w:t>
            </w:r>
          </w:p>
        </w:tc>
        <w:tc>
          <w:tcPr>
            <w:tcW w:w="850" w:type="dxa"/>
            <w:tcMar>
              <w:top w:w="16" w:type="dxa"/>
              <w:left w:w="16" w:type="dxa"/>
              <w:bottom w:w="0" w:type="dxa"/>
              <w:right w:w="16" w:type="dxa"/>
            </w:tcMar>
            <w:vAlign w:val="center"/>
          </w:tcPr>
          <w:p w14:paraId="11EA9907" w14:textId="77EC40B8" w:rsidR="00851754" w:rsidRPr="00E53765" w:rsidRDefault="00851754" w:rsidP="00075887">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w:t>
            </w:r>
            <w:r w:rsidR="00075887" w:rsidRPr="00E53765">
              <w:rPr>
                <w:rFonts w:ascii="Arial Narrow" w:hAnsi="Arial Narrow"/>
                <w:bCs/>
                <w:color w:val="000000" w:themeColor="text1"/>
                <w:sz w:val="18"/>
                <w:szCs w:val="18"/>
              </w:rPr>
              <w:t>61</w:t>
            </w:r>
            <w:r w:rsidRPr="00E53765">
              <w:rPr>
                <w:rFonts w:ascii="Arial Narrow" w:hAnsi="Arial Narrow"/>
                <w:bCs/>
                <w:color w:val="000000" w:themeColor="text1"/>
                <w:sz w:val="18"/>
                <w:szCs w:val="18"/>
              </w:rPr>
              <w:t xml:space="preserve">%,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w:t>
            </w:r>
            <w:r w:rsidR="00E75F5C">
              <w:rPr>
                <w:rFonts w:ascii="Arial Narrow" w:hAnsi="Arial Narrow"/>
                <w:bCs/>
                <w:color w:val="000000" w:themeColor="text1"/>
                <w:sz w:val="18"/>
                <w:szCs w:val="18"/>
              </w:rPr>
              <w:t xml:space="preserve"> </w:t>
            </w:r>
            <w:r w:rsidRPr="00E53765">
              <w:rPr>
                <w:rFonts w:ascii="Arial Narrow" w:hAnsi="Arial Narrow"/>
                <w:bCs/>
                <w:color w:val="000000" w:themeColor="text1"/>
                <w:sz w:val="18"/>
                <w:szCs w:val="18"/>
              </w:rPr>
              <w:t>(</w:t>
            </w:r>
            <w:r w:rsidR="00075887" w:rsidRPr="00E53765">
              <w:rPr>
                <w:rFonts w:ascii="Arial Narrow" w:hAnsi="Arial Narrow"/>
                <w:bCs/>
                <w:color w:val="000000" w:themeColor="text1"/>
                <w:sz w:val="18"/>
                <w:szCs w:val="18"/>
              </w:rPr>
              <w:t>38</w:t>
            </w:r>
            <w:r w:rsidRPr="00E53765">
              <w:rPr>
                <w:rFonts w:ascii="Arial Narrow" w:hAnsi="Arial Narrow"/>
                <w:bCs/>
                <w:color w:val="000000" w:themeColor="text1"/>
                <w:sz w:val="18"/>
                <w:szCs w:val="18"/>
              </w:rPr>
              <w:t xml:space="preserve">%, </w:t>
            </w:r>
            <w:r w:rsidR="00AA72A3">
              <w:rPr>
                <w:rFonts w:ascii="Arial Narrow" w:hAnsi="Arial Narrow"/>
                <w:bCs/>
                <w:color w:val="000000" w:themeColor="text1"/>
                <w:sz w:val="18"/>
                <w:szCs w:val="18"/>
              </w:rPr>
              <w:t>5 m</w:t>
            </w:r>
            <w:r w:rsidRPr="00E53765">
              <w:rPr>
                <w:rFonts w:ascii="Arial Narrow" w:hAnsi="Arial Narrow"/>
                <w:bCs/>
                <w:color w:val="000000" w:themeColor="text1"/>
                <w:sz w:val="18"/>
                <w:szCs w:val="18"/>
              </w:rPr>
              <w:t>)</w:t>
            </w:r>
          </w:p>
        </w:tc>
        <w:tc>
          <w:tcPr>
            <w:tcW w:w="8348" w:type="dxa"/>
            <w:tcMar>
              <w:top w:w="16" w:type="dxa"/>
              <w:left w:w="16" w:type="dxa"/>
              <w:bottom w:w="0" w:type="dxa"/>
              <w:right w:w="16" w:type="dxa"/>
            </w:tcMar>
            <w:vAlign w:val="center"/>
          </w:tcPr>
          <w:p w14:paraId="11EA9908" w14:textId="178B2F6C" w:rsidR="00851754" w:rsidRPr="00E53765" w:rsidRDefault="00851754" w:rsidP="00040878">
            <w:pPr>
              <w:spacing w:after="0"/>
              <w:jc w:val="left"/>
              <w:rPr>
                <w:rFonts w:ascii="Arial Narrow" w:hAnsi="Arial Narrow"/>
                <w:bCs/>
                <w:color w:val="000000" w:themeColor="text1"/>
                <w:sz w:val="18"/>
                <w:szCs w:val="18"/>
              </w:rPr>
            </w:pPr>
            <w:r w:rsidRPr="00E53765">
              <w:rPr>
                <w:rFonts w:ascii="Arial Narrow" w:hAnsi="Arial Narrow"/>
                <w:bCs/>
                <w:color w:val="000000" w:themeColor="text1"/>
                <w:sz w:val="18"/>
                <w:szCs w:val="18"/>
              </w:rPr>
              <w:t>Storm Feb 2010 plus disease (</w:t>
            </w:r>
            <w:r w:rsidR="00075887" w:rsidRPr="00E53765">
              <w:rPr>
                <w:rFonts w:ascii="Arial Narrow" w:hAnsi="Arial Narrow"/>
                <w:bCs/>
                <w:color w:val="000000" w:themeColor="text1"/>
                <w:sz w:val="18"/>
                <w:szCs w:val="18"/>
              </w:rPr>
              <w:t>28</w:t>
            </w:r>
            <w:r w:rsidRPr="00E53765">
              <w:rPr>
                <w:rFonts w:ascii="Arial Narrow" w:hAnsi="Arial Narrow"/>
                <w:bCs/>
                <w:color w:val="000000" w:themeColor="text1"/>
                <w:sz w:val="18"/>
                <w:szCs w:val="18"/>
              </w:rPr>
              <w:t xml:space="preserve">% at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 xml:space="preserve">, </w:t>
            </w:r>
            <w:r w:rsidR="00075887" w:rsidRPr="00E53765">
              <w:rPr>
                <w:rFonts w:ascii="Arial Narrow" w:hAnsi="Arial Narrow"/>
                <w:bCs/>
                <w:color w:val="000000" w:themeColor="text1"/>
                <w:sz w:val="18"/>
                <w:szCs w:val="18"/>
              </w:rPr>
              <w:t>43</w:t>
            </w:r>
            <w:r w:rsidR="00767C10" w:rsidRPr="00E53765">
              <w:rPr>
                <w:rFonts w:ascii="Arial Narrow" w:hAnsi="Arial Narrow"/>
                <w:bCs/>
                <w:color w:val="000000" w:themeColor="text1"/>
                <w:sz w:val="18"/>
                <w:szCs w:val="18"/>
              </w:rPr>
              <w:t xml:space="preserve">% at </w:t>
            </w:r>
            <w:r w:rsidR="00AA72A3">
              <w:rPr>
                <w:rFonts w:ascii="Arial Narrow" w:hAnsi="Arial Narrow"/>
                <w:bCs/>
                <w:color w:val="000000" w:themeColor="text1"/>
                <w:sz w:val="18"/>
                <w:szCs w:val="18"/>
              </w:rPr>
              <w:t>5 m</w:t>
            </w:r>
            <w:r w:rsidR="00767C10" w:rsidRPr="00E53765">
              <w:rPr>
                <w:rFonts w:ascii="Arial Narrow" w:hAnsi="Arial Narrow"/>
                <w:bCs/>
                <w:color w:val="000000" w:themeColor="text1"/>
                <w:sz w:val="18"/>
                <w:szCs w:val="18"/>
              </w:rPr>
              <w:t>)</w:t>
            </w:r>
            <w:r w:rsidR="00075887" w:rsidRPr="00E53765">
              <w:rPr>
                <w:rFonts w:ascii="Arial Narrow" w:hAnsi="Arial Narrow"/>
                <w:bCs/>
                <w:color w:val="000000" w:themeColor="text1"/>
                <w:sz w:val="18"/>
                <w:szCs w:val="18"/>
              </w:rPr>
              <w:t xml:space="preserve"> Cyclone Marcia 2015 (29% at </w:t>
            </w:r>
            <w:r w:rsidR="00AA72A3">
              <w:rPr>
                <w:rFonts w:ascii="Arial Narrow" w:hAnsi="Arial Narrow"/>
                <w:bCs/>
                <w:color w:val="000000" w:themeColor="text1"/>
                <w:sz w:val="18"/>
                <w:szCs w:val="18"/>
              </w:rPr>
              <w:t>2 m</w:t>
            </w:r>
            <w:r w:rsidR="00075887" w:rsidRPr="00E53765">
              <w:rPr>
                <w:rFonts w:ascii="Arial Narrow" w:hAnsi="Arial Narrow"/>
                <w:bCs/>
                <w:color w:val="000000" w:themeColor="text1"/>
                <w:sz w:val="18"/>
                <w:szCs w:val="18"/>
              </w:rPr>
              <w:t xml:space="preserve">, 33% at </w:t>
            </w:r>
            <w:r w:rsidR="00AA72A3">
              <w:rPr>
                <w:rFonts w:ascii="Arial Narrow" w:hAnsi="Arial Narrow"/>
                <w:bCs/>
                <w:color w:val="000000" w:themeColor="text1"/>
                <w:sz w:val="18"/>
                <w:szCs w:val="18"/>
              </w:rPr>
              <w:t>5 m</w:t>
            </w:r>
            <w:r w:rsidR="00075887" w:rsidRPr="00E53765">
              <w:rPr>
                <w:rFonts w:ascii="Arial Narrow" w:hAnsi="Arial Narrow"/>
                <w:bCs/>
                <w:color w:val="000000" w:themeColor="text1"/>
                <w:sz w:val="18"/>
                <w:szCs w:val="18"/>
              </w:rPr>
              <w:t>)</w:t>
            </w:r>
          </w:p>
        </w:tc>
      </w:tr>
      <w:tr w:rsidR="00F439FB" w:rsidRPr="00E53765" w14:paraId="11EA9911" w14:textId="77777777" w:rsidTr="00040878">
        <w:trPr>
          <w:cantSplit/>
          <w:trHeight w:val="337"/>
        </w:trPr>
        <w:tc>
          <w:tcPr>
            <w:tcW w:w="0" w:type="auto"/>
            <w:vMerge/>
            <w:vAlign w:val="center"/>
          </w:tcPr>
          <w:p w14:paraId="11EA990A" w14:textId="77777777" w:rsidR="00851754" w:rsidRPr="00E53765" w:rsidRDefault="00851754">
            <w:pPr>
              <w:rPr>
                <w:rFonts w:ascii="Arial Narrow" w:eastAsia="Arial Unicode MS" w:hAnsi="Arial Narrow"/>
                <w:bCs/>
                <w:color w:val="000000" w:themeColor="text1"/>
                <w:sz w:val="20"/>
              </w:rPr>
            </w:pPr>
          </w:p>
        </w:tc>
        <w:tc>
          <w:tcPr>
            <w:tcW w:w="608" w:type="dxa"/>
            <w:vMerge/>
            <w:vAlign w:val="center"/>
          </w:tcPr>
          <w:p w14:paraId="11EA990B" w14:textId="77777777" w:rsidR="00851754" w:rsidRPr="00E53765" w:rsidRDefault="00851754">
            <w:pPr>
              <w:rPr>
                <w:rFonts w:ascii="Arial Narrow" w:eastAsia="Arial Unicode MS" w:hAnsi="Arial Narrow"/>
                <w:bCs/>
                <w:color w:val="000000" w:themeColor="text1"/>
                <w:sz w:val="20"/>
              </w:rPr>
            </w:pPr>
          </w:p>
        </w:tc>
        <w:tc>
          <w:tcPr>
            <w:tcW w:w="1984" w:type="dxa"/>
            <w:tcMar>
              <w:top w:w="16" w:type="dxa"/>
              <w:left w:w="16" w:type="dxa"/>
              <w:bottom w:w="0" w:type="dxa"/>
              <w:right w:w="16" w:type="dxa"/>
            </w:tcMar>
            <w:vAlign w:val="bottom"/>
          </w:tcPr>
          <w:p w14:paraId="11EA990C" w14:textId="77777777" w:rsidR="00851754" w:rsidRPr="00E53765" w:rsidRDefault="00851754">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Keppels South</w:t>
            </w:r>
          </w:p>
        </w:tc>
        <w:tc>
          <w:tcPr>
            <w:tcW w:w="992" w:type="dxa"/>
            <w:tcMar>
              <w:top w:w="16" w:type="dxa"/>
              <w:left w:w="16" w:type="dxa"/>
              <w:bottom w:w="0" w:type="dxa"/>
              <w:right w:w="16" w:type="dxa"/>
            </w:tcMar>
            <w:vAlign w:val="center"/>
          </w:tcPr>
          <w:p w14:paraId="11EA990D" w14:textId="77777777" w:rsidR="00851754" w:rsidRPr="00E53765" w:rsidRDefault="00851754">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1 (6%)</w:t>
            </w:r>
          </w:p>
        </w:tc>
        <w:tc>
          <w:tcPr>
            <w:tcW w:w="851" w:type="dxa"/>
            <w:vAlign w:val="center"/>
          </w:tcPr>
          <w:p w14:paraId="11EA990E" w14:textId="77777777" w:rsidR="00851754" w:rsidRPr="00E53765" w:rsidRDefault="00851754">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1 (26%)</w:t>
            </w:r>
          </w:p>
        </w:tc>
        <w:tc>
          <w:tcPr>
            <w:tcW w:w="850" w:type="dxa"/>
            <w:tcMar>
              <w:top w:w="16" w:type="dxa"/>
              <w:left w:w="16" w:type="dxa"/>
              <w:bottom w:w="0" w:type="dxa"/>
              <w:right w:w="16" w:type="dxa"/>
            </w:tcMar>
            <w:vAlign w:val="center"/>
          </w:tcPr>
          <w:p w14:paraId="11EA990F" w14:textId="0D697614" w:rsidR="00851754" w:rsidRPr="00E53765" w:rsidRDefault="00851754" w:rsidP="00075887">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w:t>
            </w:r>
            <w:r w:rsidR="00075887" w:rsidRPr="00E53765">
              <w:rPr>
                <w:rFonts w:ascii="Arial Narrow" w:hAnsi="Arial Narrow"/>
                <w:bCs/>
                <w:color w:val="000000" w:themeColor="text1"/>
                <w:sz w:val="18"/>
                <w:szCs w:val="18"/>
              </w:rPr>
              <w:t>27</w:t>
            </w:r>
            <w:r w:rsidRPr="00E53765">
              <w:rPr>
                <w:rFonts w:ascii="Arial Narrow" w:hAnsi="Arial Narrow"/>
                <w:bCs/>
                <w:color w:val="000000" w:themeColor="text1"/>
                <w:sz w:val="18"/>
                <w:szCs w:val="18"/>
              </w:rPr>
              <w:t xml:space="preserve">%, </w:t>
            </w:r>
            <w:r w:rsidR="00AA72A3">
              <w:rPr>
                <w:rFonts w:ascii="Arial Narrow" w:hAnsi="Arial Narrow"/>
                <w:bCs/>
                <w:color w:val="000000" w:themeColor="text1"/>
                <w:sz w:val="18"/>
                <w:szCs w:val="18"/>
              </w:rPr>
              <w:t>2 m</w:t>
            </w:r>
            <w:r w:rsidRPr="00E53765">
              <w:rPr>
                <w:rFonts w:ascii="Arial Narrow" w:hAnsi="Arial Narrow"/>
                <w:bCs/>
                <w:color w:val="000000" w:themeColor="text1"/>
                <w:sz w:val="18"/>
                <w:szCs w:val="18"/>
              </w:rPr>
              <w:t>) (</w:t>
            </w:r>
            <w:r w:rsidR="00075887" w:rsidRPr="00E53765">
              <w:rPr>
                <w:rFonts w:ascii="Arial Narrow" w:hAnsi="Arial Narrow"/>
                <w:bCs/>
                <w:color w:val="000000" w:themeColor="text1"/>
                <w:sz w:val="18"/>
                <w:szCs w:val="18"/>
              </w:rPr>
              <w:t>28</w:t>
            </w:r>
            <w:r w:rsidRPr="00E53765">
              <w:rPr>
                <w:rFonts w:ascii="Arial Narrow" w:hAnsi="Arial Narrow"/>
                <w:bCs/>
                <w:color w:val="000000" w:themeColor="text1"/>
                <w:sz w:val="18"/>
                <w:szCs w:val="18"/>
              </w:rPr>
              <w:t xml:space="preserve">%, </w:t>
            </w:r>
            <w:r w:rsidR="00AA72A3">
              <w:rPr>
                <w:rFonts w:ascii="Arial Narrow" w:hAnsi="Arial Narrow"/>
                <w:bCs/>
                <w:color w:val="000000" w:themeColor="text1"/>
                <w:sz w:val="18"/>
                <w:szCs w:val="18"/>
              </w:rPr>
              <w:t>5 m</w:t>
            </w:r>
            <w:r w:rsidRPr="00E53765">
              <w:rPr>
                <w:rFonts w:ascii="Arial Narrow" w:hAnsi="Arial Narrow"/>
                <w:bCs/>
                <w:color w:val="000000" w:themeColor="text1"/>
                <w:sz w:val="18"/>
                <w:szCs w:val="18"/>
              </w:rPr>
              <w:t>)</w:t>
            </w:r>
          </w:p>
        </w:tc>
        <w:tc>
          <w:tcPr>
            <w:tcW w:w="8348" w:type="dxa"/>
            <w:tcMar>
              <w:top w:w="16" w:type="dxa"/>
              <w:left w:w="16" w:type="dxa"/>
              <w:bottom w:w="0" w:type="dxa"/>
              <w:right w:w="16" w:type="dxa"/>
            </w:tcMar>
            <w:vAlign w:val="center"/>
          </w:tcPr>
          <w:p w14:paraId="11EA9910" w14:textId="30AACC6A" w:rsidR="00851754" w:rsidRPr="00E53765" w:rsidRDefault="00755F97" w:rsidP="00040878">
            <w:pPr>
              <w:spacing w:after="0"/>
              <w:jc w:val="left"/>
              <w:rPr>
                <w:rFonts w:ascii="Arial Narrow" w:hAnsi="Arial Narrow"/>
                <w:bCs/>
                <w:color w:val="000000" w:themeColor="text1"/>
                <w:sz w:val="18"/>
                <w:szCs w:val="18"/>
                <w:lang w:val="da-DK"/>
              </w:rPr>
            </w:pPr>
            <w:r w:rsidRPr="00E53765">
              <w:rPr>
                <w:rFonts w:ascii="Arial Narrow" w:hAnsi="Arial Narrow"/>
                <w:bCs/>
                <w:color w:val="000000" w:themeColor="text1"/>
                <w:sz w:val="18"/>
                <w:szCs w:val="18"/>
                <w:lang w:val="da-DK"/>
              </w:rPr>
              <w:t xml:space="preserve">Flood 2008 (6% at </w:t>
            </w:r>
            <w:r w:rsidR="00AA72A3">
              <w:rPr>
                <w:rFonts w:ascii="Arial Narrow" w:hAnsi="Arial Narrow"/>
                <w:bCs/>
                <w:color w:val="000000" w:themeColor="text1"/>
                <w:sz w:val="18"/>
                <w:szCs w:val="18"/>
                <w:lang w:val="da-DK"/>
              </w:rPr>
              <w:t>2 m</w:t>
            </w:r>
            <w:r w:rsidR="00851754" w:rsidRPr="00E53765">
              <w:rPr>
                <w:rFonts w:ascii="Arial Narrow" w:hAnsi="Arial Narrow"/>
                <w:bCs/>
                <w:color w:val="000000" w:themeColor="text1"/>
                <w:sz w:val="18"/>
                <w:szCs w:val="18"/>
                <w:lang w:val="da-DK"/>
              </w:rPr>
              <w:t>),</w:t>
            </w:r>
            <w:r w:rsidRPr="00E53765">
              <w:rPr>
                <w:rFonts w:ascii="Arial Narrow" w:hAnsi="Arial Narrow"/>
                <w:bCs/>
                <w:color w:val="000000" w:themeColor="text1"/>
                <w:sz w:val="18"/>
                <w:szCs w:val="18"/>
                <w:lang w:val="da-DK"/>
              </w:rPr>
              <w:t xml:space="preserve"> Disease 2010 (</w:t>
            </w:r>
            <w:r w:rsidR="00075887" w:rsidRPr="00E53765">
              <w:rPr>
                <w:rFonts w:ascii="Arial Narrow" w:hAnsi="Arial Narrow"/>
                <w:bCs/>
                <w:color w:val="000000" w:themeColor="text1"/>
                <w:sz w:val="18"/>
                <w:szCs w:val="18"/>
                <w:lang w:val="da-DK"/>
              </w:rPr>
              <w:t>10</w:t>
            </w:r>
            <w:r w:rsidRPr="00E53765">
              <w:rPr>
                <w:rFonts w:ascii="Arial Narrow" w:hAnsi="Arial Narrow"/>
                <w:bCs/>
                <w:color w:val="000000" w:themeColor="text1"/>
                <w:sz w:val="18"/>
                <w:szCs w:val="18"/>
                <w:lang w:val="da-DK"/>
              </w:rPr>
              <w:t xml:space="preserve">% at </w:t>
            </w:r>
            <w:r w:rsidR="00AA72A3">
              <w:rPr>
                <w:rFonts w:ascii="Arial Narrow" w:hAnsi="Arial Narrow"/>
                <w:bCs/>
                <w:color w:val="000000" w:themeColor="text1"/>
                <w:sz w:val="18"/>
                <w:szCs w:val="18"/>
                <w:lang w:val="da-DK"/>
              </w:rPr>
              <w:t>2 m</w:t>
            </w:r>
            <w:r w:rsidRPr="00E53765">
              <w:rPr>
                <w:rFonts w:ascii="Arial Narrow" w:hAnsi="Arial Narrow"/>
                <w:bCs/>
                <w:color w:val="000000" w:themeColor="text1"/>
                <w:sz w:val="18"/>
                <w:szCs w:val="18"/>
                <w:lang w:val="da-DK"/>
              </w:rPr>
              <w:t xml:space="preserve"> </w:t>
            </w:r>
            <w:r w:rsidR="00075887" w:rsidRPr="00E53765">
              <w:rPr>
                <w:rFonts w:ascii="Arial Narrow" w:hAnsi="Arial Narrow"/>
                <w:bCs/>
                <w:color w:val="000000" w:themeColor="text1"/>
                <w:sz w:val="18"/>
                <w:szCs w:val="18"/>
                <w:lang w:val="da-DK"/>
              </w:rPr>
              <w:t>23</w:t>
            </w:r>
            <w:r w:rsidRPr="00E53765">
              <w:rPr>
                <w:rFonts w:ascii="Arial Narrow" w:hAnsi="Arial Narrow"/>
                <w:bCs/>
                <w:color w:val="000000" w:themeColor="text1"/>
                <w:sz w:val="18"/>
                <w:szCs w:val="18"/>
                <w:lang w:val="da-DK"/>
              </w:rPr>
              <w:t xml:space="preserve">% at </w:t>
            </w:r>
            <w:r w:rsidR="00AA72A3">
              <w:rPr>
                <w:rFonts w:ascii="Arial Narrow" w:hAnsi="Arial Narrow"/>
                <w:bCs/>
                <w:color w:val="000000" w:themeColor="text1"/>
                <w:sz w:val="18"/>
                <w:szCs w:val="18"/>
                <w:lang w:val="da-DK"/>
              </w:rPr>
              <w:t>5 m</w:t>
            </w:r>
            <w:r w:rsidRPr="00E53765">
              <w:rPr>
                <w:rFonts w:ascii="Arial Narrow" w:hAnsi="Arial Narrow"/>
                <w:bCs/>
                <w:color w:val="000000" w:themeColor="text1"/>
                <w:sz w:val="18"/>
                <w:szCs w:val="18"/>
                <w:lang w:val="da-DK"/>
              </w:rPr>
              <w:t xml:space="preserve">), </w:t>
            </w:r>
            <w:r w:rsidR="00851754" w:rsidRPr="00E53765">
              <w:rPr>
                <w:rFonts w:ascii="Arial Narrow" w:hAnsi="Arial Narrow"/>
                <w:bCs/>
                <w:color w:val="000000" w:themeColor="text1"/>
                <w:sz w:val="18"/>
                <w:szCs w:val="18"/>
                <w:lang w:val="da-DK"/>
              </w:rPr>
              <w:t>Flood 2011 (</w:t>
            </w:r>
            <w:r w:rsidR="00075887" w:rsidRPr="00E53765">
              <w:rPr>
                <w:rFonts w:ascii="Arial Narrow" w:hAnsi="Arial Narrow"/>
                <w:bCs/>
                <w:color w:val="000000" w:themeColor="text1"/>
                <w:sz w:val="18"/>
                <w:szCs w:val="18"/>
                <w:lang w:val="da-DK"/>
              </w:rPr>
              <w:t>84</w:t>
            </w:r>
            <w:r w:rsidR="00851754" w:rsidRPr="00E53765">
              <w:rPr>
                <w:rFonts w:ascii="Arial Narrow" w:hAnsi="Arial Narrow"/>
                <w:bCs/>
                <w:color w:val="000000" w:themeColor="text1"/>
                <w:sz w:val="18"/>
                <w:szCs w:val="18"/>
                <w:lang w:val="da-DK"/>
              </w:rPr>
              <w:t xml:space="preserve">% at </w:t>
            </w:r>
            <w:r w:rsidR="00AA72A3">
              <w:rPr>
                <w:rFonts w:ascii="Arial Narrow" w:hAnsi="Arial Narrow"/>
                <w:bCs/>
                <w:color w:val="000000" w:themeColor="text1"/>
                <w:sz w:val="18"/>
                <w:szCs w:val="18"/>
                <w:lang w:val="da-DK"/>
              </w:rPr>
              <w:t>2 m</w:t>
            </w:r>
            <w:r w:rsidR="00851754" w:rsidRPr="00E53765">
              <w:rPr>
                <w:rFonts w:ascii="Arial Narrow" w:hAnsi="Arial Narrow"/>
                <w:bCs/>
                <w:color w:val="000000" w:themeColor="text1"/>
                <w:sz w:val="18"/>
                <w:szCs w:val="18"/>
                <w:lang w:val="da-DK"/>
              </w:rPr>
              <w:t>)</w:t>
            </w:r>
          </w:p>
        </w:tc>
      </w:tr>
      <w:tr w:rsidR="00F439FB" w:rsidRPr="00E53765" w14:paraId="11EA991A" w14:textId="77777777" w:rsidTr="00040878">
        <w:trPr>
          <w:cantSplit/>
          <w:trHeight w:val="264"/>
        </w:trPr>
        <w:tc>
          <w:tcPr>
            <w:tcW w:w="0" w:type="auto"/>
            <w:vMerge/>
            <w:vAlign w:val="center"/>
          </w:tcPr>
          <w:p w14:paraId="11EA9912" w14:textId="77777777" w:rsidR="00851754" w:rsidRPr="00E53765" w:rsidRDefault="00851754">
            <w:pPr>
              <w:rPr>
                <w:rFonts w:ascii="Arial Narrow" w:eastAsia="Arial Unicode MS" w:hAnsi="Arial Narrow"/>
                <w:bCs/>
                <w:color w:val="000000" w:themeColor="text1"/>
                <w:sz w:val="20"/>
                <w:lang w:val="da-DK"/>
              </w:rPr>
            </w:pPr>
          </w:p>
        </w:tc>
        <w:tc>
          <w:tcPr>
            <w:tcW w:w="608" w:type="dxa"/>
            <w:vMerge/>
            <w:vAlign w:val="center"/>
          </w:tcPr>
          <w:p w14:paraId="11EA9913" w14:textId="77777777" w:rsidR="00851754" w:rsidRPr="00E53765" w:rsidRDefault="00851754">
            <w:pPr>
              <w:rPr>
                <w:rFonts w:ascii="Arial Narrow" w:eastAsia="Arial Unicode MS" w:hAnsi="Arial Narrow"/>
                <w:bCs/>
                <w:color w:val="000000" w:themeColor="text1"/>
                <w:sz w:val="20"/>
                <w:lang w:val="da-DK"/>
              </w:rPr>
            </w:pPr>
          </w:p>
        </w:tc>
        <w:tc>
          <w:tcPr>
            <w:tcW w:w="1984" w:type="dxa"/>
            <w:tcMar>
              <w:top w:w="16" w:type="dxa"/>
              <w:left w:w="16" w:type="dxa"/>
              <w:bottom w:w="0" w:type="dxa"/>
              <w:right w:w="16" w:type="dxa"/>
            </w:tcMar>
            <w:vAlign w:val="bottom"/>
          </w:tcPr>
          <w:p w14:paraId="11EA9914" w14:textId="77777777" w:rsidR="00851754" w:rsidRPr="00E53765" w:rsidRDefault="00851754">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Pelican</w:t>
            </w:r>
          </w:p>
        </w:tc>
        <w:tc>
          <w:tcPr>
            <w:tcW w:w="992" w:type="dxa"/>
            <w:tcMar>
              <w:top w:w="16" w:type="dxa"/>
              <w:left w:w="16" w:type="dxa"/>
              <w:bottom w:w="0" w:type="dxa"/>
              <w:right w:w="16" w:type="dxa"/>
            </w:tcMar>
            <w:vAlign w:val="center"/>
          </w:tcPr>
          <w:p w14:paraId="11EA9915" w14:textId="77777777" w:rsidR="00851754" w:rsidRPr="00E53765" w:rsidRDefault="00851754">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1</w:t>
            </w:r>
          </w:p>
        </w:tc>
        <w:tc>
          <w:tcPr>
            <w:tcW w:w="851" w:type="dxa"/>
            <w:vAlign w:val="center"/>
          </w:tcPr>
          <w:p w14:paraId="11EA9916" w14:textId="77777777" w:rsidR="00851754" w:rsidRPr="00E53765" w:rsidRDefault="00851754">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1</w:t>
            </w:r>
          </w:p>
        </w:tc>
        <w:tc>
          <w:tcPr>
            <w:tcW w:w="850" w:type="dxa"/>
            <w:tcMar>
              <w:top w:w="16" w:type="dxa"/>
              <w:left w:w="16" w:type="dxa"/>
              <w:bottom w:w="0" w:type="dxa"/>
              <w:right w:w="16" w:type="dxa"/>
            </w:tcMar>
            <w:vAlign w:val="center"/>
          </w:tcPr>
          <w:p w14:paraId="11EA9917" w14:textId="39769388" w:rsidR="00851754" w:rsidRPr="00E53765" w:rsidRDefault="00851754">
            <w:pPr>
              <w:jc w:val="center"/>
              <w:rPr>
                <w:rFonts w:ascii="Arial Narrow" w:eastAsia="Arial Unicode MS" w:hAnsi="Arial Narrow"/>
                <w:bCs/>
                <w:color w:val="000000" w:themeColor="text1"/>
                <w:sz w:val="18"/>
                <w:szCs w:val="18"/>
              </w:rPr>
            </w:pPr>
            <w:r w:rsidRPr="00E53765">
              <w:rPr>
                <w:rFonts w:ascii="Arial Narrow" w:eastAsia="Arial Unicode MS" w:hAnsi="Arial Narrow"/>
                <w:bCs/>
                <w:color w:val="000000" w:themeColor="text1"/>
                <w:sz w:val="18"/>
                <w:szCs w:val="18"/>
              </w:rPr>
              <w:t xml:space="preserve">17%, </w:t>
            </w:r>
            <w:r w:rsidR="00AA72A3">
              <w:rPr>
                <w:rFonts w:ascii="Arial Narrow" w:eastAsia="Arial Unicode MS" w:hAnsi="Arial Narrow"/>
                <w:bCs/>
                <w:color w:val="000000" w:themeColor="text1"/>
                <w:sz w:val="18"/>
                <w:szCs w:val="18"/>
              </w:rPr>
              <w:t>5 m</w:t>
            </w:r>
          </w:p>
        </w:tc>
        <w:tc>
          <w:tcPr>
            <w:tcW w:w="8348" w:type="dxa"/>
            <w:tcMar>
              <w:top w:w="16" w:type="dxa"/>
              <w:left w:w="16" w:type="dxa"/>
              <w:bottom w:w="0" w:type="dxa"/>
              <w:right w:w="16" w:type="dxa"/>
            </w:tcMar>
            <w:vAlign w:val="center"/>
          </w:tcPr>
          <w:p w14:paraId="11EA9918" w14:textId="7CE22486" w:rsidR="008B1269" w:rsidRPr="00E53765" w:rsidRDefault="00851754" w:rsidP="00040878">
            <w:pPr>
              <w:spacing w:after="0"/>
              <w:jc w:val="left"/>
              <w:rPr>
                <w:rFonts w:ascii="Arial Narrow" w:hAnsi="Arial Narrow"/>
                <w:bCs/>
                <w:color w:val="000000" w:themeColor="text1"/>
                <w:sz w:val="18"/>
                <w:szCs w:val="18"/>
                <w:lang w:val="da-DK"/>
              </w:rPr>
            </w:pPr>
            <w:r w:rsidRPr="00E53765">
              <w:rPr>
                <w:rFonts w:ascii="Arial Narrow" w:hAnsi="Arial Narrow"/>
                <w:bCs/>
                <w:color w:val="000000" w:themeColor="text1"/>
                <w:sz w:val="18"/>
                <w:szCs w:val="18"/>
                <w:lang w:val="da-DK"/>
              </w:rPr>
              <w:t>Flood /Storm 2008 (</w:t>
            </w:r>
            <w:r w:rsidR="00075887" w:rsidRPr="00E53765">
              <w:rPr>
                <w:rFonts w:ascii="Arial Narrow" w:hAnsi="Arial Narrow"/>
                <w:bCs/>
                <w:color w:val="000000" w:themeColor="text1"/>
                <w:sz w:val="18"/>
                <w:szCs w:val="18"/>
                <w:lang w:val="da-DK"/>
              </w:rPr>
              <w:t>28</w:t>
            </w:r>
            <w:r w:rsidRPr="00E53765">
              <w:rPr>
                <w:rFonts w:ascii="Arial Narrow" w:hAnsi="Arial Narrow"/>
                <w:bCs/>
                <w:color w:val="000000" w:themeColor="text1"/>
                <w:sz w:val="18"/>
                <w:szCs w:val="18"/>
                <w:lang w:val="da-DK"/>
              </w:rPr>
              <w:t xml:space="preserve">% at </w:t>
            </w:r>
            <w:r w:rsidR="00AA72A3">
              <w:rPr>
                <w:rFonts w:ascii="Arial Narrow" w:hAnsi="Arial Narrow"/>
                <w:bCs/>
                <w:color w:val="000000" w:themeColor="text1"/>
                <w:sz w:val="18"/>
                <w:szCs w:val="18"/>
                <w:lang w:val="da-DK"/>
              </w:rPr>
              <w:t>2 m</w:t>
            </w:r>
            <w:r w:rsidRPr="00E53765">
              <w:rPr>
                <w:rFonts w:ascii="Arial Narrow" w:hAnsi="Arial Narrow"/>
                <w:bCs/>
                <w:color w:val="000000" w:themeColor="text1"/>
                <w:sz w:val="18"/>
                <w:szCs w:val="18"/>
                <w:lang w:val="da-DK"/>
              </w:rPr>
              <w:t xml:space="preserve">, </w:t>
            </w:r>
            <w:r w:rsidR="00075887" w:rsidRPr="00E53765">
              <w:rPr>
                <w:rFonts w:ascii="Arial Narrow" w:hAnsi="Arial Narrow"/>
                <w:bCs/>
                <w:color w:val="000000" w:themeColor="text1"/>
                <w:sz w:val="18"/>
                <w:szCs w:val="18"/>
                <w:lang w:val="da-DK"/>
              </w:rPr>
              <w:t>6</w:t>
            </w:r>
            <w:r w:rsidRPr="00E53765">
              <w:rPr>
                <w:rFonts w:ascii="Arial Narrow" w:hAnsi="Arial Narrow"/>
                <w:bCs/>
                <w:color w:val="000000" w:themeColor="text1"/>
                <w:sz w:val="18"/>
                <w:szCs w:val="18"/>
                <w:lang w:val="da-DK"/>
              </w:rPr>
              <w:t xml:space="preserve">% at </w:t>
            </w:r>
            <w:r w:rsidR="00AA72A3">
              <w:rPr>
                <w:rFonts w:ascii="Arial Narrow" w:hAnsi="Arial Narrow"/>
                <w:bCs/>
                <w:color w:val="000000" w:themeColor="text1"/>
                <w:sz w:val="18"/>
                <w:szCs w:val="18"/>
                <w:lang w:val="da-DK"/>
              </w:rPr>
              <w:t>5 m</w:t>
            </w:r>
            <w:r w:rsidRPr="00E53765">
              <w:rPr>
                <w:rFonts w:ascii="Arial Narrow" w:hAnsi="Arial Narrow"/>
                <w:bCs/>
                <w:color w:val="000000" w:themeColor="text1"/>
                <w:sz w:val="18"/>
                <w:szCs w:val="18"/>
                <w:lang w:val="da-DK"/>
              </w:rPr>
              <w:t xml:space="preserve">), </w:t>
            </w:r>
            <w:r w:rsidR="003B3573" w:rsidRPr="00E53765">
              <w:rPr>
                <w:rFonts w:ascii="Arial Narrow" w:hAnsi="Arial Narrow"/>
                <w:bCs/>
                <w:color w:val="000000" w:themeColor="text1"/>
                <w:sz w:val="18"/>
                <w:szCs w:val="18"/>
                <w:lang w:val="da-DK"/>
              </w:rPr>
              <w:t xml:space="preserve">Disease 2009 (12% at </w:t>
            </w:r>
            <w:r w:rsidR="00AA72A3">
              <w:rPr>
                <w:rFonts w:ascii="Arial Narrow" w:hAnsi="Arial Narrow"/>
                <w:bCs/>
                <w:color w:val="000000" w:themeColor="text1"/>
                <w:sz w:val="18"/>
                <w:szCs w:val="18"/>
                <w:lang w:val="da-DK"/>
              </w:rPr>
              <w:t>5 m</w:t>
            </w:r>
            <w:r w:rsidR="003B3573" w:rsidRPr="00E53765">
              <w:rPr>
                <w:rFonts w:ascii="Arial Narrow" w:hAnsi="Arial Narrow"/>
                <w:bCs/>
                <w:color w:val="000000" w:themeColor="text1"/>
                <w:sz w:val="18"/>
                <w:szCs w:val="18"/>
                <w:lang w:val="da-DK"/>
              </w:rPr>
              <w:t xml:space="preserve">), </w:t>
            </w:r>
            <w:r w:rsidR="00755F97" w:rsidRPr="00E53765">
              <w:rPr>
                <w:rFonts w:ascii="Arial Narrow" w:hAnsi="Arial Narrow"/>
                <w:bCs/>
                <w:color w:val="000000" w:themeColor="text1"/>
                <w:sz w:val="18"/>
                <w:szCs w:val="18"/>
                <w:lang w:val="da-DK"/>
              </w:rPr>
              <w:t>Disease</w:t>
            </w:r>
            <w:r w:rsidR="00075887" w:rsidRPr="00E53765">
              <w:rPr>
                <w:rFonts w:ascii="Arial Narrow" w:hAnsi="Arial Narrow"/>
                <w:bCs/>
                <w:color w:val="000000" w:themeColor="text1"/>
                <w:sz w:val="18"/>
                <w:szCs w:val="18"/>
                <w:lang w:val="da-DK"/>
              </w:rPr>
              <w:t xml:space="preserve"> 2010</w:t>
            </w:r>
            <w:r w:rsidRPr="00E53765">
              <w:rPr>
                <w:rFonts w:ascii="Arial Narrow" w:hAnsi="Arial Narrow"/>
                <w:bCs/>
                <w:color w:val="000000" w:themeColor="text1"/>
                <w:sz w:val="18"/>
                <w:szCs w:val="18"/>
                <w:lang w:val="da-DK"/>
              </w:rPr>
              <w:t xml:space="preserve"> (</w:t>
            </w:r>
            <w:r w:rsidR="00075887" w:rsidRPr="00E53765">
              <w:rPr>
                <w:rFonts w:ascii="Arial Narrow" w:hAnsi="Arial Narrow"/>
                <w:bCs/>
                <w:color w:val="000000" w:themeColor="text1"/>
                <w:sz w:val="18"/>
                <w:szCs w:val="18"/>
                <w:lang w:val="da-DK"/>
              </w:rPr>
              <w:t>26</w:t>
            </w:r>
            <w:r w:rsidRPr="00E53765">
              <w:rPr>
                <w:rFonts w:ascii="Arial Narrow" w:hAnsi="Arial Narrow"/>
                <w:bCs/>
                <w:color w:val="000000" w:themeColor="text1"/>
                <w:sz w:val="18"/>
                <w:szCs w:val="18"/>
                <w:lang w:val="da-DK"/>
              </w:rPr>
              <w:t xml:space="preserve">% at </w:t>
            </w:r>
            <w:r w:rsidR="00AA72A3">
              <w:rPr>
                <w:rFonts w:ascii="Arial Narrow" w:hAnsi="Arial Narrow"/>
                <w:bCs/>
                <w:color w:val="000000" w:themeColor="text1"/>
                <w:sz w:val="18"/>
                <w:szCs w:val="18"/>
                <w:lang w:val="da-DK"/>
              </w:rPr>
              <w:t>2 m</w:t>
            </w:r>
            <w:r w:rsidRPr="00E53765">
              <w:rPr>
                <w:rFonts w:ascii="Arial Narrow" w:hAnsi="Arial Narrow"/>
                <w:bCs/>
                <w:color w:val="000000" w:themeColor="text1"/>
                <w:sz w:val="18"/>
                <w:szCs w:val="18"/>
                <w:lang w:val="da-DK"/>
              </w:rPr>
              <w:t>),</w:t>
            </w:r>
          </w:p>
          <w:p w14:paraId="11EA9919" w14:textId="12270821" w:rsidR="00851754" w:rsidRPr="00E53765" w:rsidRDefault="00851754" w:rsidP="00040878">
            <w:pPr>
              <w:spacing w:after="0"/>
              <w:jc w:val="left"/>
              <w:rPr>
                <w:rFonts w:ascii="Arial Narrow" w:hAnsi="Arial Narrow"/>
                <w:bCs/>
                <w:color w:val="000000" w:themeColor="text1"/>
                <w:sz w:val="18"/>
                <w:szCs w:val="18"/>
                <w:lang w:val="da-DK"/>
              </w:rPr>
            </w:pPr>
            <w:r w:rsidRPr="00E53765">
              <w:rPr>
                <w:rFonts w:ascii="Arial Narrow" w:hAnsi="Arial Narrow"/>
                <w:bCs/>
                <w:color w:val="000000" w:themeColor="text1"/>
                <w:sz w:val="18"/>
                <w:szCs w:val="18"/>
                <w:lang w:val="da-DK"/>
              </w:rPr>
              <w:t>Flood 2011 (</w:t>
            </w:r>
            <w:r w:rsidR="00075887" w:rsidRPr="00E53765">
              <w:rPr>
                <w:rFonts w:ascii="Arial Narrow" w:hAnsi="Arial Narrow"/>
                <w:bCs/>
                <w:color w:val="000000" w:themeColor="text1"/>
                <w:sz w:val="18"/>
                <w:szCs w:val="18"/>
                <w:lang w:val="da-DK"/>
              </w:rPr>
              <w:t>99</w:t>
            </w:r>
            <w:r w:rsidRPr="00E53765">
              <w:rPr>
                <w:rFonts w:ascii="Arial Narrow" w:hAnsi="Arial Narrow"/>
                <w:bCs/>
                <w:color w:val="000000" w:themeColor="text1"/>
                <w:sz w:val="18"/>
                <w:szCs w:val="18"/>
                <w:lang w:val="da-DK"/>
              </w:rPr>
              <w:t xml:space="preserve">%at </w:t>
            </w:r>
            <w:r w:rsidR="00AA72A3">
              <w:rPr>
                <w:rFonts w:ascii="Arial Narrow" w:hAnsi="Arial Narrow"/>
                <w:bCs/>
                <w:color w:val="000000" w:themeColor="text1"/>
                <w:sz w:val="18"/>
                <w:szCs w:val="18"/>
                <w:lang w:val="da-DK"/>
              </w:rPr>
              <w:t>2 m</w:t>
            </w:r>
            <w:r w:rsidRPr="00E53765">
              <w:rPr>
                <w:rFonts w:ascii="Arial Narrow" w:hAnsi="Arial Narrow"/>
                <w:bCs/>
                <w:color w:val="000000" w:themeColor="text1"/>
                <w:sz w:val="18"/>
                <w:szCs w:val="18"/>
                <w:lang w:val="da-DK"/>
              </w:rPr>
              <w:t xml:space="preserve">, </w:t>
            </w:r>
            <w:r w:rsidR="00075887" w:rsidRPr="00E53765">
              <w:rPr>
                <w:rFonts w:ascii="Arial Narrow" w:hAnsi="Arial Narrow"/>
                <w:bCs/>
                <w:color w:val="000000" w:themeColor="text1"/>
                <w:sz w:val="18"/>
                <w:szCs w:val="18"/>
                <w:lang w:val="da-DK"/>
              </w:rPr>
              <w:t>32</w:t>
            </w:r>
            <w:r w:rsidR="00767C10" w:rsidRPr="00E53765">
              <w:rPr>
                <w:rFonts w:ascii="Arial Narrow" w:hAnsi="Arial Narrow"/>
                <w:bCs/>
                <w:color w:val="000000" w:themeColor="text1"/>
                <w:sz w:val="18"/>
                <w:szCs w:val="18"/>
                <w:lang w:val="da-DK"/>
              </w:rPr>
              <w:t xml:space="preserve">% </w:t>
            </w:r>
            <w:r w:rsidRPr="00E53765">
              <w:rPr>
                <w:rFonts w:ascii="Arial Narrow" w:hAnsi="Arial Narrow"/>
                <w:bCs/>
                <w:color w:val="000000" w:themeColor="text1"/>
                <w:sz w:val="18"/>
                <w:szCs w:val="18"/>
                <w:lang w:val="da-DK"/>
              </w:rPr>
              <w:t xml:space="preserve">at </w:t>
            </w:r>
            <w:r w:rsidR="00AA72A3">
              <w:rPr>
                <w:rFonts w:ascii="Arial Narrow" w:hAnsi="Arial Narrow"/>
                <w:bCs/>
                <w:color w:val="000000" w:themeColor="text1"/>
                <w:sz w:val="18"/>
                <w:szCs w:val="18"/>
                <w:lang w:val="da-DK"/>
              </w:rPr>
              <w:t>5 m</w:t>
            </w:r>
            <w:r w:rsidRPr="00E53765">
              <w:rPr>
                <w:rFonts w:ascii="Arial Narrow" w:hAnsi="Arial Narrow"/>
                <w:bCs/>
                <w:color w:val="000000" w:themeColor="text1"/>
                <w:sz w:val="18"/>
                <w:szCs w:val="18"/>
                <w:lang w:val="da-DK"/>
              </w:rPr>
              <w:t>)</w:t>
            </w:r>
            <w:r w:rsidR="003B3573" w:rsidRPr="00E53765">
              <w:rPr>
                <w:rFonts w:ascii="Arial Narrow" w:hAnsi="Arial Narrow"/>
                <w:bCs/>
                <w:color w:val="000000" w:themeColor="text1"/>
                <w:sz w:val="18"/>
                <w:szCs w:val="18"/>
                <w:lang w:val="da-DK"/>
              </w:rPr>
              <w:t xml:space="preserve">, Cyclone Marcia 2015 (34% at </w:t>
            </w:r>
            <w:r w:rsidR="00AA72A3">
              <w:rPr>
                <w:rFonts w:ascii="Arial Narrow" w:hAnsi="Arial Narrow"/>
                <w:bCs/>
                <w:color w:val="000000" w:themeColor="text1"/>
                <w:sz w:val="18"/>
                <w:szCs w:val="18"/>
                <w:lang w:val="da-DK"/>
              </w:rPr>
              <w:t>5 m</w:t>
            </w:r>
            <w:r w:rsidR="003B3573" w:rsidRPr="00E53765">
              <w:rPr>
                <w:rFonts w:ascii="Arial Narrow" w:hAnsi="Arial Narrow"/>
                <w:bCs/>
                <w:color w:val="000000" w:themeColor="text1"/>
                <w:sz w:val="18"/>
                <w:szCs w:val="18"/>
                <w:lang w:val="da-DK"/>
              </w:rPr>
              <w:t>)</w:t>
            </w:r>
          </w:p>
        </w:tc>
      </w:tr>
      <w:tr w:rsidR="00851754" w:rsidRPr="00E53765" w14:paraId="11EA9922" w14:textId="77777777" w:rsidTr="00040878">
        <w:trPr>
          <w:cantSplit/>
          <w:trHeight w:val="264"/>
        </w:trPr>
        <w:tc>
          <w:tcPr>
            <w:tcW w:w="0" w:type="auto"/>
            <w:vMerge/>
            <w:tcBorders>
              <w:bottom w:val="single" w:sz="12" w:space="0" w:color="auto"/>
            </w:tcBorders>
            <w:vAlign w:val="center"/>
          </w:tcPr>
          <w:p w14:paraId="11EA991B" w14:textId="77777777" w:rsidR="00851754" w:rsidRPr="00E53765" w:rsidRDefault="00851754">
            <w:pPr>
              <w:rPr>
                <w:rFonts w:ascii="Arial Narrow" w:eastAsia="Arial Unicode MS" w:hAnsi="Arial Narrow"/>
                <w:bCs/>
                <w:color w:val="000000" w:themeColor="text1"/>
                <w:sz w:val="20"/>
                <w:lang w:val="da-DK"/>
              </w:rPr>
            </w:pPr>
          </w:p>
        </w:tc>
        <w:tc>
          <w:tcPr>
            <w:tcW w:w="608" w:type="dxa"/>
            <w:vMerge/>
            <w:tcBorders>
              <w:bottom w:val="single" w:sz="12" w:space="0" w:color="auto"/>
            </w:tcBorders>
            <w:vAlign w:val="center"/>
          </w:tcPr>
          <w:p w14:paraId="11EA991C" w14:textId="77777777" w:rsidR="00851754" w:rsidRPr="00E53765" w:rsidRDefault="00851754">
            <w:pPr>
              <w:rPr>
                <w:rFonts w:ascii="Arial Narrow" w:eastAsia="Arial Unicode MS" w:hAnsi="Arial Narrow"/>
                <w:bCs/>
                <w:color w:val="000000" w:themeColor="text1"/>
                <w:sz w:val="20"/>
                <w:lang w:val="da-DK"/>
              </w:rPr>
            </w:pPr>
          </w:p>
        </w:tc>
        <w:tc>
          <w:tcPr>
            <w:tcW w:w="1984" w:type="dxa"/>
            <w:tcBorders>
              <w:bottom w:val="single" w:sz="12" w:space="0" w:color="auto"/>
            </w:tcBorders>
            <w:tcMar>
              <w:top w:w="16" w:type="dxa"/>
              <w:left w:w="16" w:type="dxa"/>
              <w:bottom w:w="0" w:type="dxa"/>
              <w:right w:w="16" w:type="dxa"/>
            </w:tcMar>
            <w:vAlign w:val="bottom"/>
          </w:tcPr>
          <w:p w14:paraId="11EA991D" w14:textId="77777777" w:rsidR="00851754" w:rsidRPr="00E53765" w:rsidRDefault="00851754">
            <w:pPr>
              <w:ind w:left="200"/>
              <w:rPr>
                <w:rFonts w:ascii="Arial Narrow" w:eastAsia="Arial Unicode MS" w:hAnsi="Arial Narrow"/>
                <w:bCs/>
                <w:color w:val="000000" w:themeColor="text1"/>
                <w:sz w:val="20"/>
              </w:rPr>
            </w:pPr>
            <w:r w:rsidRPr="00E53765">
              <w:rPr>
                <w:rFonts w:ascii="Arial Narrow" w:hAnsi="Arial Narrow"/>
                <w:bCs/>
                <w:color w:val="000000" w:themeColor="text1"/>
                <w:sz w:val="20"/>
              </w:rPr>
              <w:t>Peak</w:t>
            </w:r>
          </w:p>
        </w:tc>
        <w:tc>
          <w:tcPr>
            <w:tcW w:w="992" w:type="dxa"/>
            <w:tcBorders>
              <w:bottom w:val="single" w:sz="12" w:space="0" w:color="auto"/>
            </w:tcBorders>
            <w:tcMar>
              <w:top w:w="16" w:type="dxa"/>
              <w:left w:w="16" w:type="dxa"/>
              <w:bottom w:w="0" w:type="dxa"/>
              <w:right w:w="16" w:type="dxa"/>
            </w:tcMar>
            <w:vAlign w:val="center"/>
          </w:tcPr>
          <w:p w14:paraId="11EA991E" w14:textId="77777777" w:rsidR="00851754" w:rsidRPr="00E53765" w:rsidRDefault="00851754">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1</w:t>
            </w:r>
          </w:p>
        </w:tc>
        <w:tc>
          <w:tcPr>
            <w:tcW w:w="851" w:type="dxa"/>
            <w:tcBorders>
              <w:bottom w:val="single" w:sz="12" w:space="0" w:color="auto"/>
            </w:tcBorders>
            <w:vAlign w:val="center"/>
          </w:tcPr>
          <w:p w14:paraId="11EA991F" w14:textId="77777777" w:rsidR="00851754" w:rsidRPr="00E53765" w:rsidRDefault="00851754">
            <w:pPr>
              <w:jc w:val="center"/>
              <w:rPr>
                <w:rFonts w:ascii="Arial Narrow" w:eastAsia="Arial Unicode MS" w:hAnsi="Arial Narrow"/>
                <w:bCs/>
                <w:color w:val="000000" w:themeColor="text1"/>
                <w:sz w:val="18"/>
                <w:szCs w:val="18"/>
              </w:rPr>
            </w:pPr>
            <w:r w:rsidRPr="00E53765">
              <w:rPr>
                <w:rFonts w:ascii="Arial Narrow" w:hAnsi="Arial Narrow"/>
                <w:bCs/>
                <w:color w:val="000000" w:themeColor="text1"/>
                <w:sz w:val="18"/>
                <w:szCs w:val="18"/>
              </w:rPr>
              <w:t>1</w:t>
            </w:r>
          </w:p>
        </w:tc>
        <w:tc>
          <w:tcPr>
            <w:tcW w:w="850" w:type="dxa"/>
            <w:tcBorders>
              <w:bottom w:val="single" w:sz="12" w:space="0" w:color="auto"/>
            </w:tcBorders>
            <w:tcMar>
              <w:top w:w="16" w:type="dxa"/>
              <w:left w:w="16" w:type="dxa"/>
              <w:bottom w:w="0" w:type="dxa"/>
              <w:right w:w="16" w:type="dxa"/>
            </w:tcMar>
            <w:vAlign w:val="center"/>
          </w:tcPr>
          <w:p w14:paraId="11EA9920" w14:textId="77777777" w:rsidR="00851754" w:rsidRPr="00E53765" w:rsidRDefault="00851754">
            <w:pPr>
              <w:jc w:val="center"/>
              <w:rPr>
                <w:rFonts w:ascii="Arial Narrow" w:eastAsia="Arial Unicode MS" w:hAnsi="Arial Narrow"/>
                <w:bCs/>
                <w:color w:val="000000" w:themeColor="text1"/>
                <w:sz w:val="18"/>
                <w:szCs w:val="18"/>
              </w:rPr>
            </w:pPr>
          </w:p>
        </w:tc>
        <w:tc>
          <w:tcPr>
            <w:tcW w:w="8348" w:type="dxa"/>
            <w:tcBorders>
              <w:bottom w:val="single" w:sz="12" w:space="0" w:color="auto"/>
            </w:tcBorders>
            <w:tcMar>
              <w:top w:w="16" w:type="dxa"/>
              <w:left w:w="16" w:type="dxa"/>
              <w:bottom w:w="0" w:type="dxa"/>
              <w:right w:w="16" w:type="dxa"/>
            </w:tcMar>
            <w:vAlign w:val="center"/>
          </w:tcPr>
          <w:p w14:paraId="11EA9921" w14:textId="1BC61B0C" w:rsidR="00851754" w:rsidRPr="00E53765" w:rsidRDefault="008B1269" w:rsidP="00040878">
            <w:pPr>
              <w:spacing w:after="0"/>
              <w:jc w:val="left"/>
              <w:rPr>
                <w:rFonts w:ascii="Arial Narrow" w:hAnsi="Arial Narrow"/>
                <w:bCs/>
                <w:color w:val="000000" w:themeColor="text1"/>
                <w:sz w:val="18"/>
                <w:szCs w:val="18"/>
                <w:lang w:val="da-DK"/>
              </w:rPr>
            </w:pPr>
            <w:r w:rsidRPr="00E53765">
              <w:rPr>
                <w:rFonts w:ascii="Arial Narrow" w:hAnsi="Arial Narrow"/>
                <w:bCs/>
                <w:color w:val="000000" w:themeColor="text1"/>
                <w:sz w:val="18"/>
                <w:szCs w:val="18"/>
                <w:lang w:val="da-DK"/>
              </w:rPr>
              <w:t>Flood 2008 (28</w:t>
            </w:r>
            <w:r w:rsidR="00851754" w:rsidRPr="00E53765">
              <w:rPr>
                <w:rFonts w:ascii="Arial Narrow" w:hAnsi="Arial Narrow"/>
                <w:bCs/>
                <w:color w:val="000000" w:themeColor="text1"/>
                <w:sz w:val="18"/>
                <w:szCs w:val="18"/>
                <w:lang w:val="da-DK"/>
              </w:rPr>
              <w:t xml:space="preserve">% at </w:t>
            </w:r>
            <w:r w:rsidR="00AA72A3">
              <w:rPr>
                <w:rFonts w:ascii="Arial Narrow" w:hAnsi="Arial Narrow"/>
                <w:bCs/>
                <w:color w:val="000000" w:themeColor="text1"/>
                <w:sz w:val="18"/>
                <w:szCs w:val="18"/>
                <w:lang w:val="da-DK"/>
              </w:rPr>
              <w:t>2 m</w:t>
            </w:r>
            <w:r w:rsidR="00851754" w:rsidRPr="00E53765">
              <w:rPr>
                <w:rFonts w:ascii="Arial Narrow" w:hAnsi="Arial Narrow"/>
                <w:bCs/>
                <w:color w:val="000000" w:themeColor="text1"/>
                <w:sz w:val="18"/>
                <w:szCs w:val="18"/>
                <w:lang w:val="da-DK"/>
              </w:rPr>
              <w:t>), Flood 2011 (</w:t>
            </w:r>
            <w:r w:rsidRPr="00E53765">
              <w:rPr>
                <w:rFonts w:ascii="Arial Narrow" w:hAnsi="Arial Narrow"/>
                <w:bCs/>
                <w:color w:val="000000" w:themeColor="text1"/>
                <w:sz w:val="18"/>
                <w:szCs w:val="18"/>
                <w:lang w:val="da-DK"/>
              </w:rPr>
              <w:t>70</w:t>
            </w:r>
            <w:r w:rsidR="00851754" w:rsidRPr="00E53765">
              <w:rPr>
                <w:rFonts w:ascii="Arial Narrow" w:hAnsi="Arial Narrow"/>
                <w:bCs/>
                <w:color w:val="000000" w:themeColor="text1"/>
                <w:sz w:val="18"/>
                <w:szCs w:val="18"/>
                <w:lang w:val="da-DK"/>
              </w:rPr>
              <w:t xml:space="preserve">% at </w:t>
            </w:r>
            <w:r w:rsidR="00AA72A3">
              <w:rPr>
                <w:rFonts w:ascii="Arial Narrow" w:hAnsi="Arial Narrow"/>
                <w:bCs/>
                <w:color w:val="000000" w:themeColor="text1"/>
                <w:sz w:val="18"/>
                <w:szCs w:val="18"/>
                <w:lang w:val="da-DK"/>
              </w:rPr>
              <w:t>2 m</w:t>
            </w:r>
            <w:r w:rsidR="00851754" w:rsidRPr="00E53765">
              <w:rPr>
                <w:rFonts w:ascii="Arial Narrow" w:hAnsi="Arial Narrow"/>
                <w:bCs/>
                <w:color w:val="000000" w:themeColor="text1"/>
                <w:sz w:val="18"/>
                <w:szCs w:val="18"/>
                <w:lang w:val="da-DK"/>
              </w:rPr>
              <w:t xml:space="preserve">, </w:t>
            </w:r>
            <w:r w:rsidRPr="00E53765">
              <w:rPr>
                <w:rFonts w:ascii="Arial Narrow" w:hAnsi="Arial Narrow"/>
                <w:bCs/>
                <w:color w:val="000000" w:themeColor="text1"/>
                <w:sz w:val="18"/>
                <w:szCs w:val="18"/>
                <w:lang w:val="da-DK"/>
              </w:rPr>
              <w:t>26</w:t>
            </w:r>
            <w:r w:rsidR="00851754" w:rsidRPr="00E53765">
              <w:rPr>
                <w:rFonts w:ascii="Arial Narrow" w:hAnsi="Arial Narrow"/>
                <w:bCs/>
                <w:color w:val="000000" w:themeColor="text1"/>
                <w:sz w:val="18"/>
                <w:szCs w:val="18"/>
                <w:lang w:val="da-DK"/>
              </w:rPr>
              <w:t xml:space="preserve">% at </w:t>
            </w:r>
            <w:r w:rsidR="00AA72A3">
              <w:rPr>
                <w:rFonts w:ascii="Arial Narrow" w:hAnsi="Arial Narrow"/>
                <w:bCs/>
                <w:color w:val="000000" w:themeColor="text1"/>
                <w:sz w:val="18"/>
                <w:szCs w:val="18"/>
                <w:lang w:val="da-DK"/>
              </w:rPr>
              <w:t>5 m</w:t>
            </w:r>
            <w:r w:rsidR="00851754" w:rsidRPr="00E53765">
              <w:rPr>
                <w:rFonts w:ascii="Arial Narrow" w:hAnsi="Arial Narrow"/>
                <w:bCs/>
                <w:color w:val="000000" w:themeColor="text1"/>
                <w:sz w:val="18"/>
                <w:szCs w:val="18"/>
                <w:lang w:val="da-DK"/>
              </w:rPr>
              <w:t>)</w:t>
            </w:r>
          </w:p>
        </w:tc>
      </w:tr>
    </w:tbl>
    <w:bookmarkEnd w:id="366"/>
    <w:p w14:paraId="11EA9923" w14:textId="77777777" w:rsidR="00216E77" w:rsidRPr="00E53765" w:rsidRDefault="00216E77" w:rsidP="00406BD7">
      <w:pPr>
        <w:rPr>
          <w:rStyle w:val="IntenseReference"/>
        </w:rPr>
      </w:pPr>
      <w:r w:rsidRPr="00E53765">
        <w:rPr>
          <w:rStyle w:val="IntenseReference"/>
        </w:rPr>
        <w:t xml:space="preserve">Note: As direct observations of impact were limited during the wide spread bleaching events of 1998 and 2002 tabulated values for these years are the estimated probability that each reef would have experienced a coral bleaching event as calculated using a Bayesian Network model (Wooldridge </w:t>
      </w:r>
      <w:r w:rsidR="0001742D" w:rsidRPr="00E53765">
        <w:rPr>
          <w:rStyle w:val="IntenseReference"/>
        </w:rPr>
        <w:t>&amp;</w:t>
      </w:r>
      <w:r w:rsidRPr="00E53765">
        <w:rPr>
          <w:rStyle w:val="IntenseReference"/>
        </w:rPr>
        <w:t xml:space="preserve"> Done 2004). The network model allows information about site-specific physical variables (e.g. water quality, mixing strength, thermal history, wave regime) to be combined with satellite-derived estimates of sea surface temperature (SST) in order to provide a probability (= strength of belief) that a given coral community in a given patch of ocean would have experienced a coral bleaching event. Higher probabilities indicate a greater strength of belief in both the likelihood of a bleaching event and the severity of that event. Where impact was observed the proportional reduction in coral cover is included. For all other disturbances listed the proportional reductions in cover are based on direct observation.</w:t>
      </w:r>
    </w:p>
    <w:p w14:paraId="11EA9924" w14:textId="77777777" w:rsidR="008A1A24" w:rsidRPr="00F439FB" w:rsidRDefault="008A1A24">
      <w:pPr>
        <w:pStyle w:val="Table"/>
        <w:rPr>
          <w:noProof/>
          <w:color w:val="4F81BD" w:themeColor="accent1"/>
          <w:lang w:val="da-DK" w:eastAsia="en-AU"/>
        </w:rPr>
        <w:sectPr w:rsidR="008A1A24" w:rsidRPr="00F439FB" w:rsidSect="006608FC">
          <w:pgSz w:w="16840" w:h="11907" w:orient="landscape" w:code="9"/>
          <w:pgMar w:top="1134" w:right="1440" w:bottom="1134" w:left="1440" w:header="709" w:footer="709" w:gutter="0"/>
          <w:cols w:space="708"/>
          <w:docGrid w:linePitch="360"/>
        </w:sectPr>
      </w:pPr>
    </w:p>
    <w:p w14:paraId="11EA9925" w14:textId="69A69ADF" w:rsidR="00C75680" w:rsidRPr="005B6EC7" w:rsidRDefault="00583793" w:rsidP="00583793">
      <w:pPr>
        <w:pStyle w:val="Caption"/>
        <w:rPr>
          <w:bCs/>
          <w:color w:val="000000" w:themeColor="text1"/>
          <w:szCs w:val="20"/>
        </w:rPr>
      </w:pPr>
      <w:bookmarkStart w:id="367" w:name="_Ref491182085"/>
      <w:bookmarkStart w:id="368" w:name="_Ref470012572"/>
      <w:bookmarkStart w:id="369" w:name="_Toc437424464"/>
      <w:bookmarkStart w:id="370" w:name="_Toc437424588"/>
      <w:bookmarkStart w:id="371" w:name="_Toc437432517"/>
      <w:bookmarkStart w:id="372" w:name="_Toc437597663"/>
      <w:bookmarkStart w:id="373" w:name="_Ref469728113"/>
      <w:bookmarkStart w:id="374" w:name="_Toc392930519"/>
      <w:bookmarkStart w:id="375" w:name="_Toc374701578"/>
      <w:bookmarkStart w:id="376" w:name="_Toc430267655"/>
      <w:bookmarkStart w:id="377" w:name="_Toc471373381"/>
      <w:r>
        <w:t xml:space="preserve">Table A1. </w:t>
      </w:r>
      <w:r>
        <w:fldChar w:fldCharType="begin"/>
      </w:r>
      <w:r>
        <w:instrText xml:space="preserve"> SEQ Table_A1. \* ARABIC </w:instrText>
      </w:r>
      <w:r>
        <w:fldChar w:fldCharType="separate"/>
      </w:r>
      <w:r w:rsidR="00D806F2">
        <w:rPr>
          <w:noProof/>
        </w:rPr>
        <w:t>5</w:t>
      </w:r>
      <w:r>
        <w:fldChar w:fldCharType="end"/>
      </w:r>
      <w:bookmarkEnd w:id="367"/>
      <w:r>
        <w:t xml:space="preserve"> </w:t>
      </w:r>
      <w:r w:rsidRPr="002D7232">
        <w:t>Reef level</w:t>
      </w:r>
      <w:r>
        <w:t xml:space="preserve"> coral index and metric</w:t>
      </w:r>
      <w:r w:rsidRPr="002D7232">
        <w:t xml:space="preserve"> scores</w:t>
      </w:r>
      <w:r>
        <w:t xml:space="preserve"> 2016.</w:t>
      </w:r>
      <w:bookmarkEnd w:id="368"/>
      <w:bookmarkEnd w:id="369"/>
      <w:bookmarkEnd w:id="370"/>
      <w:bookmarkEnd w:id="371"/>
      <w:bookmarkEnd w:id="372"/>
      <w:bookmarkEnd w:id="373"/>
      <w:r w:rsidR="005B6EC7">
        <w:t xml:space="preserve"> </w:t>
      </w:r>
      <w:bookmarkEnd w:id="374"/>
      <w:bookmarkEnd w:id="375"/>
      <w:bookmarkEnd w:id="376"/>
      <w:r w:rsidR="00A85204" w:rsidRPr="005B6EC7">
        <w:rPr>
          <w:rStyle w:val="IntenseReference"/>
          <w:rFonts w:eastAsia="SimSun"/>
        </w:rPr>
        <w:t xml:space="preserve">Coral index </w:t>
      </w:r>
      <w:r>
        <w:rPr>
          <w:rStyle w:val="IntenseReference"/>
          <w:rFonts w:eastAsia="SimSun"/>
        </w:rPr>
        <w:t xml:space="preserve">and </w:t>
      </w:r>
      <w:r w:rsidR="00817833">
        <w:rPr>
          <w:rStyle w:val="IntenseReference"/>
          <w:rFonts w:eastAsia="SimSun"/>
        </w:rPr>
        <w:t>(sub-)</w:t>
      </w:r>
      <w:r>
        <w:rPr>
          <w:rStyle w:val="IntenseReference"/>
          <w:rFonts w:eastAsia="SimSun"/>
        </w:rPr>
        <w:t xml:space="preserve">regional </w:t>
      </w:r>
      <w:r w:rsidR="00817833">
        <w:rPr>
          <w:rStyle w:val="IntenseReference"/>
          <w:rFonts w:eastAsia="SimSun"/>
        </w:rPr>
        <w:t xml:space="preserve">metric scores </w:t>
      </w:r>
      <w:r w:rsidR="00A85204" w:rsidRPr="005B6EC7">
        <w:rPr>
          <w:rStyle w:val="IntenseReference"/>
          <w:rFonts w:eastAsia="SimSun"/>
        </w:rPr>
        <w:t xml:space="preserve">are colour coded </w:t>
      </w:r>
      <w:r w:rsidR="00474974" w:rsidRPr="005B6EC7">
        <w:rPr>
          <w:rStyle w:val="IntenseReference"/>
          <w:rFonts w:eastAsia="SimSun"/>
        </w:rPr>
        <w:t>by condition categories: red = very poor, orange = poor, yellow = moderate, light green = good and dark green = very good</w:t>
      </w:r>
      <w:bookmarkEnd w:id="377"/>
    </w:p>
    <w:tbl>
      <w:tblPr>
        <w:tblW w:w="9418" w:type="dxa"/>
        <w:tblInd w:w="91" w:type="dxa"/>
        <w:tblLayout w:type="fixed"/>
        <w:tblCellMar>
          <w:left w:w="28" w:type="dxa"/>
          <w:right w:w="28" w:type="dxa"/>
        </w:tblCellMar>
        <w:tblLook w:val="04A0" w:firstRow="1" w:lastRow="0" w:firstColumn="1" w:lastColumn="0" w:noHBand="0" w:noVBand="1"/>
      </w:tblPr>
      <w:tblGrid>
        <w:gridCol w:w="771"/>
        <w:gridCol w:w="1576"/>
        <w:gridCol w:w="284"/>
        <w:gridCol w:w="1134"/>
        <w:gridCol w:w="1134"/>
        <w:gridCol w:w="1134"/>
        <w:gridCol w:w="1047"/>
        <w:gridCol w:w="1221"/>
        <w:gridCol w:w="1117"/>
      </w:tblGrid>
      <w:tr w:rsidR="00B72345" w:rsidRPr="00B72345" w14:paraId="11EA992F" w14:textId="77777777" w:rsidTr="00C75680">
        <w:trPr>
          <w:cantSplit/>
          <w:trHeight w:val="925"/>
          <w:tblHeader/>
        </w:trPr>
        <w:tc>
          <w:tcPr>
            <w:tcW w:w="7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EA9926" w14:textId="77777777" w:rsidR="00B72345" w:rsidRPr="00D41D10" w:rsidRDefault="00B72345" w:rsidP="00B72345">
            <w:pPr>
              <w:spacing w:after="0"/>
              <w:jc w:val="center"/>
              <w:rPr>
                <w:rFonts w:cs="Arial"/>
                <w:color w:val="000000"/>
                <w:sz w:val="20"/>
                <w:lang w:val="en-AU" w:eastAsia="en-AU"/>
              </w:rPr>
            </w:pPr>
            <w:r w:rsidRPr="00D41D10">
              <w:rPr>
                <w:rFonts w:cs="Arial"/>
                <w:color w:val="000000"/>
                <w:sz w:val="20"/>
                <w:lang w:val="en-AU" w:eastAsia="en-AU"/>
              </w:rPr>
              <w:t>Region</w:t>
            </w:r>
          </w:p>
        </w:tc>
        <w:tc>
          <w:tcPr>
            <w:tcW w:w="1576" w:type="dxa"/>
            <w:tcBorders>
              <w:top w:val="single" w:sz="4" w:space="0" w:color="auto"/>
              <w:left w:val="nil"/>
              <w:bottom w:val="single" w:sz="4" w:space="0" w:color="auto"/>
              <w:right w:val="single" w:sz="4" w:space="0" w:color="auto"/>
            </w:tcBorders>
            <w:shd w:val="clear" w:color="auto" w:fill="auto"/>
            <w:noWrap/>
            <w:vAlign w:val="center"/>
            <w:hideMark/>
          </w:tcPr>
          <w:p w14:paraId="11EA9927" w14:textId="77777777" w:rsidR="00B72345" w:rsidRPr="00D41D10" w:rsidRDefault="00B72345" w:rsidP="00D41D10">
            <w:pPr>
              <w:spacing w:after="0"/>
              <w:jc w:val="center"/>
              <w:rPr>
                <w:rFonts w:cs="Arial"/>
                <w:color w:val="000000"/>
                <w:sz w:val="20"/>
                <w:lang w:val="en-AU" w:eastAsia="en-AU"/>
              </w:rPr>
            </w:pPr>
            <w:r w:rsidRPr="00D41D10">
              <w:rPr>
                <w:rFonts w:cs="Arial"/>
                <w:color w:val="000000"/>
                <w:sz w:val="20"/>
                <w:lang w:val="en-AU" w:eastAsia="en-AU"/>
              </w:rPr>
              <w:t>R</w:t>
            </w:r>
            <w:r w:rsidR="00D41D10" w:rsidRPr="00D41D10">
              <w:rPr>
                <w:rFonts w:cs="Arial"/>
                <w:color w:val="000000"/>
                <w:sz w:val="20"/>
                <w:lang w:val="en-AU" w:eastAsia="en-AU"/>
              </w:rPr>
              <w:t>eef</w:t>
            </w:r>
          </w:p>
        </w:tc>
        <w:tc>
          <w:tcPr>
            <w:tcW w:w="28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11EA9928" w14:textId="77777777" w:rsidR="00B72345" w:rsidRPr="00D41D10" w:rsidRDefault="00B72345" w:rsidP="00B72345">
            <w:pPr>
              <w:spacing w:after="0"/>
              <w:jc w:val="center"/>
              <w:rPr>
                <w:rFonts w:cs="Arial"/>
                <w:color w:val="000000"/>
                <w:sz w:val="20"/>
                <w:lang w:val="en-AU" w:eastAsia="en-AU"/>
              </w:rPr>
            </w:pPr>
            <w:r w:rsidRPr="00D41D10">
              <w:rPr>
                <w:rFonts w:cs="Arial"/>
                <w:color w:val="000000"/>
                <w:sz w:val="20"/>
                <w:lang w:val="en-AU" w:eastAsia="en-AU"/>
              </w:rPr>
              <w:t>Depth</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11EA9929" w14:textId="54CE6514" w:rsidR="00B72345" w:rsidRPr="00D41D10" w:rsidRDefault="00B72345" w:rsidP="005B0BFF">
            <w:pPr>
              <w:spacing w:after="0"/>
              <w:jc w:val="center"/>
              <w:rPr>
                <w:rFonts w:cs="Arial"/>
                <w:color w:val="000000"/>
                <w:sz w:val="20"/>
                <w:lang w:val="en-AU" w:eastAsia="en-AU"/>
              </w:rPr>
            </w:pPr>
            <w:r w:rsidRPr="00D41D10">
              <w:rPr>
                <w:rFonts w:cs="Arial"/>
                <w:color w:val="000000"/>
                <w:sz w:val="20"/>
                <w:lang w:val="en-AU" w:eastAsia="en-AU"/>
              </w:rPr>
              <w:t xml:space="preserve">Coral </w:t>
            </w:r>
            <w:r w:rsidR="005B0BFF">
              <w:rPr>
                <w:rFonts w:cs="Arial"/>
                <w:color w:val="000000"/>
                <w:sz w:val="20"/>
                <w:lang w:val="en-AU" w:eastAsia="en-AU"/>
              </w:rPr>
              <w:t>C</w:t>
            </w:r>
            <w:r w:rsidRPr="00D41D10">
              <w:rPr>
                <w:rFonts w:cs="Arial"/>
                <w:color w:val="000000"/>
                <w:sz w:val="20"/>
                <w:lang w:val="en-AU" w:eastAsia="en-AU"/>
              </w:rPr>
              <w:t>over</w:t>
            </w:r>
          </w:p>
        </w:tc>
        <w:tc>
          <w:tcPr>
            <w:tcW w:w="1134" w:type="dxa"/>
            <w:tcBorders>
              <w:top w:val="single" w:sz="4" w:space="0" w:color="auto"/>
              <w:left w:val="nil"/>
              <w:bottom w:val="single" w:sz="4" w:space="0" w:color="auto"/>
              <w:right w:val="single" w:sz="4" w:space="0" w:color="auto"/>
            </w:tcBorders>
            <w:shd w:val="clear" w:color="auto" w:fill="auto"/>
            <w:noWrap/>
            <w:tcMar>
              <w:left w:w="0" w:type="dxa"/>
              <w:right w:w="0" w:type="dxa"/>
            </w:tcMar>
            <w:vAlign w:val="center"/>
            <w:hideMark/>
          </w:tcPr>
          <w:p w14:paraId="11EA992A" w14:textId="0D0897F8" w:rsidR="00B72345" w:rsidRPr="00D41D10" w:rsidRDefault="00B72345" w:rsidP="005B0BFF">
            <w:pPr>
              <w:spacing w:after="0"/>
              <w:jc w:val="center"/>
              <w:rPr>
                <w:rFonts w:cs="Arial"/>
                <w:color w:val="000000"/>
                <w:sz w:val="20"/>
                <w:lang w:val="en-AU" w:eastAsia="en-AU"/>
              </w:rPr>
            </w:pPr>
            <w:r w:rsidRPr="00D41D10">
              <w:rPr>
                <w:rFonts w:cs="Arial"/>
                <w:color w:val="000000"/>
                <w:sz w:val="20"/>
                <w:lang w:val="en-AU" w:eastAsia="en-AU"/>
              </w:rPr>
              <w:t xml:space="preserve">Juvenile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11EA992B" w14:textId="56F98F01" w:rsidR="00B72345" w:rsidRPr="00D41D10" w:rsidRDefault="005B0BFF" w:rsidP="005B0BFF">
            <w:pPr>
              <w:spacing w:after="0"/>
              <w:jc w:val="center"/>
              <w:rPr>
                <w:rFonts w:cs="Arial"/>
                <w:color w:val="000000"/>
                <w:sz w:val="20"/>
                <w:lang w:val="en-AU" w:eastAsia="en-AU"/>
              </w:rPr>
            </w:pPr>
            <w:r>
              <w:rPr>
                <w:rFonts w:cs="Arial"/>
                <w:color w:val="000000"/>
                <w:sz w:val="20"/>
                <w:lang w:val="en-AU" w:eastAsia="en-AU"/>
              </w:rPr>
              <w:t>Macroalgae</w:t>
            </w:r>
          </w:p>
        </w:tc>
        <w:tc>
          <w:tcPr>
            <w:tcW w:w="1047" w:type="dxa"/>
            <w:tcBorders>
              <w:top w:val="single" w:sz="4" w:space="0" w:color="auto"/>
              <w:left w:val="nil"/>
              <w:bottom w:val="single" w:sz="4" w:space="0" w:color="auto"/>
              <w:right w:val="single" w:sz="4" w:space="0" w:color="auto"/>
            </w:tcBorders>
            <w:shd w:val="clear" w:color="auto" w:fill="auto"/>
            <w:noWrap/>
            <w:vAlign w:val="center"/>
            <w:hideMark/>
          </w:tcPr>
          <w:p w14:paraId="11EA992C" w14:textId="17E45176" w:rsidR="00B72345" w:rsidRPr="00D41D10" w:rsidRDefault="00B72345" w:rsidP="00B72345">
            <w:pPr>
              <w:spacing w:after="0"/>
              <w:jc w:val="center"/>
              <w:rPr>
                <w:rFonts w:cs="Arial"/>
                <w:color w:val="000000"/>
                <w:sz w:val="20"/>
                <w:lang w:val="en-AU" w:eastAsia="en-AU"/>
              </w:rPr>
            </w:pPr>
            <w:r w:rsidRPr="00D41D10">
              <w:rPr>
                <w:rFonts w:cs="Arial"/>
                <w:color w:val="000000"/>
                <w:sz w:val="20"/>
                <w:lang w:val="en-AU" w:eastAsia="en-AU"/>
              </w:rPr>
              <w:t>C</w:t>
            </w:r>
            <w:r w:rsidR="005B0BFF">
              <w:rPr>
                <w:rFonts w:cs="Arial"/>
                <w:color w:val="000000"/>
                <w:sz w:val="20"/>
                <w:lang w:val="en-AU" w:eastAsia="en-AU"/>
              </w:rPr>
              <w:t>oral C</w:t>
            </w:r>
            <w:r w:rsidRPr="00D41D10">
              <w:rPr>
                <w:rFonts w:cs="Arial"/>
                <w:color w:val="000000"/>
                <w:sz w:val="20"/>
                <w:lang w:val="en-AU" w:eastAsia="en-AU"/>
              </w:rPr>
              <w:t>hange</w:t>
            </w:r>
          </w:p>
        </w:tc>
        <w:tc>
          <w:tcPr>
            <w:tcW w:w="1221" w:type="dxa"/>
            <w:tcBorders>
              <w:top w:val="single" w:sz="4" w:space="0" w:color="auto"/>
              <w:left w:val="nil"/>
              <w:bottom w:val="single" w:sz="4" w:space="0" w:color="auto"/>
              <w:right w:val="single" w:sz="4" w:space="0" w:color="auto"/>
            </w:tcBorders>
            <w:shd w:val="clear" w:color="auto" w:fill="auto"/>
            <w:noWrap/>
            <w:vAlign w:val="center"/>
            <w:hideMark/>
          </w:tcPr>
          <w:p w14:paraId="11EA992D" w14:textId="0D898FD0" w:rsidR="00B72345" w:rsidRPr="00D41D10" w:rsidRDefault="005B0BFF" w:rsidP="005B0BFF">
            <w:pPr>
              <w:spacing w:after="0"/>
              <w:jc w:val="center"/>
              <w:rPr>
                <w:rFonts w:cs="Arial"/>
                <w:color w:val="000000"/>
                <w:sz w:val="20"/>
                <w:lang w:val="en-AU" w:eastAsia="en-AU"/>
              </w:rPr>
            </w:pPr>
            <w:r>
              <w:rPr>
                <w:rFonts w:cs="Arial"/>
                <w:color w:val="000000"/>
                <w:sz w:val="20"/>
                <w:lang w:val="en-AU" w:eastAsia="en-AU"/>
              </w:rPr>
              <w:t>C</w:t>
            </w:r>
            <w:r w:rsidR="00B72345" w:rsidRPr="00D41D10">
              <w:rPr>
                <w:rFonts w:cs="Arial"/>
                <w:color w:val="000000"/>
                <w:sz w:val="20"/>
                <w:lang w:val="en-AU" w:eastAsia="en-AU"/>
              </w:rPr>
              <w:t>omposition</w:t>
            </w:r>
          </w:p>
        </w:tc>
        <w:tc>
          <w:tcPr>
            <w:tcW w:w="1117" w:type="dxa"/>
            <w:tcBorders>
              <w:top w:val="single" w:sz="4" w:space="0" w:color="auto"/>
              <w:left w:val="nil"/>
              <w:bottom w:val="single" w:sz="4" w:space="0" w:color="auto"/>
              <w:right w:val="single" w:sz="4" w:space="0" w:color="auto"/>
            </w:tcBorders>
            <w:shd w:val="clear" w:color="auto" w:fill="auto"/>
            <w:noWrap/>
            <w:vAlign w:val="center"/>
            <w:hideMark/>
          </w:tcPr>
          <w:p w14:paraId="11EA992E" w14:textId="77777777" w:rsidR="00B72345" w:rsidRPr="00D41D10" w:rsidRDefault="00B72345" w:rsidP="00B72345">
            <w:pPr>
              <w:spacing w:after="0"/>
              <w:jc w:val="center"/>
              <w:rPr>
                <w:rFonts w:cs="Arial"/>
                <w:color w:val="000000"/>
                <w:sz w:val="20"/>
                <w:lang w:val="en-AU" w:eastAsia="en-AU"/>
              </w:rPr>
            </w:pPr>
            <w:r w:rsidRPr="00D41D10">
              <w:rPr>
                <w:rFonts w:cs="Arial"/>
                <w:color w:val="000000"/>
                <w:sz w:val="20"/>
                <w:lang w:val="en-AU" w:eastAsia="en-AU"/>
              </w:rPr>
              <w:t>Coral index</w:t>
            </w:r>
          </w:p>
        </w:tc>
      </w:tr>
      <w:tr w:rsidR="009C1EA9" w:rsidRPr="00B72345" w14:paraId="11EA9939" w14:textId="77777777" w:rsidTr="002C5D29">
        <w:trPr>
          <w:trHeight w:hRule="exact" w:val="255"/>
        </w:trPr>
        <w:tc>
          <w:tcPr>
            <w:tcW w:w="771"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9930" w14:textId="77777777" w:rsidR="009C1EA9" w:rsidRPr="00D41D10" w:rsidRDefault="009C1EA9" w:rsidP="00B72345">
            <w:pPr>
              <w:spacing w:after="0"/>
              <w:jc w:val="center"/>
              <w:rPr>
                <w:rFonts w:cs="Arial"/>
                <w:color w:val="000000"/>
                <w:szCs w:val="22"/>
                <w:lang w:val="en-AU" w:eastAsia="en-AU"/>
              </w:rPr>
            </w:pPr>
            <w:r w:rsidRPr="00D41D10">
              <w:rPr>
                <w:rFonts w:cs="Arial"/>
                <w:color w:val="000000"/>
                <w:szCs w:val="22"/>
                <w:lang w:val="en-AU" w:eastAsia="en-AU"/>
              </w:rPr>
              <w:t>Daintree</w:t>
            </w:r>
          </w:p>
        </w:tc>
        <w:tc>
          <w:tcPr>
            <w:tcW w:w="1576" w:type="dxa"/>
            <w:tcBorders>
              <w:top w:val="nil"/>
              <w:left w:val="nil"/>
              <w:bottom w:val="single" w:sz="4" w:space="0" w:color="auto"/>
              <w:right w:val="single" w:sz="4" w:space="0" w:color="auto"/>
            </w:tcBorders>
            <w:shd w:val="clear" w:color="auto" w:fill="auto"/>
            <w:noWrap/>
            <w:vAlign w:val="center"/>
            <w:hideMark/>
          </w:tcPr>
          <w:p w14:paraId="11EA9931" w14:textId="77777777" w:rsidR="009C1EA9" w:rsidRPr="00D41D10" w:rsidRDefault="009C1EA9" w:rsidP="00B72345">
            <w:pPr>
              <w:spacing w:after="0"/>
              <w:jc w:val="left"/>
              <w:rPr>
                <w:rFonts w:ascii="Arial Narrow" w:hAnsi="Arial Narrow"/>
                <w:color w:val="000000"/>
                <w:sz w:val="20"/>
                <w:lang w:val="en-AU" w:eastAsia="en-AU"/>
              </w:rPr>
            </w:pPr>
            <w:r w:rsidRPr="00D41D10">
              <w:rPr>
                <w:rFonts w:ascii="Arial Narrow" w:hAnsi="Arial Narrow"/>
                <w:color w:val="000000"/>
                <w:sz w:val="20"/>
                <w:lang w:val="en-AU" w:eastAsia="en-AU"/>
              </w:rPr>
              <w:t>Low Isles</w:t>
            </w:r>
          </w:p>
        </w:tc>
        <w:tc>
          <w:tcPr>
            <w:tcW w:w="284" w:type="dxa"/>
            <w:tcBorders>
              <w:top w:val="nil"/>
              <w:left w:val="nil"/>
              <w:bottom w:val="single" w:sz="4" w:space="0" w:color="auto"/>
              <w:right w:val="single" w:sz="4" w:space="0" w:color="auto"/>
            </w:tcBorders>
            <w:shd w:val="clear" w:color="auto" w:fill="auto"/>
            <w:noWrap/>
            <w:vAlign w:val="center"/>
            <w:hideMark/>
          </w:tcPr>
          <w:p w14:paraId="11EA9932" w14:textId="77777777" w:rsidR="009C1EA9" w:rsidRPr="009C1EA9" w:rsidRDefault="009C1EA9" w:rsidP="00B72345">
            <w:pPr>
              <w:spacing w:after="0"/>
              <w:jc w:val="center"/>
              <w:rPr>
                <w:rFonts w:ascii="Arial Narrow" w:hAnsi="Arial Narrow" w:cs="Arial"/>
                <w:color w:val="000000"/>
                <w:sz w:val="20"/>
                <w:lang w:val="en-AU" w:eastAsia="en-AU"/>
              </w:rPr>
            </w:pPr>
            <w:r w:rsidRPr="009C1EA9">
              <w:rPr>
                <w:rFonts w:ascii="Arial Narrow" w:hAnsi="Arial Narrow" w:cs="Arial"/>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933" w14:textId="04CF31BD"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0.49</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934" w14:textId="1BB3E545"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0.72</w:t>
            </w:r>
          </w:p>
        </w:tc>
        <w:tc>
          <w:tcPr>
            <w:tcW w:w="1134" w:type="dxa"/>
            <w:tcBorders>
              <w:top w:val="nil"/>
              <w:left w:val="nil"/>
              <w:bottom w:val="single" w:sz="4" w:space="0" w:color="auto"/>
              <w:right w:val="single" w:sz="4" w:space="0" w:color="auto"/>
            </w:tcBorders>
            <w:shd w:val="clear" w:color="auto" w:fill="auto"/>
            <w:noWrap/>
            <w:vAlign w:val="bottom"/>
            <w:hideMark/>
          </w:tcPr>
          <w:p w14:paraId="11EA9935" w14:textId="5F6F5817"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11EA9936" w14:textId="4D9343E5"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1.00</w:t>
            </w:r>
          </w:p>
        </w:tc>
        <w:tc>
          <w:tcPr>
            <w:tcW w:w="1221" w:type="dxa"/>
            <w:tcBorders>
              <w:top w:val="nil"/>
              <w:left w:val="nil"/>
              <w:bottom w:val="single" w:sz="4" w:space="0" w:color="auto"/>
              <w:right w:val="single" w:sz="4" w:space="0" w:color="auto"/>
            </w:tcBorders>
            <w:shd w:val="clear" w:color="auto" w:fill="auto"/>
            <w:noWrap/>
            <w:vAlign w:val="bottom"/>
            <w:hideMark/>
          </w:tcPr>
          <w:p w14:paraId="11EA9937" w14:textId="25A0845B"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0.5</w:t>
            </w:r>
          </w:p>
        </w:tc>
        <w:tc>
          <w:tcPr>
            <w:tcW w:w="1117" w:type="dxa"/>
            <w:tcBorders>
              <w:top w:val="nil"/>
              <w:left w:val="nil"/>
              <w:bottom w:val="single" w:sz="4" w:space="0" w:color="auto"/>
              <w:right w:val="single" w:sz="4" w:space="0" w:color="auto"/>
            </w:tcBorders>
            <w:shd w:val="clear" w:color="000000" w:fill="92D050"/>
            <w:noWrap/>
            <w:vAlign w:val="bottom"/>
            <w:hideMark/>
          </w:tcPr>
          <w:p w14:paraId="11EA9938" w14:textId="1A025A92"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0.74</w:t>
            </w:r>
          </w:p>
        </w:tc>
      </w:tr>
      <w:tr w:rsidR="009C1EA9" w:rsidRPr="00B72345" w14:paraId="11EA9943"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93A" w14:textId="77777777" w:rsidR="009C1EA9" w:rsidRPr="00D41D10" w:rsidRDefault="009C1EA9" w:rsidP="00B72345">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93B" w14:textId="77777777" w:rsidR="009C1EA9" w:rsidRPr="00D41D10" w:rsidRDefault="009C1EA9" w:rsidP="00B72345">
            <w:pPr>
              <w:spacing w:after="0"/>
              <w:jc w:val="left"/>
              <w:rPr>
                <w:rFonts w:ascii="Arial Narrow" w:hAnsi="Arial Narrow"/>
                <w:color w:val="000000"/>
                <w:sz w:val="20"/>
                <w:lang w:val="en-AU" w:eastAsia="en-AU"/>
              </w:rPr>
            </w:pPr>
            <w:r w:rsidRPr="00D41D10">
              <w:rPr>
                <w:rFonts w:ascii="Arial Narrow" w:hAnsi="Arial Narrow"/>
                <w:color w:val="000000"/>
                <w:sz w:val="20"/>
                <w:lang w:val="en-AU" w:eastAsia="en-AU"/>
              </w:rPr>
              <w:t>Snapper North</w:t>
            </w:r>
          </w:p>
        </w:tc>
        <w:tc>
          <w:tcPr>
            <w:tcW w:w="284" w:type="dxa"/>
            <w:tcBorders>
              <w:top w:val="nil"/>
              <w:left w:val="nil"/>
              <w:bottom w:val="single" w:sz="4" w:space="0" w:color="auto"/>
              <w:right w:val="single" w:sz="4" w:space="0" w:color="auto"/>
            </w:tcBorders>
            <w:shd w:val="clear" w:color="auto" w:fill="auto"/>
            <w:noWrap/>
            <w:vAlign w:val="center"/>
            <w:hideMark/>
          </w:tcPr>
          <w:p w14:paraId="11EA993C" w14:textId="77777777" w:rsidR="009C1EA9" w:rsidRPr="009C1EA9" w:rsidRDefault="009C1EA9" w:rsidP="00B72345">
            <w:pPr>
              <w:spacing w:after="0"/>
              <w:jc w:val="center"/>
              <w:rPr>
                <w:rFonts w:ascii="Arial Narrow" w:hAnsi="Arial Narrow" w:cs="Arial"/>
                <w:color w:val="000000"/>
                <w:sz w:val="20"/>
                <w:lang w:val="en-AU" w:eastAsia="en-AU"/>
              </w:rPr>
            </w:pPr>
            <w:r w:rsidRPr="009C1EA9">
              <w:rPr>
                <w:rFonts w:ascii="Arial Narrow" w:hAnsi="Arial Narrow" w:cs="Arial"/>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93D" w14:textId="67595FC3"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0.13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93E" w14:textId="6ABBBC0A"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0.06</w:t>
            </w:r>
          </w:p>
        </w:tc>
        <w:tc>
          <w:tcPr>
            <w:tcW w:w="1134" w:type="dxa"/>
            <w:tcBorders>
              <w:top w:val="nil"/>
              <w:left w:val="nil"/>
              <w:bottom w:val="single" w:sz="4" w:space="0" w:color="auto"/>
              <w:right w:val="single" w:sz="4" w:space="0" w:color="auto"/>
            </w:tcBorders>
            <w:shd w:val="clear" w:color="auto" w:fill="auto"/>
            <w:noWrap/>
            <w:vAlign w:val="bottom"/>
            <w:hideMark/>
          </w:tcPr>
          <w:p w14:paraId="11EA993F" w14:textId="3F29C3AB"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940" w14:textId="40445083"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0.51</w:t>
            </w:r>
          </w:p>
        </w:tc>
        <w:tc>
          <w:tcPr>
            <w:tcW w:w="1221" w:type="dxa"/>
            <w:tcBorders>
              <w:top w:val="nil"/>
              <w:left w:val="nil"/>
              <w:bottom w:val="single" w:sz="4" w:space="0" w:color="auto"/>
              <w:right w:val="single" w:sz="4" w:space="0" w:color="auto"/>
            </w:tcBorders>
            <w:shd w:val="clear" w:color="auto" w:fill="auto"/>
            <w:noWrap/>
            <w:vAlign w:val="bottom"/>
            <w:hideMark/>
          </w:tcPr>
          <w:p w14:paraId="11EA9941" w14:textId="17D17FD1"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w:t>
            </w:r>
          </w:p>
        </w:tc>
        <w:tc>
          <w:tcPr>
            <w:tcW w:w="1117" w:type="dxa"/>
            <w:tcBorders>
              <w:top w:val="nil"/>
              <w:left w:val="nil"/>
              <w:bottom w:val="single" w:sz="4" w:space="0" w:color="auto"/>
              <w:right w:val="single" w:sz="4" w:space="0" w:color="auto"/>
            </w:tcBorders>
            <w:shd w:val="clear" w:color="000000" w:fill="FF0000"/>
            <w:noWrap/>
            <w:vAlign w:val="bottom"/>
            <w:hideMark/>
          </w:tcPr>
          <w:p w14:paraId="11EA9942" w14:textId="5B2140AD"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0.14</w:t>
            </w:r>
          </w:p>
        </w:tc>
      </w:tr>
      <w:tr w:rsidR="009C1EA9" w:rsidRPr="00B72345" w14:paraId="11EA994D"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944" w14:textId="77777777" w:rsidR="009C1EA9" w:rsidRPr="00D41D10" w:rsidRDefault="009C1EA9" w:rsidP="00B72345">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945" w14:textId="77777777" w:rsidR="009C1EA9" w:rsidRPr="00D41D10" w:rsidRDefault="009C1EA9" w:rsidP="00B72345">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946" w14:textId="77777777" w:rsidR="009C1EA9" w:rsidRPr="009C1EA9" w:rsidRDefault="009C1EA9" w:rsidP="00B72345">
            <w:pPr>
              <w:spacing w:after="0"/>
              <w:jc w:val="center"/>
              <w:rPr>
                <w:rFonts w:ascii="Arial Narrow" w:hAnsi="Arial Narrow" w:cs="Arial"/>
                <w:color w:val="000000"/>
                <w:sz w:val="20"/>
                <w:lang w:val="en-AU" w:eastAsia="en-AU"/>
              </w:rPr>
            </w:pPr>
            <w:r w:rsidRPr="009C1EA9">
              <w:rPr>
                <w:rFonts w:ascii="Arial Narrow" w:hAnsi="Arial Narrow" w:cs="Arial"/>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947" w14:textId="25BB1F31"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0.34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948" w14:textId="16A85553"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0.17</w:t>
            </w:r>
          </w:p>
        </w:tc>
        <w:tc>
          <w:tcPr>
            <w:tcW w:w="1134" w:type="dxa"/>
            <w:tcBorders>
              <w:top w:val="nil"/>
              <w:left w:val="nil"/>
              <w:bottom w:val="single" w:sz="4" w:space="0" w:color="auto"/>
              <w:right w:val="single" w:sz="4" w:space="0" w:color="auto"/>
            </w:tcBorders>
            <w:shd w:val="clear" w:color="auto" w:fill="auto"/>
            <w:noWrap/>
            <w:vAlign w:val="bottom"/>
            <w:hideMark/>
          </w:tcPr>
          <w:p w14:paraId="11EA9949" w14:textId="52DDFF4F"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0.94</w:t>
            </w:r>
          </w:p>
        </w:tc>
        <w:tc>
          <w:tcPr>
            <w:tcW w:w="1047" w:type="dxa"/>
            <w:tcBorders>
              <w:top w:val="nil"/>
              <w:left w:val="nil"/>
              <w:bottom w:val="single" w:sz="4" w:space="0" w:color="auto"/>
              <w:right w:val="single" w:sz="4" w:space="0" w:color="auto"/>
            </w:tcBorders>
            <w:shd w:val="clear" w:color="auto" w:fill="auto"/>
            <w:noWrap/>
            <w:vAlign w:val="bottom"/>
            <w:hideMark/>
          </w:tcPr>
          <w:p w14:paraId="11EA994A" w14:textId="29984F58"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0.84</w:t>
            </w:r>
          </w:p>
        </w:tc>
        <w:tc>
          <w:tcPr>
            <w:tcW w:w="1221" w:type="dxa"/>
            <w:tcBorders>
              <w:top w:val="nil"/>
              <w:left w:val="nil"/>
              <w:bottom w:val="single" w:sz="4" w:space="0" w:color="auto"/>
              <w:right w:val="single" w:sz="4" w:space="0" w:color="auto"/>
            </w:tcBorders>
            <w:shd w:val="clear" w:color="auto" w:fill="auto"/>
            <w:noWrap/>
            <w:vAlign w:val="bottom"/>
            <w:hideMark/>
          </w:tcPr>
          <w:p w14:paraId="11EA994B" w14:textId="5328AE0C"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w:t>
            </w:r>
          </w:p>
        </w:tc>
        <w:tc>
          <w:tcPr>
            <w:tcW w:w="1117" w:type="dxa"/>
            <w:tcBorders>
              <w:top w:val="nil"/>
              <w:left w:val="nil"/>
              <w:bottom w:val="single" w:sz="4" w:space="0" w:color="auto"/>
              <w:right w:val="single" w:sz="4" w:space="0" w:color="auto"/>
            </w:tcBorders>
            <w:shd w:val="clear" w:color="000000" w:fill="FFFF00"/>
            <w:noWrap/>
            <w:vAlign w:val="bottom"/>
            <w:hideMark/>
          </w:tcPr>
          <w:p w14:paraId="11EA994C" w14:textId="5AA9DC59"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0.46</w:t>
            </w:r>
          </w:p>
        </w:tc>
      </w:tr>
      <w:tr w:rsidR="009C1EA9" w:rsidRPr="00B72345" w14:paraId="11EA9957" w14:textId="77777777" w:rsidTr="00CE239F">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94E" w14:textId="77777777" w:rsidR="009C1EA9" w:rsidRPr="00D41D10" w:rsidRDefault="009C1EA9" w:rsidP="00B72345">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94F" w14:textId="77777777" w:rsidR="009C1EA9" w:rsidRPr="00D41D10" w:rsidRDefault="009C1EA9" w:rsidP="00B72345">
            <w:pPr>
              <w:spacing w:after="0"/>
              <w:jc w:val="left"/>
              <w:rPr>
                <w:rFonts w:ascii="Arial Narrow" w:hAnsi="Arial Narrow"/>
                <w:color w:val="000000"/>
                <w:sz w:val="20"/>
                <w:lang w:val="en-AU" w:eastAsia="en-AU"/>
              </w:rPr>
            </w:pPr>
            <w:r w:rsidRPr="00D41D10">
              <w:rPr>
                <w:rFonts w:ascii="Arial Narrow" w:hAnsi="Arial Narrow"/>
                <w:color w:val="000000"/>
                <w:sz w:val="20"/>
                <w:lang w:val="en-AU" w:eastAsia="en-AU"/>
              </w:rPr>
              <w:t>Snapper South</w:t>
            </w:r>
          </w:p>
        </w:tc>
        <w:tc>
          <w:tcPr>
            <w:tcW w:w="284" w:type="dxa"/>
            <w:tcBorders>
              <w:top w:val="nil"/>
              <w:left w:val="nil"/>
              <w:bottom w:val="single" w:sz="4" w:space="0" w:color="auto"/>
              <w:right w:val="single" w:sz="4" w:space="0" w:color="auto"/>
            </w:tcBorders>
            <w:shd w:val="clear" w:color="auto" w:fill="auto"/>
            <w:noWrap/>
            <w:vAlign w:val="center"/>
            <w:hideMark/>
          </w:tcPr>
          <w:p w14:paraId="11EA9950" w14:textId="77777777" w:rsidR="009C1EA9" w:rsidRPr="009C1EA9" w:rsidRDefault="009C1EA9" w:rsidP="00B72345">
            <w:pPr>
              <w:spacing w:after="0"/>
              <w:jc w:val="center"/>
              <w:rPr>
                <w:rFonts w:ascii="Arial Narrow" w:hAnsi="Arial Narrow" w:cs="Arial"/>
                <w:color w:val="000000"/>
                <w:sz w:val="20"/>
                <w:lang w:val="en-AU" w:eastAsia="en-AU"/>
              </w:rPr>
            </w:pPr>
            <w:r w:rsidRPr="009C1EA9">
              <w:rPr>
                <w:rFonts w:ascii="Arial Narrow" w:hAnsi="Arial Narrow" w:cs="Arial"/>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951" w14:textId="417721F1"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0.65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952" w14:textId="125DEBB4"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0.23</w:t>
            </w:r>
          </w:p>
        </w:tc>
        <w:tc>
          <w:tcPr>
            <w:tcW w:w="1134" w:type="dxa"/>
            <w:tcBorders>
              <w:top w:val="nil"/>
              <w:left w:val="nil"/>
              <w:bottom w:val="single" w:sz="4" w:space="0" w:color="auto"/>
              <w:right w:val="single" w:sz="4" w:space="0" w:color="auto"/>
            </w:tcBorders>
            <w:shd w:val="clear" w:color="auto" w:fill="auto"/>
            <w:noWrap/>
            <w:vAlign w:val="bottom"/>
            <w:hideMark/>
          </w:tcPr>
          <w:p w14:paraId="11EA9953" w14:textId="38280101"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0.75</w:t>
            </w:r>
          </w:p>
        </w:tc>
        <w:tc>
          <w:tcPr>
            <w:tcW w:w="1047" w:type="dxa"/>
            <w:tcBorders>
              <w:top w:val="nil"/>
              <w:left w:val="nil"/>
              <w:bottom w:val="single" w:sz="4" w:space="0" w:color="auto"/>
              <w:right w:val="single" w:sz="4" w:space="0" w:color="auto"/>
            </w:tcBorders>
            <w:shd w:val="clear" w:color="auto" w:fill="auto"/>
            <w:noWrap/>
            <w:vAlign w:val="bottom"/>
            <w:hideMark/>
          </w:tcPr>
          <w:p w14:paraId="11EA9954" w14:textId="71BB4812"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0.64</w:t>
            </w:r>
          </w:p>
        </w:tc>
        <w:tc>
          <w:tcPr>
            <w:tcW w:w="1221" w:type="dxa"/>
            <w:tcBorders>
              <w:top w:val="nil"/>
              <w:left w:val="nil"/>
              <w:bottom w:val="single" w:sz="4" w:space="0" w:color="auto"/>
              <w:right w:val="single" w:sz="4" w:space="0" w:color="auto"/>
            </w:tcBorders>
            <w:shd w:val="clear" w:color="auto" w:fill="auto"/>
            <w:noWrap/>
            <w:vAlign w:val="bottom"/>
            <w:hideMark/>
          </w:tcPr>
          <w:p w14:paraId="11EA9955" w14:textId="32A526D3"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1</w:t>
            </w:r>
          </w:p>
        </w:tc>
        <w:tc>
          <w:tcPr>
            <w:tcW w:w="1117" w:type="dxa"/>
            <w:tcBorders>
              <w:top w:val="nil"/>
              <w:left w:val="nil"/>
              <w:bottom w:val="single" w:sz="4" w:space="0" w:color="auto"/>
              <w:right w:val="single" w:sz="4" w:space="0" w:color="auto"/>
            </w:tcBorders>
            <w:shd w:val="clear" w:color="auto" w:fill="92D050"/>
            <w:noWrap/>
            <w:vAlign w:val="bottom"/>
            <w:hideMark/>
          </w:tcPr>
          <w:p w14:paraId="11EA9956" w14:textId="38C8CA08"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0.65</w:t>
            </w:r>
          </w:p>
        </w:tc>
      </w:tr>
      <w:tr w:rsidR="009C1EA9" w:rsidRPr="00B72345" w14:paraId="11EA9961"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958" w14:textId="77777777" w:rsidR="009C1EA9" w:rsidRPr="00D41D10" w:rsidRDefault="009C1EA9" w:rsidP="00B72345">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959" w14:textId="77777777" w:rsidR="009C1EA9" w:rsidRPr="00D41D10" w:rsidRDefault="009C1EA9" w:rsidP="00B72345">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95A" w14:textId="77777777" w:rsidR="009C1EA9" w:rsidRPr="009C1EA9" w:rsidRDefault="009C1EA9" w:rsidP="00B72345">
            <w:pPr>
              <w:spacing w:after="0"/>
              <w:jc w:val="center"/>
              <w:rPr>
                <w:rFonts w:ascii="Arial Narrow" w:hAnsi="Arial Narrow" w:cs="Arial"/>
                <w:color w:val="000000"/>
                <w:sz w:val="20"/>
                <w:lang w:val="en-AU" w:eastAsia="en-AU"/>
              </w:rPr>
            </w:pPr>
            <w:r w:rsidRPr="009C1EA9">
              <w:rPr>
                <w:rFonts w:ascii="Arial Narrow" w:hAnsi="Arial Narrow" w:cs="Arial"/>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95B" w14:textId="09FB798A"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0.76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95C" w14:textId="0F725470"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0.07</w:t>
            </w:r>
          </w:p>
        </w:tc>
        <w:tc>
          <w:tcPr>
            <w:tcW w:w="1134" w:type="dxa"/>
            <w:tcBorders>
              <w:top w:val="nil"/>
              <w:left w:val="nil"/>
              <w:bottom w:val="single" w:sz="4" w:space="0" w:color="auto"/>
              <w:right w:val="single" w:sz="4" w:space="0" w:color="auto"/>
            </w:tcBorders>
            <w:shd w:val="clear" w:color="auto" w:fill="auto"/>
            <w:noWrap/>
            <w:vAlign w:val="bottom"/>
            <w:hideMark/>
          </w:tcPr>
          <w:p w14:paraId="11EA995D" w14:textId="301E1418"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95E" w14:textId="0CF5BA88"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0.56</w:t>
            </w:r>
          </w:p>
        </w:tc>
        <w:tc>
          <w:tcPr>
            <w:tcW w:w="1221" w:type="dxa"/>
            <w:tcBorders>
              <w:top w:val="nil"/>
              <w:left w:val="nil"/>
              <w:bottom w:val="single" w:sz="4" w:space="0" w:color="auto"/>
              <w:right w:val="single" w:sz="4" w:space="0" w:color="auto"/>
            </w:tcBorders>
            <w:shd w:val="clear" w:color="auto" w:fill="auto"/>
            <w:noWrap/>
            <w:vAlign w:val="bottom"/>
            <w:hideMark/>
          </w:tcPr>
          <w:p w14:paraId="11EA995F" w14:textId="4A01B6C4"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0.5</w:t>
            </w:r>
          </w:p>
        </w:tc>
        <w:tc>
          <w:tcPr>
            <w:tcW w:w="1117" w:type="dxa"/>
            <w:tcBorders>
              <w:top w:val="nil"/>
              <w:left w:val="nil"/>
              <w:bottom w:val="single" w:sz="4" w:space="0" w:color="auto"/>
              <w:right w:val="single" w:sz="4" w:space="0" w:color="auto"/>
            </w:tcBorders>
            <w:shd w:val="clear" w:color="000000" w:fill="FFC000"/>
            <w:noWrap/>
            <w:vAlign w:val="bottom"/>
            <w:hideMark/>
          </w:tcPr>
          <w:p w14:paraId="11EA9960" w14:textId="3ECD625B" w:rsidR="009C1EA9" w:rsidRPr="009C1EA9" w:rsidRDefault="009C1EA9" w:rsidP="009F61B3">
            <w:pPr>
              <w:jc w:val="center"/>
              <w:rPr>
                <w:rFonts w:ascii="Arial Narrow" w:hAnsi="Arial Narrow" w:cs="Arial"/>
                <w:color w:val="000000"/>
                <w:sz w:val="20"/>
              </w:rPr>
            </w:pPr>
            <w:r w:rsidRPr="009C1EA9">
              <w:rPr>
                <w:rFonts w:ascii="Arial Narrow" w:hAnsi="Arial Narrow" w:cs="Arial"/>
                <w:color w:val="000000"/>
                <w:sz w:val="20"/>
              </w:rPr>
              <w:t>0.38</w:t>
            </w:r>
          </w:p>
        </w:tc>
      </w:tr>
      <w:tr w:rsidR="0067057A" w:rsidRPr="00B72345" w14:paraId="082FC666" w14:textId="77777777" w:rsidTr="0067057A">
        <w:trPr>
          <w:trHeight w:hRule="exact" w:val="255"/>
        </w:trPr>
        <w:tc>
          <w:tcPr>
            <w:tcW w:w="2631" w:type="dxa"/>
            <w:gridSpan w:val="3"/>
            <w:tcBorders>
              <w:top w:val="nil"/>
              <w:left w:val="single" w:sz="4" w:space="0" w:color="auto"/>
              <w:bottom w:val="single" w:sz="4" w:space="0" w:color="auto"/>
              <w:right w:val="single" w:sz="4" w:space="0" w:color="auto"/>
            </w:tcBorders>
            <w:shd w:val="clear" w:color="auto" w:fill="FFFF00"/>
            <w:vAlign w:val="center"/>
          </w:tcPr>
          <w:p w14:paraId="14C32B49" w14:textId="713E45ED" w:rsidR="0067057A" w:rsidRPr="009C1EA9" w:rsidRDefault="0067057A" w:rsidP="00B72345">
            <w:pPr>
              <w:spacing w:after="0"/>
              <w:jc w:val="center"/>
              <w:rPr>
                <w:rFonts w:ascii="Arial Narrow" w:hAnsi="Arial Narrow" w:cs="Arial"/>
                <w:color w:val="000000"/>
                <w:sz w:val="20"/>
                <w:lang w:val="en-AU" w:eastAsia="en-AU"/>
              </w:rPr>
            </w:pPr>
            <w:r>
              <w:rPr>
                <w:rFonts w:ascii="Arial Narrow" w:hAnsi="Arial Narrow" w:cs="Arial"/>
                <w:color w:val="000000"/>
                <w:sz w:val="20"/>
                <w:lang w:val="en-AU" w:eastAsia="en-AU"/>
              </w:rPr>
              <w:t>Report Card Score - Moderate</w:t>
            </w:r>
          </w:p>
        </w:tc>
        <w:tc>
          <w:tcPr>
            <w:tcW w:w="1134" w:type="dxa"/>
            <w:tcBorders>
              <w:top w:val="nil"/>
              <w:left w:val="nil"/>
              <w:bottom w:val="single" w:sz="4" w:space="0" w:color="auto"/>
              <w:right w:val="single" w:sz="4" w:space="0" w:color="auto"/>
            </w:tcBorders>
            <w:shd w:val="clear" w:color="auto" w:fill="FFFF00"/>
            <w:noWrap/>
            <w:vAlign w:val="bottom"/>
          </w:tcPr>
          <w:p w14:paraId="1E605BB9" w14:textId="2BDAFD30" w:rsidR="0067057A" w:rsidRPr="009C1EA9" w:rsidRDefault="0067057A" w:rsidP="009F61B3">
            <w:pPr>
              <w:jc w:val="center"/>
              <w:rPr>
                <w:rFonts w:ascii="Arial Narrow" w:hAnsi="Arial Narrow" w:cs="Arial"/>
                <w:color w:val="000000"/>
                <w:sz w:val="20"/>
              </w:rPr>
            </w:pPr>
            <w:r>
              <w:rPr>
                <w:rFonts w:ascii="Arial Narrow" w:hAnsi="Arial Narrow" w:cs="Arial"/>
                <w:color w:val="000000"/>
                <w:sz w:val="20"/>
              </w:rPr>
              <w:t>0.47</w:t>
            </w:r>
          </w:p>
        </w:tc>
        <w:tc>
          <w:tcPr>
            <w:tcW w:w="1134" w:type="dxa"/>
            <w:tcBorders>
              <w:top w:val="nil"/>
              <w:left w:val="nil"/>
              <w:bottom w:val="single" w:sz="4" w:space="0" w:color="auto"/>
              <w:right w:val="single" w:sz="4" w:space="0" w:color="auto"/>
            </w:tcBorders>
            <w:shd w:val="clear" w:color="auto" w:fill="FFC000"/>
            <w:noWrap/>
            <w:tcMar>
              <w:left w:w="0" w:type="dxa"/>
              <w:right w:w="0" w:type="dxa"/>
            </w:tcMar>
            <w:vAlign w:val="bottom"/>
          </w:tcPr>
          <w:p w14:paraId="71AB97A1" w14:textId="0B2FF4E1" w:rsidR="0067057A" w:rsidRPr="009C1EA9" w:rsidRDefault="0067057A" w:rsidP="009F61B3">
            <w:pPr>
              <w:jc w:val="center"/>
              <w:rPr>
                <w:rFonts w:ascii="Arial Narrow" w:hAnsi="Arial Narrow" w:cs="Arial"/>
                <w:color w:val="000000"/>
                <w:sz w:val="20"/>
              </w:rPr>
            </w:pPr>
            <w:r>
              <w:rPr>
                <w:rFonts w:ascii="Arial Narrow" w:hAnsi="Arial Narrow" w:cs="Arial"/>
                <w:color w:val="000000"/>
                <w:sz w:val="20"/>
              </w:rPr>
              <w:t>0.25</w:t>
            </w:r>
          </w:p>
        </w:tc>
        <w:tc>
          <w:tcPr>
            <w:tcW w:w="1134" w:type="dxa"/>
            <w:tcBorders>
              <w:top w:val="nil"/>
              <w:left w:val="nil"/>
              <w:bottom w:val="single" w:sz="4" w:space="0" w:color="auto"/>
              <w:right w:val="single" w:sz="4" w:space="0" w:color="auto"/>
            </w:tcBorders>
            <w:shd w:val="clear" w:color="auto" w:fill="FFFF00"/>
            <w:noWrap/>
            <w:vAlign w:val="bottom"/>
          </w:tcPr>
          <w:p w14:paraId="5EE4EA02" w14:textId="49D2186E" w:rsidR="0067057A" w:rsidRPr="009C1EA9" w:rsidRDefault="0067057A" w:rsidP="009F61B3">
            <w:pPr>
              <w:jc w:val="center"/>
              <w:rPr>
                <w:rFonts w:ascii="Arial Narrow" w:hAnsi="Arial Narrow" w:cs="Arial"/>
                <w:color w:val="000000"/>
                <w:sz w:val="20"/>
              </w:rPr>
            </w:pPr>
            <w:r>
              <w:rPr>
                <w:rFonts w:ascii="Arial Narrow" w:hAnsi="Arial Narrow" w:cs="Arial"/>
                <w:color w:val="000000"/>
                <w:sz w:val="20"/>
              </w:rPr>
              <w:t>0.54</w:t>
            </w:r>
          </w:p>
        </w:tc>
        <w:tc>
          <w:tcPr>
            <w:tcW w:w="1047" w:type="dxa"/>
            <w:tcBorders>
              <w:top w:val="nil"/>
              <w:left w:val="nil"/>
              <w:bottom w:val="single" w:sz="4" w:space="0" w:color="auto"/>
              <w:right w:val="single" w:sz="4" w:space="0" w:color="auto"/>
            </w:tcBorders>
            <w:shd w:val="clear" w:color="auto" w:fill="92D050"/>
            <w:noWrap/>
            <w:vAlign w:val="bottom"/>
          </w:tcPr>
          <w:p w14:paraId="0EF22592" w14:textId="1C0012BF" w:rsidR="0067057A" w:rsidRPr="009C1EA9" w:rsidRDefault="0067057A" w:rsidP="009F61B3">
            <w:pPr>
              <w:jc w:val="center"/>
              <w:rPr>
                <w:rFonts w:ascii="Arial Narrow" w:hAnsi="Arial Narrow" w:cs="Arial"/>
                <w:color w:val="000000"/>
                <w:sz w:val="20"/>
              </w:rPr>
            </w:pPr>
            <w:r>
              <w:rPr>
                <w:rFonts w:ascii="Arial Narrow" w:hAnsi="Arial Narrow" w:cs="Arial"/>
                <w:color w:val="000000"/>
                <w:sz w:val="20"/>
              </w:rPr>
              <w:t>0.71</w:t>
            </w:r>
          </w:p>
        </w:tc>
        <w:tc>
          <w:tcPr>
            <w:tcW w:w="1221" w:type="dxa"/>
            <w:tcBorders>
              <w:top w:val="nil"/>
              <w:left w:val="nil"/>
              <w:bottom w:val="single" w:sz="4" w:space="0" w:color="auto"/>
              <w:right w:val="single" w:sz="4" w:space="0" w:color="auto"/>
            </w:tcBorders>
            <w:shd w:val="clear" w:color="auto" w:fill="FFC000"/>
            <w:noWrap/>
            <w:vAlign w:val="bottom"/>
          </w:tcPr>
          <w:p w14:paraId="7A981984" w14:textId="49DBFA9C" w:rsidR="0067057A" w:rsidRPr="009C1EA9" w:rsidRDefault="0067057A" w:rsidP="009F61B3">
            <w:pPr>
              <w:jc w:val="center"/>
              <w:rPr>
                <w:rFonts w:ascii="Arial Narrow" w:hAnsi="Arial Narrow" w:cs="Arial"/>
                <w:color w:val="000000"/>
                <w:sz w:val="20"/>
              </w:rPr>
            </w:pPr>
            <w:r>
              <w:rPr>
                <w:rFonts w:ascii="Arial Narrow" w:hAnsi="Arial Narrow" w:cs="Arial"/>
                <w:color w:val="000000"/>
                <w:sz w:val="20"/>
              </w:rPr>
              <w:t>0.40</w:t>
            </w:r>
          </w:p>
        </w:tc>
        <w:tc>
          <w:tcPr>
            <w:tcW w:w="1117" w:type="dxa"/>
            <w:tcBorders>
              <w:top w:val="nil"/>
              <w:left w:val="nil"/>
              <w:bottom w:val="single" w:sz="4" w:space="0" w:color="auto"/>
              <w:right w:val="single" w:sz="4" w:space="0" w:color="auto"/>
            </w:tcBorders>
            <w:shd w:val="clear" w:color="auto" w:fill="FFFF00"/>
            <w:noWrap/>
            <w:vAlign w:val="bottom"/>
          </w:tcPr>
          <w:p w14:paraId="3817E819" w14:textId="172A089E" w:rsidR="0067057A" w:rsidRPr="009C1EA9" w:rsidRDefault="0067057A" w:rsidP="009F61B3">
            <w:pPr>
              <w:jc w:val="center"/>
              <w:rPr>
                <w:rFonts w:ascii="Arial Narrow" w:hAnsi="Arial Narrow" w:cs="Arial"/>
                <w:color w:val="000000"/>
                <w:sz w:val="20"/>
              </w:rPr>
            </w:pPr>
            <w:r>
              <w:rPr>
                <w:rFonts w:ascii="Arial Narrow" w:hAnsi="Arial Narrow" w:cs="Arial"/>
                <w:color w:val="000000"/>
                <w:sz w:val="20"/>
              </w:rPr>
              <w:t>0.47</w:t>
            </w:r>
          </w:p>
        </w:tc>
      </w:tr>
      <w:tr w:rsidR="009C1EA9" w:rsidRPr="00B72345" w14:paraId="11EA9975" w14:textId="77777777" w:rsidTr="00CB2C50">
        <w:trPr>
          <w:trHeight w:hRule="exact" w:val="255"/>
        </w:trPr>
        <w:tc>
          <w:tcPr>
            <w:tcW w:w="771" w:type="dxa"/>
            <w:vMerge w:val="restart"/>
            <w:tcBorders>
              <w:top w:val="nil"/>
              <w:left w:val="single" w:sz="4" w:space="0" w:color="auto"/>
              <w:right w:val="single" w:sz="4" w:space="0" w:color="auto"/>
            </w:tcBorders>
            <w:shd w:val="clear" w:color="auto" w:fill="auto"/>
            <w:noWrap/>
            <w:textDirection w:val="btLr"/>
            <w:vAlign w:val="center"/>
          </w:tcPr>
          <w:p w14:paraId="11EA996C" w14:textId="5A6F670B" w:rsidR="009C1EA9" w:rsidRPr="00D41D10" w:rsidRDefault="00C863A5" w:rsidP="00C863A5">
            <w:pPr>
              <w:spacing w:after="0"/>
              <w:jc w:val="center"/>
              <w:rPr>
                <w:rFonts w:cs="Arial"/>
                <w:color w:val="000000"/>
                <w:szCs w:val="22"/>
                <w:lang w:val="en-AU" w:eastAsia="en-AU"/>
              </w:rPr>
            </w:pPr>
            <w:r>
              <w:rPr>
                <w:rFonts w:cs="Arial"/>
                <w:color w:val="000000"/>
                <w:szCs w:val="22"/>
                <w:lang w:val="en-AU" w:eastAsia="en-AU"/>
              </w:rPr>
              <w:t>Johnstone Russell-Mulgrave</w:t>
            </w:r>
          </w:p>
        </w:tc>
        <w:tc>
          <w:tcPr>
            <w:tcW w:w="1576" w:type="dxa"/>
            <w:tcBorders>
              <w:top w:val="nil"/>
              <w:left w:val="single" w:sz="4" w:space="0" w:color="auto"/>
              <w:bottom w:val="single" w:sz="4" w:space="0" w:color="auto"/>
              <w:right w:val="single" w:sz="4" w:space="0" w:color="auto"/>
            </w:tcBorders>
            <w:shd w:val="clear" w:color="auto" w:fill="auto"/>
            <w:noWrap/>
            <w:vAlign w:val="center"/>
          </w:tcPr>
          <w:p w14:paraId="11EA996D" w14:textId="60B5626B" w:rsidR="009C1EA9" w:rsidRPr="00822426" w:rsidRDefault="009C1EA9" w:rsidP="00B72345">
            <w:pPr>
              <w:spacing w:after="0"/>
              <w:jc w:val="left"/>
              <w:rPr>
                <w:rFonts w:ascii="Arial Narrow" w:hAnsi="Arial Narrow"/>
                <w:color w:val="000000"/>
                <w:sz w:val="20"/>
                <w:lang w:val="en-AU" w:eastAsia="en-AU"/>
              </w:rPr>
            </w:pPr>
            <w:r w:rsidRPr="00822426">
              <w:rPr>
                <w:rFonts w:ascii="Arial Narrow" w:hAnsi="Arial Narrow"/>
                <w:color w:val="000000"/>
                <w:sz w:val="20"/>
                <w:lang w:val="en-AU" w:eastAsia="en-AU"/>
              </w:rPr>
              <w:t>Green</w:t>
            </w:r>
          </w:p>
        </w:tc>
        <w:tc>
          <w:tcPr>
            <w:tcW w:w="284" w:type="dxa"/>
            <w:tcBorders>
              <w:top w:val="nil"/>
              <w:left w:val="nil"/>
              <w:bottom w:val="single" w:sz="4" w:space="0" w:color="auto"/>
              <w:right w:val="single" w:sz="4" w:space="0" w:color="auto"/>
            </w:tcBorders>
            <w:shd w:val="clear" w:color="auto" w:fill="auto"/>
            <w:noWrap/>
            <w:vAlign w:val="center"/>
          </w:tcPr>
          <w:p w14:paraId="11EA996E" w14:textId="79A8EDBD" w:rsidR="009C1EA9" w:rsidRPr="00822426" w:rsidRDefault="009C1EA9" w:rsidP="00B72345">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11EA996F" w14:textId="24AA9A87"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0.16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970" w14:textId="3FF6FAD2"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11EA9971" w14:textId="01011299"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0.68</w:t>
            </w:r>
          </w:p>
        </w:tc>
        <w:tc>
          <w:tcPr>
            <w:tcW w:w="1047" w:type="dxa"/>
            <w:tcBorders>
              <w:top w:val="nil"/>
              <w:left w:val="nil"/>
              <w:bottom w:val="single" w:sz="4" w:space="0" w:color="auto"/>
              <w:right w:val="single" w:sz="4" w:space="0" w:color="auto"/>
            </w:tcBorders>
            <w:shd w:val="clear" w:color="auto" w:fill="auto"/>
            <w:noWrap/>
            <w:vAlign w:val="bottom"/>
          </w:tcPr>
          <w:p w14:paraId="11EA9972" w14:textId="67513EE5" w:rsidR="009C1EA9" w:rsidRPr="00822426" w:rsidRDefault="003C5153" w:rsidP="009F61B3">
            <w:pPr>
              <w:jc w:val="center"/>
              <w:rPr>
                <w:rFonts w:ascii="Arial Narrow" w:hAnsi="Arial Narrow"/>
                <w:color w:val="000000"/>
                <w:sz w:val="20"/>
              </w:rPr>
            </w:pPr>
            <w:r>
              <w:rPr>
                <w:rFonts w:ascii="Arial Narrow" w:hAnsi="Arial Narrow"/>
                <w:color w:val="000000"/>
                <w:sz w:val="20"/>
              </w:rPr>
              <w:t>NA</w:t>
            </w:r>
          </w:p>
        </w:tc>
        <w:tc>
          <w:tcPr>
            <w:tcW w:w="1221" w:type="dxa"/>
            <w:tcBorders>
              <w:top w:val="nil"/>
              <w:left w:val="nil"/>
              <w:bottom w:val="single" w:sz="4" w:space="0" w:color="auto"/>
              <w:right w:val="single" w:sz="4" w:space="0" w:color="auto"/>
            </w:tcBorders>
            <w:shd w:val="clear" w:color="auto" w:fill="auto"/>
            <w:noWrap/>
            <w:vAlign w:val="bottom"/>
          </w:tcPr>
          <w:p w14:paraId="11EA9973" w14:textId="44A87D5F"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w:t>
            </w:r>
          </w:p>
        </w:tc>
        <w:tc>
          <w:tcPr>
            <w:tcW w:w="1117" w:type="dxa"/>
            <w:tcBorders>
              <w:top w:val="nil"/>
              <w:left w:val="nil"/>
              <w:bottom w:val="single" w:sz="4" w:space="0" w:color="auto"/>
              <w:right w:val="single" w:sz="4" w:space="0" w:color="auto"/>
            </w:tcBorders>
            <w:shd w:val="clear" w:color="auto" w:fill="FFFF00"/>
            <w:noWrap/>
            <w:vAlign w:val="bottom"/>
          </w:tcPr>
          <w:p w14:paraId="11EA9974" w14:textId="299FB369" w:rsidR="009C1EA9" w:rsidRPr="00822426" w:rsidRDefault="009C1EA9" w:rsidP="00CB2C50">
            <w:pPr>
              <w:jc w:val="center"/>
              <w:rPr>
                <w:rFonts w:ascii="Arial Narrow" w:hAnsi="Arial Narrow"/>
                <w:color w:val="000000"/>
                <w:sz w:val="20"/>
              </w:rPr>
            </w:pPr>
            <w:r w:rsidRPr="00822426">
              <w:rPr>
                <w:rFonts w:ascii="Arial Narrow" w:hAnsi="Arial Narrow"/>
                <w:color w:val="000000"/>
                <w:sz w:val="20"/>
              </w:rPr>
              <w:t>0.</w:t>
            </w:r>
            <w:r w:rsidR="00CB2C50">
              <w:rPr>
                <w:rFonts w:ascii="Arial Narrow" w:hAnsi="Arial Narrow"/>
                <w:color w:val="000000"/>
                <w:sz w:val="20"/>
              </w:rPr>
              <w:t>46</w:t>
            </w:r>
          </w:p>
        </w:tc>
      </w:tr>
      <w:tr w:rsidR="009C1EA9" w:rsidRPr="00B72345" w14:paraId="11EA997F" w14:textId="77777777" w:rsidTr="002E42E5">
        <w:trPr>
          <w:trHeight w:hRule="exact" w:val="255"/>
        </w:trPr>
        <w:tc>
          <w:tcPr>
            <w:tcW w:w="771" w:type="dxa"/>
            <w:vMerge/>
            <w:tcBorders>
              <w:left w:val="single" w:sz="4" w:space="0" w:color="auto"/>
              <w:right w:val="single" w:sz="4" w:space="0" w:color="auto"/>
            </w:tcBorders>
            <w:shd w:val="clear" w:color="auto" w:fill="auto"/>
            <w:noWrap/>
            <w:textDirection w:val="btLr"/>
            <w:vAlign w:val="center"/>
          </w:tcPr>
          <w:p w14:paraId="11EA9976" w14:textId="77777777" w:rsidR="009C1EA9" w:rsidRPr="00D41D10" w:rsidRDefault="009C1EA9" w:rsidP="00B72345">
            <w:pPr>
              <w:spacing w:after="0"/>
              <w:jc w:val="center"/>
              <w:rPr>
                <w:rFonts w:cs="Arial"/>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11EA9977" w14:textId="3FBF3393" w:rsidR="009C1EA9" w:rsidRPr="00822426" w:rsidRDefault="009C1EA9" w:rsidP="00B72345">
            <w:pPr>
              <w:spacing w:after="0"/>
              <w:jc w:val="left"/>
              <w:rPr>
                <w:rFonts w:ascii="Arial Narrow" w:hAnsi="Arial Narrow"/>
                <w:color w:val="000000"/>
                <w:sz w:val="20"/>
                <w:lang w:val="en-AU" w:eastAsia="en-AU"/>
              </w:rPr>
            </w:pPr>
            <w:r w:rsidRPr="00822426">
              <w:rPr>
                <w:rFonts w:ascii="Arial Narrow" w:hAnsi="Arial Narrow"/>
                <w:color w:val="000000"/>
                <w:sz w:val="20"/>
                <w:lang w:val="en-AU" w:eastAsia="en-AU"/>
              </w:rPr>
              <w:t>Fitzroy East</w:t>
            </w:r>
          </w:p>
        </w:tc>
        <w:tc>
          <w:tcPr>
            <w:tcW w:w="284" w:type="dxa"/>
            <w:tcBorders>
              <w:top w:val="nil"/>
              <w:left w:val="nil"/>
              <w:bottom w:val="single" w:sz="4" w:space="0" w:color="auto"/>
              <w:right w:val="single" w:sz="4" w:space="0" w:color="auto"/>
            </w:tcBorders>
            <w:shd w:val="clear" w:color="auto" w:fill="auto"/>
            <w:noWrap/>
            <w:vAlign w:val="center"/>
          </w:tcPr>
          <w:p w14:paraId="11EA9978" w14:textId="519AEE92" w:rsidR="009C1EA9" w:rsidRPr="00822426" w:rsidRDefault="009C1EA9" w:rsidP="00B72345">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11EA9979" w14:textId="6E234EE2" w:rsidR="009C1EA9" w:rsidRPr="00822426" w:rsidRDefault="009C1EA9" w:rsidP="003C5153">
            <w:pPr>
              <w:jc w:val="center"/>
              <w:rPr>
                <w:rFonts w:ascii="Arial Narrow" w:hAnsi="Arial Narrow"/>
                <w:color w:val="000000"/>
                <w:sz w:val="20"/>
              </w:rPr>
            </w:pPr>
            <w:r w:rsidRPr="00822426">
              <w:rPr>
                <w:rFonts w:ascii="Arial Narrow" w:hAnsi="Arial Narrow"/>
                <w:color w:val="000000"/>
                <w:sz w:val="20"/>
              </w:rPr>
              <w:t>0.4</w:t>
            </w:r>
            <w:r w:rsidR="003C5153">
              <w:rPr>
                <w:rFonts w:ascii="Arial Narrow" w:hAnsi="Arial Narrow"/>
                <w:color w:val="000000"/>
                <w:sz w:val="20"/>
              </w:rPr>
              <w:t>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97A" w14:textId="031E89BC"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0.29</w:t>
            </w:r>
          </w:p>
        </w:tc>
        <w:tc>
          <w:tcPr>
            <w:tcW w:w="1134" w:type="dxa"/>
            <w:tcBorders>
              <w:top w:val="nil"/>
              <w:left w:val="nil"/>
              <w:bottom w:val="single" w:sz="4" w:space="0" w:color="auto"/>
              <w:right w:val="single" w:sz="4" w:space="0" w:color="auto"/>
            </w:tcBorders>
            <w:shd w:val="clear" w:color="auto" w:fill="auto"/>
            <w:noWrap/>
            <w:vAlign w:val="bottom"/>
          </w:tcPr>
          <w:p w14:paraId="11EA997B" w14:textId="45969D81"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tcPr>
          <w:p w14:paraId="11EA997C" w14:textId="3E253E26"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1.00</w:t>
            </w:r>
          </w:p>
        </w:tc>
        <w:tc>
          <w:tcPr>
            <w:tcW w:w="1221" w:type="dxa"/>
            <w:tcBorders>
              <w:top w:val="nil"/>
              <w:left w:val="nil"/>
              <w:bottom w:val="single" w:sz="4" w:space="0" w:color="auto"/>
              <w:right w:val="single" w:sz="4" w:space="0" w:color="auto"/>
            </w:tcBorders>
            <w:shd w:val="clear" w:color="auto" w:fill="auto"/>
            <w:noWrap/>
            <w:vAlign w:val="bottom"/>
          </w:tcPr>
          <w:p w14:paraId="11EA997D" w14:textId="35CE11F2"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000000" w:fill="92D050"/>
            <w:noWrap/>
            <w:vAlign w:val="bottom"/>
          </w:tcPr>
          <w:p w14:paraId="11EA997E" w14:textId="3D933819"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0.66</w:t>
            </w:r>
          </w:p>
        </w:tc>
      </w:tr>
      <w:tr w:rsidR="009C1EA9" w:rsidRPr="00B72345" w14:paraId="11EA9989" w14:textId="77777777" w:rsidTr="002E42E5">
        <w:trPr>
          <w:trHeight w:hRule="exact" w:val="255"/>
        </w:trPr>
        <w:tc>
          <w:tcPr>
            <w:tcW w:w="771" w:type="dxa"/>
            <w:vMerge/>
            <w:tcBorders>
              <w:left w:val="single" w:sz="4" w:space="0" w:color="auto"/>
              <w:right w:val="single" w:sz="4" w:space="0" w:color="auto"/>
            </w:tcBorders>
            <w:vAlign w:val="center"/>
          </w:tcPr>
          <w:p w14:paraId="11EA9980" w14:textId="77777777" w:rsidR="009C1EA9" w:rsidRPr="00D41D10" w:rsidRDefault="009C1EA9" w:rsidP="00B72345">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tcPr>
          <w:p w14:paraId="11EA9981" w14:textId="77777777" w:rsidR="009C1EA9" w:rsidRPr="00822426" w:rsidRDefault="009C1EA9" w:rsidP="00B72345">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tcPr>
          <w:p w14:paraId="11EA9982" w14:textId="1C68F019" w:rsidR="009C1EA9" w:rsidRPr="00822426" w:rsidRDefault="009C1EA9" w:rsidP="00B72345">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11EA9983" w14:textId="53DBDFFD"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0.51</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984" w14:textId="352CBCA3"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0.49</w:t>
            </w:r>
          </w:p>
        </w:tc>
        <w:tc>
          <w:tcPr>
            <w:tcW w:w="1134" w:type="dxa"/>
            <w:tcBorders>
              <w:top w:val="nil"/>
              <w:left w:val="nil"/>
              <w:bottom w:val="single" w:sz="4" w:space="0" w:color="auto"/>
              <w:right w:val="single" w:sz="4" w:space="0" w:color="auto"/>
            </w:tcBorders>
            <w:shd w:val="clear" w:color="auto" w:fill="auto"/>
            <w:noWrap/>
            <w:vAlign w:val="bottom"/>
          </w:tcPr>
          <w:p w14:paraId="11EA9985" w14:textId="104D76E2"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0.97</w:t>
            </w:r>
          </w:p>
        </w:tc>
        <w:tc>
          <w:tcPr>
            <w:tcW w:w="1047" w:type="dxa"/>
            <w:tcBorders>
              <w:top w:val="nil"/>
              <w:left w:val="nil"/>
              <w:bottom w:val="single" w:sz="4" w:space="0" w:color="auto"/>
              <w:right w:val="single" w:sz="4" w:space="0" w:color="auto"/>
            </w:tcBorders>
            <w:shd w:val="clear" w:color="auto" w:fill="auto"/>
            <w:noWrap/>
            <w:vAlign w:val="bottom"/>
          </w:tcPr>
          <w:p w14:paraId="11EA9986" w14:textId="06D68263"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1.00</w:t>
            </w:r>
          </w:p>
        </w:tc>
        <w:tc>
          <w:tcPr>
            <w:tcW w:w="1221" w:type="dxa"/>
            <w:tcBorders>
              <w:top w:val="nil"/>
              <w:left w:val="nil"/>
              <w:bottom w:val="single" w:sz="4" w:space="0" w:color="auto"/>
              <w:right w:val="single" w:sz="4" w:space="0" w:color="auto"/>
            </w:tcBorders>
            <w:shd w:val="clear" w:color="auto" w:fill="auto"/>
            <w:noWrap/>
            <w:vAlign w:val="bottom"/>
          </w:tcPr>
          <w:p w14:paraId="11EA9987" w14:textId="6E54D1F9"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w:t>
            </w:r>
          </w:p>
        </w:tc>
        <w:tc>
          <w:tcPr>
            <w:tcW w:w="1117" w:type="dxa"/>
            <w:tcBorders>
              <w:top w:val="nil"/>
              <w:left w:val="nil"/>
              <w:bottom w:val="single" w:sz="4" w:space="0" w:color="auto"/>
              <w:right w:val="single" w:sz="4" w:space="0" w:color="auto"/>
            </w:tcBorders>
            <w:shd w:val="clear" w:color="000000" w:fill="FFFF00"/>
            <w:noWrap/>
            <w:vAlign w:val="bottom"/>
          </w:tcPr>
          <w:p w14:paraId="11EA9988" w14:textId="47083EA2"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0.59</w:t>
            </w:r>
          </w:p>
        </w:tc>
      </w:tr>
      <w:tr w:rsidR="009C1EA9" w:rsidRPr="00B72345" w14:paraId="11EA9993" w14:textId="77777777" w:rsidTr="002E42E5">
        <w:trPr>
          <w:trHeight w:hRule="exact" w:val="255"/>
        </w:trPr>
        <w:tc>
          <w:tcPr>
            <w:tcW w:w="771" w:type="dxa"/>
            <w:vMerge/>
            <w:tcBorders>
              <w:left w:val="single" w:sz="4" w:space="0" w:color="auto"/>
              <w:right w:val="single" w:sz="4" w:space="0" w:color="auto"/>
            </w:tcBorders>
            <w:vAlign w:val="center"/>
          </w:tcPr>
          <w:p w14:paraId="11EA998A" w14:textId="77777777" w:rsidR="009C1EA9" w:rsidRPr="00D41D10" w:rsidRDefault="009C1EA9" w:rsidP="00B72345">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11EA998B" w14:textId="4D604F4A" w:rsidR="009C1EA9" w:rsidRPr="00822426" w:rsidRDefault="009C1EA9" w:rsidP="009F61B3">
            <w:pPr>
              <w:spacing w:after="0"/>
              <w:jc w:val="left"/>
              <w:rPr>
                <w:rFonts w:ascii="Arial Narrow" w:hAnsi="Arial Narrow"/>
                <w:color w:val="000000"/>
                <w:sz w:val="20"/>
                <w:lang w:val="en-AU" w:eastAsia="en-AU"/>
              </w:rPr>
            </w:pPr>
            <w:r w:rsidRPr="00822426">
              <w:rPr>
                <w:rFonts w:ascii="Arial Narrow" w:hAnsi="Arial Narrow"/>
                <w:color w:val="000000"/>
                <w:sz w:val="20"/>
                <w:lang w:val="en-AU" w:eastAsia="en-AU"/>
              </w:rPr>
              <w:t>Franklands East</w:t>
            </w:r>
          </w:p>
        </w:tc>
        <w:tc>
          <w:tcPr>
            <w:tcW w:w="284" w:type="dxa"/>
            <w:tcBorders>
              <w:top w:val="nil"/>
              <w:left w:val="nil"/>
              <w:bottom w:val="single" w:sz="4" w:space="0" w:color="auto"/>
              <w:right w:val="single" w:sz="4" w:space="0" w:color="auto"/>
            </w:tcBorders>
            <w:shd w:val="clear" w:color="auto" w:fill="auto"/>
            <w:noWrap/>
            <w:vAlign w:val="center"/>
          </w:tcPr>
          <w:p w14:paraId="11EA998C" w14:textId="41D617EA" w:rsidR="009C1EA9" w:rsidRPr="00822426" w:rsidRDefault="009C1EA9" w:rsidP="00B72345">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11EA998D" w14:textId="2257AC63"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0.48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98E" w14:textId="187D1C26"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0.25</w:t>
            </w:r>
          </w:p>
        </w:tc>
        <w:tc>
          <w:tcPr>
            <w:tcW w:w="1134" w:type="dxa"/>
            <w:tcBorders>
              <w:top w:val="nil"/>
              <w:left w:val="nil"/>
              <w:bottom w:val="single" w:sz="4" w:space="0" w:color="auto"/>
              <w:right w:val="single" w:sz="4" w:space="0" w:color="auto"/>
            </w:tcBorders>
            <w:shd w:val="clear" w:color="auto" w:fill="auto"/>
            <w:noWrap/>
            <w:vAlign w:val="bottom"/>
          </w:tcPr>
          <w:p w14:paraId="11EA998F" w14:textId="12AD8A8A"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0.60</w:t>
            </w:r>
          </w:p>
        </w:tc>
        <w:tc>
          <w:tcPr>
            <w:tcW w:w="1047" w:type="dxa"/>
            <w:tcBorders>
              <w:top w:val="nil"/>
              <w:left w:val="nil"/>
              <w:bottom w:val="single" w:sz="4" w:space="0" w:color="auto"/>
              <w:right w:val="single" w:sz="4" w:space="0" w:color="auto"/>
            </w:tcBorders>
            <w:shd w:val="clear" w:color="auto" w:fill="auto"/>
            <w:noWrap/>
            <w:vAlign w:val="bottom"/>
          </w:tcPr>
          <w:p w14:paraId="11EA9990" w14:textId="26A89478"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0.46</w:t>
            </w:r>
          </w:p>
        </w:tc>
        <w:tc>
          <w:tcPr>
            <w:tcW w:w="1221" w:type="dxa"/>
            <w:tcBorders>
              <w:top w:val="nil"/>
              <w:left w:val="nil"/>
              <w:bottom w:val="single" w:sz="4" w:space="0" w:color="auto"/>
              <w:right w:val="single" w:sz="4" w:space="0" w:color="auto"/>
            </w:tcBorders>
            <w:shd w:val="clear" w:color="auto" w:fill="auto"/>
            <w:noWrap/>
            <w:vAlign w:val="bottom"/>
          </w:tcPr>
          <w:p w14:paraId="11EA9991" w14:textId="2C548C3F"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FFFF00"/>
            <w:noWrap/>
            <w:vAlign w:val="bottom"/>
          </w:tcPr>
          <w:p w14:paraId="11EA9992" w14:textId="42951FC2"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0.46</w:t>
            </w:r>
          </w:p>
        </w:tc>
      </w:tr>
      <w:tr w:rsidR="009C1EA9" w:rsidRPr="00B72345" w14:paraId="11EA999D" w14:textId="77777777" w:rsidTr="002E42E5">
        <w:trPr>
          <w:trHeight w:hRule="exact" w:val="255"/>
        </w:trPr>
        <w:tc>
          <w:tcPr>
            <w:tcW w:w="771" w:type="dxa"/>
            <w:vMerge/>
            <w:tcBorders>
              <w:left w:val="single" w:sz="4" w:space="0" w:color="auto"/>
              <w:right w:val="single" w:sz="4" w:space="0" w:color="auto"/>
            </w:tcBorders>
            <w:vAlign w:val="center"/>
          </w:tcPr>
          <w:p w14:paraId="11EA9994" w14:textId="77777777" w:rsidR="009C1EA9" w:rsidRPr="00D41D10" w:rsidRDefault="009C1EA9" w:rsidP="00B72345">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tcPr>
          <w:p w14:paraId="11EA9995" w14:textId="77777777" w:rsidR="009C1EA9" w:rsidRPr="00822426" w:rsidRDefault="009C1EA9" w:rsidP="00B72345">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tcPr>
          <w:p w14:paraId="11EA9996" w14:textId="7C1F29EA" w:rsidR="009C1EA9" w:rsidRPr="00822426" w:rsidRDefault="009C1EA9" w:rsidP="00B72345">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11EA9997" w14:textId="6DF02B44"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0.67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998" w14:textId="31B8CF15"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0.32</w:t>
            </w:r>
          </w:p>
        </w:tc>
        <w:tc>
          <w:tcPr>
            <w:tcW w:w="1134" w:type="dxa"/>
            <w:tcBorders>
              <w:top w:val="nil"/>
              <w:left w:val="nil"/>
              <w:bottom w:val="single" w:sz="4" w:space="0" w:color="auto"/>
              <w:right w:val="single" w:sz="4" w:space="0" w:color="auto"/>
            </w:tcBorders>
            <w:shd w:val="clear" w:color="auto" w:fill="auto"/>
            <w:noWrap/>
            <w:vAlign w:val="bottom"/>
          </w:tcPr>
          <w:p w14:paraId="11EA9999" w14:textId="19ED2A61"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tcPr>
          <w:p w14:paraId="11EA999A" w14:textId="3A7F853C"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0.91</w:t>
            </w:r>
          </w:p>
        </w:tc>
        <w:tc>
          <w:tcPr>
            <w:tcW w:w="1221" w:type="dxa"/>
            <w:tcBorders>
              <w:top w:val="nil"/>
              <w:left w:val="nil"/>
              <w:bottom w:val="single" w:sz="4" w:space="0" w:color="auto"/>
              <w:right w:val="single" w:sz="4" w:space="0" w:color="auto"/>
            </w:tcBorders>
            <w:shd w:val="clear" w:color="auto" w:fill="auto"/>
            <w:noWrap/>
            <w:vAlign w:val="bottom"/>
          </w:tcPr>
          <w:p w14:paraId="11EA999B" w14:textId="492718E7"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1</w:t>
            </w:r>
          </w:p>
        </w:tc>
        <w:tc>
          <w:tcPr>
            <w:tcW w:w="1117" w:type="dxa"/>
            <w:tcBorders>
              <w:top w:val="nil"/>
              <w:left w:val="nil"/>
              <w:bottom w:val="single" w:sz="4" w:space="0" w:color="auto"/>
              <w:right w:val="single" w:sz="4" w:space="0" w:color="auto"/>
            </w:tcBorders>
            <w:shd w:val="clear" w:color="auto" w:fill="FFFF00"/>
            <w:noWrap/>
            <w:vAlign w:val="bottom"/>
          </w:tcPr>
          <w:p w14:paraId="11EA999C" w14:textId="7BF3220B"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0.58</w:t>
            </w:r>
          </w:p>
        </w:tc>
      </w:tr>
      <w:tr w:rsidR="009C1EA9" w:rsidRPr="00B72345" w14:paraId="11EA99A7" w14:textId="77777777" w:rsidTr="002E42E5">
        <w:trPr>
          <w:trHeight w:hRule="exact" w:val="255"/>
        </w:trPr>
        <w:tc>
          <w:tcPr>
            <w:tcW w:w="771" w:type="dxa"/>
            <w:vMerge/>
            <w:tcBorders>
              <w:left w:val="single" w:sz="4" w:space="0" w:color="auto"/>
              <w:right w:val="single" w:sz="4" w:space="0" w:color="auto"/>
            </w:tcBorders>
            <w:vAlign w:val="center"/>
          </w:tcPr>
          <w:p w14:paraId="11EA999E" w14:textId="77777777" w:rsidR="009C1EA9" w:rsidRPr="00D41D10" w:rsidRDefault="009C1EA9" w:rsidP="00B72345">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11EA999F" w14:textId="3334A838" w:rsidR="009C1EA9" w:rsidRPr="00822426" w:rsidRDefault="009C1EA9" w:rsidP="009F61B3">
            <w:pPr>
              <w:spacing w:after="0"/>
              <w:jc w:val="left"/>
              <w:rPr>
                <w:rFonts w:ascii="Arial Narrow" w:hAnsi="Arial Narrow"/>
                <w:color w:val="000000"/>
                <w:sz w:val="20"/>
                <w:lang w:val="en-AU" w:eastAsia="en-AU"/>
              </w:rPr>
            </w:pPr>
            <w:r w:rsidRPr="00822426">
              <w:rPr>
                <w:rFonts w:ascii="Arial Narrow" w:hAnsi="Arial Narrow"/>
                <w:color w:val="000000"/>
                <w:sz w:val="20"/>
                <w:lang w:val="en-AU" w:eastAsia="en-AU"/>
              </w:rPr>
              <w:t>Fitzroy West</w:t>
            </w:r>
          </w:p>
        </w:tc>
        <w:tc>
          <w:tcPr>
            <w:tcW w:w="284" w:type="dxa"/>
            <w:tcBorders>
              <w:top w:val="nil"/>
              <w:left w:val="nil"/>
              <w:bottom w:val="single" w:sz="4" w:space="0" w:color="auto"/>
              <w:right w:val="single" w:sz="4" w:space="0" w:color="auto"/>
            </w:tcBorders>
            <w:shd w:val="clear" w:color="auto" w:fill="auto"/>
            <w:noWrap/>
            <w:vAlign w:val="center"/>
          </w:tcPr>
          <w:p w14:paraId="11EA99A0" w14:textId="5CCB8838" w:rsidR="009C1EA9" w:rsidRPr="00822426" w:rsidRDefault="009C1EA9" w:rsidP="00B72345">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11EA99A1" w14:textId="396DEED1"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0.98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9A2" w14:textId="496F9447"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0.49</w:t>
            </w:r>
          </w:p>
        </w:tc>
        <w:tc>
          <w:tcPr>
            <w:tcW w:w="1134" w:type="dxa"/>
            <w:tcBorders>
              <w:top w:val="nil"/>
              <w:left w:val="nil"/>
              <w:bottom w:val="single" w:sz="4" w:space="0" w:color="auto"/>
              <w:right w:val="single" w:sz="4" w:space="0" w:color="auto"/>
            </w:tcBorders>
            <w:shd w:val="clear" w:color="auto" w:fill="auto"/>
            <w:noWrap/>
            <w:vAlign w:val="bottom"/>
          </w:tcPr>
          <w:p w14:paraId="11EA99A3" w14:textId="58984527"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tcPr>
          <w:p w14:paraId="11EA99A4" w14:textId="64A1CF71"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0.94</w:t>
            </w:r>
          </w:p>
        </w:tc>
        <w:tc>
          <w:tcPr>
            <w:tcW w:w="1221" w:type="dxa"/>
            <w:tcBorders>
              <w:top w:val="nil"/>
              <w:left w:val="nil"/>
              <w:bottom w:val="single" w:sz="4" w:space="0" w:color="auto"/>
              <w:right w:val="single" w:sz="4" w:space="0" w:color="auto"/>
            </w:tcBorders>
            <w:shd w:val="clear" w:color="auto" w:fill="auto"/>
            <w:noWrap/>
            <w:vAlign w:val="bottom"/>
          </w:tcPr>
          <w:p w14:paraId="11EA99A5" w14:textId="2EA01FEF"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92D050"/>
            <w:noWrap/>
            <w:vAlign w:val="bottom"/>
          </w:tcPr>
          <w:p w14:paraId="11EA99A6" w14:textId="4FF5CD4B"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0.78</w:t>
            </w:r>
          </w:p>
        </w:tc>
      </w:tr>
      <w:tr w:rsidR="009C1EA9" w:rsidRPr="00B72345" w14:paraId="11EA99B1" w14:textId="77777777" w:rsidTr="002E42E5">
        <w:trPr>
          <w:trHeight w:hRule="exact" w:val="255"/>
        </w:trPr>
        <w:tc>
          <w:tcPr>
            <w:tcW w:w="771" w:type="dxa"/>
            <w:vMerge/>
            <w:tcBorders>
              <w:left w:val="single" w:sz="4" w:space="0" w:color="auto"/>
              <w:right w:val="single" w:sz="4" w:space="0" w:color="auto"/>
            </w:tcBorders>
            <w:vAlign w:val="center"/>
          </w:tcPr>
          <w:p w14:paraId="11EA99A8" w14:textId="77777777" w:rsidR="009C1EA9" w:rsidRPr="00D41D10" w:rsidRDefault="009C1EA9" w:rsidP="00B72345">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tcPr>
          <w:p w14:paraId="11EA99A9" w14:textId="77777777" w:rsidR="009C1EA9" w:rsidRPr="00822426" w:rsidRDefault="009C1EA9" w:rsidP="00B72345">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tcPr>
          <w:p w14:paraId="11EA99AA" w14:textId="034FE547" w:rsidR="009C1EA9" w:rsidRPr="00822426" w:rsidRDefault="009C1EA9" w:rsidP="00B72345">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11EA99AB" w14:textId="23D19C4D"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0.81</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9AC" w14:textId="3B65F896"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0.50</w:t>
            </w:r>
          </w:p>
        </w:tc>
        <w:tc>
          <w:tcPr>
            <w:tcW w:w="1134" w:type="dxa"/>
            <w:tcBorders>
              <w:top w:val="nil"/>
              <w:left w:val="nil"/>
              <w:bottom w:val="single" w:sz="4" w:space="0" w:color="auto"/>
              <w:right w:val="single" w:sz="4" w:space="0" w:color="auto"/>
            </w:tcBorders>
            <w:shd w:val="clear" w:color="auto" w:fill="auto"/>
            <w:noWrap/>
            <w:vAlign w:val="bottom"/>
          </w:tcPr>
          <w:p w14:paraId="11EA99AD" w14:textId="51FE5853"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0.95</w:t>
            </w:r>
          </w:p>
        </w:tc>
        <w:tc>
          <w:tcPr>
            <w:tcW w:w="1047" w:type="dxa"/>
            <w:tcBorders>
              <w:top w:val="nil"/>
              <w:left w:val="nil"/>
              <w:bottom w:val="single" w:sz="4" w:space="0" w:color="auto"/>
              <w:right w:val="single" w:sz="4" w:space="0" w:color="auto"/>
            </w:tcBorders>
            <w:shd w:val="clear" w:color="auto" w:fill="auto"/>
            <w:noWrap/>
            <w:vAlign w:val="bottom"/>
          </w:tcPr>
          <w:p w14:paraId="11EA99AE" w14:textId="258F4D15"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0.50</w:t>
            </w:r>
          </w:p>
        </w:tc>
        <w:tc>
          <w:tcPr>
            <w:tcW w:w="1221" w:type="dxa"/>
            <w:tcBorders>
              <w:top w:val="nil"/>
              <w:left w:val="nil"/>
              <w:bottom w:val="single" w:sz="4" w:space="0" w:color="auto"/>
              <w:right w:val="single" w:sz="4" w:space="0" w:color="auto"/>
            </w:tcBorders>
            <w:shd w:val="clear" w:color="auto" w:fill="auto"/>
            <w:noWrap/>
            <w:vAlign w:val="bottom"/>
          </w:tcPr>
          <w:p w14:paraId="11EA99AF" w14:textId="058CEBCF"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92D050"/>
            <w:noWrap/>
            <w:vAlign w:val="bottom"/>
          </w:tcPr>
          <w:p w14:paraId="11EA99B0" w14:textId="0A3F1B20"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0.65</w:t>
            </w:r>
          </w:p>
        </w:tc>
      </w:tr>
      <w:tr w:rsidR="009C1EA9" w:rsidRPr="00B72345" w14:paraId="11EA99BB" w14:textId="77777777" w:rsidTr="00CE239F">
        <w:trPr>
          <w:trHeight w:hRule="exact" w:val="255"/>
        </w:trPr>
        <w:tc>
          <w:tcPr>
            <w:tcW w:w="771" w:type="dxa"/>
            <w:vMerge/>
            <w:tcBorders>
              <w:left w:val="single" w:sz="4" w:space="0" w:color="auto"/>
              <w:right w:val="single" w:sz="4" w:space="0" w:color="auto"/>
            </w:tcBorders>
            <w:vAlign w:val="center"/>
          </w:tcPr>
          <w:p w14:paraId="11EA99B2" w14:textId="77777777" w:rsidR="009C1EA9" w:rsidRPr="00D41D10" w:rsidRDefault="009C1EA9" w:rsidP="00B72345">
            <w:pPr>
              <w:spacing w:after="0"/>
              <w:jc w:val="left"/>
              <w:rPr>
                <w:rFonts w:ascii="Arial Narrow" w:hAnsi="Arial Narrow"/>
                <w:color w:val="000000"/>
                <w:szCs w:val="22"/>
                <w:lang w:val="en-AU" w:eastAsia="en-AU"/>
              </w:rPr>
            </w:pPr>
          </w:p>
        </w:tc>
        <w:tc>
          <w:tcPr>
            <w:tcW w:w="1576" w:type="dxa"/>
            <w:tcBorders>
              <w:top w:val="nil"/>
              <w:left w:val="single" w:sz="4" w:space="0" w:color="auto"/>
              <w:bottom w:val="single" w:sz="4" w:space="0" w:color="auto"/>
              <w:right w:val="single" w:sz="4" w:space="0" w:color="auto"/>
            </w:tcBorders>
            <w:shd w:val="clear" w:color="auto" w:fill="auto"/>
            <w:noWrap/>
            <w:vAlign w:val="center"/>
          </w:tcPr>
          <w:p w14:paraId="11EA99B3" w14:textId="537871AD" w:rsidR="009C1EA9" w:rsidRPr="00822426" w:rsidRDefault="009C1EA9" w:rsidP="00B72345">
            <w:pPr>
              <w:spacing w:after="0"/>
              <w:jc w:val="left"/>
              <w:rPr>
                <w:rFonts w:ascii="Arial Narrow" w:hAnsi="Arial Narrow"/>
                <w:color w:val="000000"/>
                <w:sz w:val="20"/>
                <w:lang w:val="en-AU" w:eastAsia="en-AU"/>
              </w:rPr>
            </w:pPr>
            <w:r w:rsidRPr="00822426">
              <w:rPr>
                <w:rFonts w:ascii="Arial Narrow" w:hAnsi="Arial Narrow"/>
                <w:color w:val="000000"/>
                <w:sz w:val="20"/>
                <w:lang w:val="en-AU" w:eastAsia="en-AU"/>
              </w:rPr>
              <w:t>Fitzroy West</w:t>
            </w:r>
            <w:r w:rsidR="00E75F5C">
              <w:rPr>
                <w:rFonts w:ascii="Arial Narrow" w:hAnsi="Arial Narrow"/>
                <w:color w:val="000000"/>
                <w:sz w:val="20"/>
                <w:lang w:val="en-AU" w:eastAsia="en-AU"/>
              </w:rPr>
              <w:t xml:space="preserve"> </w:t>
            </w:r>
            <w:r w:rsidRPr="00822426">
              <w:rPr>
                <w:rFonts w:ascii="Arial Narrow" w:hAnsi="Arial Narrow"/>
                <w:color w:val="000000"/>
                <w:sz w:val="20"/>
                <w:lang w:val="en-AU" w:eastAsia="en-AU"/>
              </w:rPr>
              <w:t>LTMP</w:t>
            </w:r>
          </w:p>
        </w:tc>
        <w:tc>
          <w:tcPr>
            <w:tcW w:w="284" w:type="dxa"/>
            <w:tcBorders>
              <w:top w:val="nil"/>
              <w:left w:val="nil"/>
              <w:bottom w:val="single" w:sz="4" w:space="0" w:color="auto"/>
              <w:right w:val="single" w:sz="4" w:space="0" w:color="auto"/>
            </w:tcBorders>
            <w:shd w:val="clear" w:color="auto" w:fill="auto"/>
            <w:noWrap/>
            <w:vAlign w:val="center"/>
          </w:tcPr>
          <w:p w14:paraId="11EA99B4" w14:textId="14340497" w:rsidR="009C1EA9" w:rsidRPr="00822426" w:rsidRDefault="009C1EA9" w:rsidP="00B72345">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11EA99B5" w14:textId="32005392"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0.61</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9B6" w14:textId="5192E3AD"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11EA99B7" w14:textId="0B35434F"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tcPr>
          <w:p w14:paraId="11EA99B8" w14:textId="588D1814" w:rsidR="009C1EA9" w:rsidRPr="00822426" w:rsidRDefault="003C5153" w:rsidP="009F61B3">
            <w:pPr>
              <w:jc w:val="center"/>
              <w:rPr>
                <w:rFonts w:ascii="Arial Narrow" w:hAnsi="Arial Narrow"/>
                <w:color w:val="000000"/>
                <w:sz w:val="20"/>
              </w:rPr>
            </w:pPr>
            <w:r>
              <w:rPr>
                <w:rFonts w:ascii="Arial Narrow" w:hAnsi="Arial Narrow"/>
                <w:color w:val="000000"/>
                <w:sz w:val="20"/>
              </w:rPr>
              <w:t>NA</w:t>
            </w:r>
          </w:p>
        </w:tc>
        <w:tc>
          <w:tcPr>
            <w:tcW w:w="1221" w:type="dxa"/>
            <w:tcBorders>
              <w:top w:val="nil"/>
              <w:left w:val="nil"/>
              <w:bottom w:val="single" w:sz="4" w:space="0" w:color="auto"/>
              <w:right w:val="single" w:sz="4" w:space="0" w:color="auto"/>
            </w:tcBorders>
            <w:shd w:val="clear" w:color="auto" w:fill="auto"/>
            <w:noWrap/>
            <w:vAlign w:val="bottom"/>
          </w:tcPr>
          <w:p w14:paraId="11EA99B9" w14:textId="361DF1DD"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92D050"/>
            <w:noWrap/>
            <w:vAlign w:val="bottom"/>
          </w:tcPr>
          <w:p w14:paraId="11EA99BA" w14:textId="039FAFF7" w:rsidR="009C1EA9" w:rsidRPr="00822426" w:rsidRDefault="009C1EA9" w:rsidP="00CB2C50">
            <w:pPr>
              <w:jc w:val="center"/>
              <w:rPr>
                <w:rFonts w:ascii="Arial Narrow" w:hAnsi="Arial Narrow"/>
                <w:color w:val="000000"/>
                <w:sz w:val="20"/>
              </w:rPr>
            </w:pPr>
            <w:r w:rsidRPr="00822426">
              <w:rPr>
                <w:rFonts w:ascii="Arial Narrow" w:hAnsi="Arial Narrow"/>
                <w:color w:val="000000"/>
                <w:sz w:val="20"/>
              </w:rPr>
              <w:t>0.</w:t>
            </w:r>
            <w:r w:rsidR="00CB2C50">
              <w:rPr>
                <w:rFonts w:ascii="Arial Narrow" w:hAnsi="Arial Narrow"/>
                <w:color w:val="000000"/>
                <w:sz w:val="20"/>
              </w:rPr>
              <w:t>78</w:t>
            </w:r>
          </w:p>
        </w:tc>
      </w:tr>
      <w:tr w:rsidR="009C1EA9" w:rsidRPr="00B72345" w14:paraId="11EA99C5" w14:textId="77777777" w:rsidTr="00822426">
        <w:trPr>
          <w:trHeight w:hRule="exact" w:val="255"/>
        </w:trPr>
        <w:tc>
          <w:tcPr>
            <w:tcW w:w="771" w:type="dxa"/>
            <w:vMerge/>
            <w:tcBorders>
              <w:left w:val="single" w:sz="4" w:space="0" w:color="auto"/>
              <w:right w:val="single" w:sz="4" w:space="0" w:color="auto"/>
            </w:tcBorders>
            <w:vAlign w:val="center"/>
          </w:tcPr>
          <w:p w14:paraId="11EA99BC" w14:textId="77777777" w:rsidR="009C1EA9" w:rsidRPr="00D41D10" w:rsidRDefault="009C1EA9" w:rsidP="00B72345">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11EA99BD" w14:textId="19C1C759" w:rsidR="009C1EA9" w:rsidRPr="00822426" w:rsidRDefault="009C1EA9" w:rsidP="00B72345">
            <w:pPr>
              <w:spacing w:after="0"/>
              <w:jc w:val="left"/>
              <w:rPr>
                <w:rFonts w:ascii="Arial Narrow" w:hAnsi="Arial Narrow"/>
                <w:color w:val="000000"/>
                <w:sz w:val="20"/>
                <w:lang w:val="en-AU" w:eastAsia="en-AU"/>
              </w:rPr>
            </w:pPr>
            <w:r w:rsidRPr="00822426">
              <w:rPr>
                <w:rFonts w:ascii="Arial Narrow" w:hAnsi="Arial Narrow"/>
                <w:color w:val="000000"/>
                <w:sz w:val="20"/>
                <w:lang w:val="en-AU" w:eastAsia="en-AU"/>
              </w:rPr>
              <w:t>Franklands West</w:t>
            </w:r>
          </w:p>
        </w:tc>
        <w:tc>
          <w:tcPr>
            <w:tcW w:w="284" w:type="dxa"/>
            <w:tcBorders>
              <w:top w:val="nil"/>
              <w:left w:val="nil"/>
              <w:bottom w:val="single" w:sz="4" w:space="0" w:color="auto"/>
              <w:right w:val="single" w:sz="4" w:space="0" w:color="auto"/>
            </w:tcBorders>
            <w:shd w:val="clear" w:color="auto" w:fill="auto"/>
            <w:noWrap/>
            <w:vAlign w:val="center"/>
          </w:tcPr>
          <w:p w14:paraId="11EA99BE" w14:textId="2434D450" w:rsidR="009C1EA9" w:rsidRPr="00822426" w:rsidRDefault="009C1EA9" w:rsidP="00B72345">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11EA99BF" w14:textId="31BC9410"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0.93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9C0" w14:textId="2A88EAED"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0.38</w:t>
            </w:r>
          </w:p>
        </w:tc>
        <w:tc>
          <w:tcPr>
            <w:tcW w:w="1134" w:type="dxa"/>
            <w:tcBorders>
              <w:top w:val="nil"/>
              <w:left w:val="nil"/>
              <w:bottom w:val="single" w:sz="4" w:space="0" w:color="auto"/>
              <w:right w:val="single" w:sz="4" w:space="0" w:color="auto"/>
            </w:tcBorders>
            <w:shd w:val="clear" w:color="auto" w:fill="auto"/>
            <w:noWrap/>
            <w:vAlign w:val="bottom"/>
          </w:tcPr>
          <w:p w14:paraId="11EA99C1" w14:textId="61A95A04"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tcPr>
          <w:p w14:paraId="11EA99C2" w14:textId="38EF3614"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0.34</w:t>
            </w:r>
          </w:p>
        </w:tc>
        <w:tc>
          <w:tcPr>
            <w:tcW w:w="1221" w:type="dxa"/>
            <w:tcBorders>
              <w:top w:val="nil"/>
              <w:left w:val="nil"/>
              <w:bottom w:val="single" w:sz="4" w:space="0" w:color="auto"/>
              <w:right w:val="single" w:sz="4" w:space="0" w:color="auto"/>
            </w:tcBorders>
            <w:shd w:val="clear" w:color="auto" w:fill="auto"/>
            <w:noWrap/>
            <w:vAlign w:val="bottom"/>
          </w:tcPr>
          <w:p w14:paraId="11EA99C3" w14:textId="4BFA62F3"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1</w:t>
            </w:r>
          </w:p>
        </w:tc>
        <w:tc>
          <w:tcPr>
            <w:tcW w:w="1117" w:type="dxa"/>
            <w:tcBorders>
              <w:top w:val="nil"/>
              <w:left w:val="nil"/>
              <w:bottom w:val="single" w:sz="4" w:space="0" w:color="auto"/>
              <w:right w:val="single" w:sz="4" w:space="0" w:color="auto"/>
            </w:tcBorders>
            <w:shd w:val="clear" w:color="000000" w:fill="FFFF00"/>
            <w:noWrap/>
            <w:vAlign w:val="bottom"/>
          </w:tcPr>
          <w:p w14:paraId="11EA99C4" w14:textId="5FB2DB44"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0.53</w:t>
            </w:r>
          </w:p>
        </w:tc>
      </w:tr>
      <w:tr w:rsidR="009C1EA9" w:rsidRPr="00B72345" w14:paraId="11EA99CF" w14:textId="77777777" w:rsidTr="00822426">
        <w:trPr>
          <w:trHeight w:hRule="exact" w:val="255"/>
        </w:trPr>
        <w:tc>
          <w:tcPr>
            <w:tcW w:w="771" w:type="dxa"/>
            <w:vMerge/>
            <w:tcBorders>
              <w:left w:val="single" w:sz="4" w:space="0" w:color="auto"/>
              <w:right w:val="single" w:sz="4" w:space="0" w:color="auto"/>
            </w:tcBorders>
            <w:vAlign w:val="center"/>
          </w:tcPr>
          <w:p w14:paraId="11EA99C6" w14:textId="77777777" w:rsidR="009C1EA9" w:rsidRPr="00D41D10" w:rsidRDefault="009C1EA9" w:rsidP="00B72345">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tcPr>
          <w:p w14:paraId="11EA99C7" w14:textId="77777777" w:rsidR="009C1EA9" w:rsidRPr="00822426" w:rsidRDefault="009C1EA9" w:rsidP="00B72345">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tcPr>
          <w:p w14:paraId="11EA99C8" w14:textId="34E91E6D" w:rsidR="009C1EA9" w:rsidRPr="00822426" w:rsidRDefault="009C1EA9" w:rsidP="00B72345">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11EA99C9" w14:textId="6B92BB7B"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0.92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9CA" w14:textId="772F6095"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0.26</w:t>
            </w:r>
          </w:p>
        </w:tc>
        <w:tc>
          <w:tcPr>
            <w:tcW w:w="1134" w:type="dxa"/>
            <w:tcBorders>
              <w:top w:val="nil"/>
              <w:left w:val="nil"/>
              <w:bottom w:val="single" w:sz="4" w:space="0" w:color="auto"/>
              <w:right w:val="single" w:sz="4" w:space="0" w:color="auto"/>
            </w:tcBorders>
            <w:shd w:val="clear" w:color="auto" w:fill="auto"/>
            <w:noWrap/>
            <w:vAlign w:val="bottom"/>
          </w:tcPr>
          <w:p w14:paraId="11EA99CB" w14:textId="6F991A8E"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tcPr>
          <w:p w14:paraId="11EA99CC" w14:textId="5F9C9F1D"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0.67</w:t>
            </w:r>
          </w:p>
        </w:tc>
        <w:tc>
          <w:tcPr>
            <w:tcW w:w="1221" w:type="dxa"/>
            <w:tcBorders>
              <w:top w:val="nil"/>
              <w:left w:val="nil"/>
              <w:bottom w:val="single" w:sz="4" w:space="0" w:color="auto"/>
              <w:right w:val="single" w:sz="4" w:space="0" w:color="auto"/>
            </w:tcBorders>
            <w:shd w:val="clear" w:color="auto" w:fill="auto"/>
            <w:noWrap/>
            <w:vAlign w:val="bottom"/>
          </w:tcPr>
          <w:p w14:paraId="11EA99CD" w14:textId="1690FA2C"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w:t>
            </w:r>
          </w:p>
        </w:tc>
        <w:tc>
          <w:tcPr>
            <w:tcW w:w="1117" w:type="dxa"/>
            <w:tcBorders>
              <w:top w:val="nil"/>
              <w:left w:val="nil"/>
              <w:bottom w:val="single" w:sz="4" w:space="0" w:color="auto"/>
              <w:right w:val="single" w:sz="4" w:space="0" w:color="auto"/>
            </w:tcBorders>
            <w:shd w:val="clear" w:color="000000" w:fill="FFC000"/>
            <w:noWrap/>
            <w:vAlign w:val="bottom"/>
          </w:tcPr>
          <w:p w14:paraId="11EA99CE" w14:textId="52DA2D45"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0.37</w:t>
            </w:r>
          </w:p>
        </w:tc>
      </w:tr>
      <w:tr w:rsidR="009C1EA9" w:rsidRPr="00B72345" w14:paraId="11EA99D9" w14:textId="77777777" w:rsidTr="00822426">
        <w:trPr>
          <w:trHeight w:hRule="exact" w:val="255"/>
        </w:trPr>
        <w:tc>
          <w:tcPr>
            <w:tcW w:w="771" w:type="dxa"/>
            <w:vMerge/>
            <w:tcBorders>
              <w:left w:val="single" w:sz="4" w:space="0" w:color="auto"/>
              <w:right w:val="single" w:sz="4" w:space="0" w:color="auto"/>
            </w:tcBorders>
            <w:vAlign w:val="center"/>
          </w:tcPr>
          <w:p w14:paraId="11EA99D0" w14:textId="77777777" w:rsidR="009C1EA9" w:rsidRPr="00D41D10" w:rsidRDefault="009C1EA9" w:rsidP="00B72345">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11EA99D1" w14:textId="2698F0BA" w:rsidR="009C1EA9" w:rsidRPr="00822426" w:rsidRDefault="009C1EA9" w:rsidP="00B72345">
            <w:pPr>
              <w:spacing w:after="0"/>
              <w:jc w:val="left"/>
              <w:rPr>
                <w:rFonts w:ascii="Arial Narrow" w:hAnsi="Arial Narrow"/>
                <w:color w:val="000000"/>
                <w:sz w:val="20"/>
                <w:lang w:val="en-AU" w:eastAsia="en-AU"/>
              </w:rPr>
            </w:pPr>
            <w:r w:rsidRPr="00822426">
              <w:rPr>
                <w:rFonts w:ascii="Arial Narrow" w:hAnsi="Arial Narrow"/>
                <w:color w:val="000000"/>
                <w:sz w:val="20"/>
                <w:lang w:val="en-AU" w:eastAsia="en-AU"/>
              </w:rPr>
              <w:t>High East</w:t>
            </w:r>
          </w:p>
        </w:tc>
        <w:tc>
          <w:tcPr>
            <w:tcW w:w="284" w:type="dxa"/>
            <w:tcBorders>
              <w:top w:val="nil"/>
              <w:left w:val="nil"/>
              <w:bottom w:val="single" w:sz="4" w:space="0" w:color="auto"/>
              <w:right w:val="single" w:sz="4" w:space="0" w:color="auto"/>
            </w:tcBorders>
            <w:shd w:val="clear" w:color="auto" w:fill="auto"/>
            <w:noWrap/>
            <w:vAlign w:val="center"/>
          </w:tcPr>
          <w:p w14:paraId="11EA99D2" w14:textId="04E02931" w:rsidR="009C1EA9" w:rsidRPr="00822426" w:rsidRDefault="009C1EA9" w:rsidP="00B72345">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11EA99D3" w14:textId="17078E41"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0.92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9D4" w14:textId="17E91374"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0.19</w:t>
            </w:r>
          </w:p>
        </w:tc>
        <w:tc>
          <w:tcPr>
            <w:tcW w:w="1134" w:type="dxa"/>
            <w:tcBorders>
              <w:top w:val="nil"/>
              <w:left w:val="nil"/>
              <w:bottom w:val="single" w:sz="4" w:space="0" w:color="auto"/>
              <w:right w:val="single" w:sz="4" w:space="0" w:color="auto"/>
            </w:tcBorders>
            <w:shd w:val="clear" w:color="auto" w:fill="auto"/>
            <w:noWrap/>
            <w:vAlign w:val="bottom"/>
          </w:tcPr>
          <w:p w14:paraId="11EA99D5" w14:textId="639C19B0"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tcPr>
          <w:p w14:paraId="11EA99D6" w14:textId="769258E4"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1.00</w:t>
            </w:r>
          </w:p>
        </w:tc>
        <w:tc>
          <w:tcPr>
            <w:tcW w:w="1221" w:type="dxa"/>
            <w:tcBorders>
              <w:top w:val="nil"/>
              <w:left w:val="nil"/>
              <w:bottom w:val="single" w:sz="4" w:space="0" w:color="auto"/>
              <w:right w:val="single" w:sz="4" w:space="0" w:color="auto"/>
            </w:tcBorders>
            <w:shd w:val="clear" w:color="auto" w:fill="auto"/>
            <w:noWrap/>
            <w:vAlign w:val="bottom"/>
          </w:tcPr>
          <w:p w14:paraId="11EA99D7" w14:textId="67690881"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000000" w:fill="92D050"/>
            <w:noWrap/>
            <w:vAlign w:val="bottom"/>
          </w:tcPr>
          <w:p w14:paraId="11EA99D8" w14:textId="4378296F"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0.72</w:t>
            </w:r>
          </w:p>
        </w:tc>
      </w:tr>
      <w:tr w:rsidR="009C1EA9" w:rsidRPr="00B72345" w14:paraId="11EA99E3" w14:textId="77777777" w:rsidTr="00822426">
        <w:trPr>
          <w:trHeight w:hRule="exact" w:val="255"/>
        </w:trPr>
        <w:tc>
          <w:tcPr>
            <w:tcW w:w="771" w:type="dxa"/>
            <w:vMerge/>
            <w:tcBorders>
              <w:left w:val="single" w:sz="4" w:space="0" w:color="auto"/>
              <w:right w:val="single" w:sz="4" w:space="0" w:color="auto"/>
            </w:tcBorders>
            <w:vAlign w:val="center"/>
          </w:tcPr>
          <w:p w14:paraId="11EA99DA" w14:textId="77777777" w:rsidR="009C1EA9" w:rsidRPr="00D41D10" w:rsidRDefault="009C1EA9" w:rsidP="00B72345">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tcPr>
          <w:p w14:paraId="11EA99DB" w14:textId="77777777" w:rsidR="009C1EA9" w:rsidRPr="00822426" w:rsidRDefault="009C1EA9" w:rsidP="00B72345">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tcPr>
          <w:p w14:paraId="11EA99DC" w14:textId="7B7FD9D7" w:rsidR="009C1EA9" w:rsidRPr="00822426" w:rsidRDefault="009C1EA9" w:rsidP="00B72345">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11EA99DD" w14:textId="73DA68BA"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0.73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9DE" w14:textId="1CF0ACDF"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0.37</w:t>
            </w:r>
          </w:p>
        </w:tc>
        <w:tc>
          <w:tcPr>
            <w:tcW w:w="1134" w:type="dxa"/>
            <w:tcBorders>
              <w:top w:val="nil"/>
              <w:left w:val="nil"/>
              <w:bottom w:val="single" w:sz="4" w:space="0" w:color="auto"/>
              <w:right w:val="single" w:sz="4" w:space="0" w:color="auto"/>
            </w:tcBorders>
            <w:shd w:val="clear" w:color="auto" w:fill="auto"/>
            <w:noWrap/>
            <w:vAlign w:val="bottom"/>
          </w:tcPr>
          <w:p w14:paraId="11EA99DF" w14:textId="58249FE2"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0.99</w:t>
            </w:r>
          </w:p>
        </w:tc>
        <w:tc>
          <w:tcPr>
            <w:tcW w:w="1047" w:type="dxa"/>
            <w:tcBorders>
              <w:top w:val="nil"/>
              <w:left w:val="nil"/>
              <w:bottom w:val="single" w:sz="4" w:space="0" w:color="auto"/>
              <w:right w:val="single" w:sz="4" w:space="0" w:color="auto"/>
            </w:tcBorders>
            <w:shd w:val="clear" w:color="auto" w:fill="auto"/>
            <w:noWrap/>
            <w:vAlign w:val="bottom"/>
          </w:tcPr>
          <w:p w14:paraId="11EA99E0" w14:textId="101675C6"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0.77</w:t>
            </w:r>
          </w:p>
        </w:tc>
        <w:tc>
          <w:tcPr>
            <w:tcW w:w="1221" w:type="dxa"/>
            <w:tcBorders>
              <w:top w:val="nil"/>
              <w:left w:val="nil"/>
              <w:bottom w:val="single" w:sz="4" w:space="0" w:color="auto"/>
              <w:right w:val="single" w:sz="4" w:space="0" w:color="auto"/>
            </w:tcBorders>
            <w:shd w:val="clear" w:color="auto" w:fill="auto"/>
            <w:noWrap/>
            <w:vAlign w:val="bottom"/>
          </w:tcPr>
          <w:p w14:paraId="11EA99E1" w14:textId="48B0EA25"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000000" w:fill="92D050"/>
            <w:noWrap/>
            <w:vAlign w:val="bottom"/>
          </w:tcPr>
          <w:p w14:paraId="11EA99E2" w14:textId="461376A4"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0.67</w:t>
            </w:r>
          </w:p>
        </w:tc>
      </w:tr>
      <w:tr w:rsidR="009C1EA9" w:rsidRPr="00B72345" w14:paraId="11EA99ED" w14:textId="77777777" w:rsidTr="00822426">
        <w:trPr>
          <w:trHeight w:hRule="exact" w:val="255"/>
        </w:trPr>
        <w:tc>
          <w:tcPr>
            <w:tcW w:w="771" w:type="dxa"/>
            <w:vMerge/>
            <w:tcBorders>
              <w:left w:val="single" w:sz="4" w:space="0" w:color="auto"/>
              <w:right w:val="single" w:sz="4" w:space="0" w:color="auto"/>
            </w:tcBorders>
            <w:vAlign w:val="center"/>
          </w:tcPr>
          <w:p w14:paraId="11EA99E4" w14:textId="77777777" w:rsidR="009C1EA9" w:rsidRPr="00D41D10" w:rsidRDefault="009C1EA9" w:rsidP="00B72345">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11EA99E5" w14:textId="3FE7FDDB" w:rsidR="009C1EA9" w:rsidRPr="00822426" w:rsidRDefault="009C1EA9" w:rsidP="00B72345">
            <w:pPr>
              <w:spacing w:after="0"/>
              <w:jc w:val="left"/>
              <w:rPr>
                <w:rFonts w:ascii="Arial Narrow" w:hAnsi="Arial Narrow"/>
                <w:color w:val="000000"/>
                <w:sz w:val="20"/>
                <w:lang w:val="en-AU" w:eastAsia="en-AU"/>
              </w:rPr>
            </w:pPr>
            <w:r w:rsidRPr="00822426">
              <w:rPr>
                <w:rFonts w:ascii="Arial Narrow" w:hAnsi="Arial Narrow"/>
                <w:color w:val="000000"/>
                <w:sz w:val="20"/>
                <w:lang w:val="en-AU" w:eastAsia="en-AU"/>
              </w:rPr>
              <w:t>High West</w:t>
            </w:r>
          </w:p>
        </w:tc>
        <w:tc>
          <w:tcPr>
            <w:tcW w:w="284" w:type="dxa"/>
            <w:tcBorders>
              <w:top w:val="nil"/>
              <w:left w:val="nil"/>
              <w:bottom w:val="single" w:sz="4" w:space="0" w:color="auto"/>
              <w:right w:val="single" w:sz="4" w:space="0" w:color="auto"/>
            </w:tcBorders>
            <w:shd w:val="clear" w:color="auto" w:fill="auto"/>
            <w:noWrap/>
            <w:vAlign w:val="center"/>
          </w:tcPr>
          <w:p w14:paraId="11EA99E6" w14:textId="1030EC5A" w:rsidR="009C1EA9" w:rsidRPr="00822426" w:rsidRDefault="009C1EA9" w:rsidP="00B72345">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11EA99E7" w14:textId="73BB4C50"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0.89</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9E8" w14:textId="736B97FD"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0.28</w:t>
            </w:r>
          </w:p>
        </w:tc>
        <w:tc>
          <w:tcPr>
            <w:tcW w:w="1134" w:type="dxa"/>
            <w:tcBorders>
              <w:top w:val="nil"/>
              <w:left w:val="nil"/>
              <w:bottom w:val="single" w:sz="4" w:space="0" w:color="auto"/>
              <w:right w:val="single" w:sz="4" w:space="0" w:color="auto"/>
            </w:tcBorders>
            <w:shd w:val="clear" w:color="auto" w:fill="auto"/>
            <w:noWrap/>
            <w:vAlign w:val="bottom"/>
          </w:tcPr>
          <w:p w14:paraId="11EA99E9" w14:textId="01B2B9BA"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0.36</w:t>
            </w:r>
          </w:p>
        </w:tc>
        <w:tc>
          <w:tcPr>
            <w:tcW w:w="1047" w:type="dxa"/>
            <w:tcBorders>
              <w:top w:val="nil"/>
              <w:left w:val="nil"/>
              <w:bottom w:val="single" w:sz="4" w:space="0" w:color="auto"/>
              <w:right w:val="single" w:sz="4" w:space="0" w:color="auto"/>
            </w:tcBorders>
            <w:shd w:val="clear" w:color="auto" w:fill="auto"/>
            <w:noWrap/>
            <w:vAlign w:val="bottom"/>
          </w:tcPr>
          <w:p w14:paraId="11EA99EA" w14:textId="408BCEF1"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0.64</w:t>
            </w:r>
          </w:p>
        </w:tc>
        <w:tc>
          <w:tcPr>
            <w:tcW w:w="1221" w:type="dxa"/>
            <w:tcBorders>
              <w:top w:val="nil"/>
              <w:left w:val="nil"/>
              <w:bottom w:val="single" w:sz="4" w:space="0" w:color="auto"/>
              <w:right w:val="single" w:sz="4" w:space="0" w:color="auto"/>
            </w:tcBorders>
            <w:shd w:val="clear" w:color="auto" w:fill="auto"/>
            <w:noWrap/>
            <w:vAlign w:val="bottom"/>
          </w:tcPr>
          <w:p w14:paraId="11EA99EB" w14:textId="4E8EBA23"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1</w:t>
            </w:r>
          </w:p>
        </w:tc>
        <w:tc>
          <w:tcPr>
            <w:tcW w:w="1117" w:type="dxa"/>
            <w:tcBorders>
              <w:top w:val="nil"/>
              <w:left w:val="nil"/>
              <w:bottom w:val="single" w:sz="4" w:space="0" w:color="auto"/>
              <w:right w:val="single" w:sz="4" w:space="0" w:color="auto"/>
            </w:tcBorders>
            <w:shd w:val="clear" w:color="000000" w:fill="92D050"/>
            <w:noWrap/>
            <w:vAlign w:val="bottom"/>
          </w:tcPr>
          <w:p w14:paraId="11EA99EC" w14:textId="54879F3D"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0.63</w:t>
            </w:r>
          </w:p>
        </w:tc>
      </w:tr>
      <w:tr w:rsidR="009C1EA9" w:rsidRPr="00B72345" w14:paraId="11EA99F7" w14:textId="77777777" w:rsidTr="00822426">
        <w:trPr>
          <w:trHeight w:hRule="exact" w:val="255"/>
        </w:trPr>
        <w:tc>
          <w:tcPr>
            <w:tcW w:w="771" w:type="dxa"/>
            <w:vMerge/>
            <w:tcBorders>
              <w:left w:val="single" w:sz="4" w:space="0" w:color="auto"/>
              <w:bottom w:val="single" w:sz="4" w:space="0" w:color="auto"/>
              <w:right w:val="single" w:sz="4" w:space="0" w:color="auto"/>
            </w:tcBorders>
            <w:vAlign w:val="center"/>
          </w:tcPr>
          <w:p w14:paraId="11EA99EE" w14:textId="77777777" w:rsidR="009C1EA9" w:rsidRPr="00D41D10" w:rsidRDefault="009C1EA9" w:rsidP="00B72345">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tcPr>
          <w:p w14:paraId="11EA99EF" w14:textId="77777777" w:rsidR="009C1EA9" w:rsidRPr="00822426" w:rsidRDefault="009C1EA9" w:rsidP="00B72345">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tcPr>
          <w:p w14:paraId="11EA99F0" w14:textId="7E514A9B" w:rsidR="009C1EA9" w:rsidRPr="00822426" w:rsidRDefault="009C1EA9" w:rsidP="00B72345">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11EA99F1" w14:textId="71F4CEC9"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0.50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9F2" w14:textId="57ADD6E0"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0.26</w:t>
            </w:r>
          </w:p>
        </w:tc>
        <w:tc>
          <w:tcPr>
            <w:tcW w:w="1134" w:type="dxa"/>
            <w:tcBorders>
              <w:top w:val="nil"/>
              <w:left w:val="nil"/>
              <w:bottom w:val="single" w:sz="4" w:space="0" w:color="auto"/>
              <w:right w:val="single" w:sz="4" w:space="0" w:color="auto"/>
            </w:tcBorders>
            <w:shd w:val="clear" w:color="auto" w:fill="auto"/>
            <w:noWrap/>
            <w:vAlign w:val="bottom"/>
          </w:tcPr>
          <w:p w14:paraId="11EA99F3" w14:textId="431931E8"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0.90</w:t>
            </w:r>
          </w:p>
        </w:tc>
        <w:tc>
          <w:tcPr>
            <w:tcW w:w="1047" w:type="dxa"/>
            <w:tcBorders>
              <w:top w:val="nil"/>
              <w:left w:val="nil"/>
              <w:bottom w:val="single" w:sz="4" w:space="0" w:color="auto"/>
              <w:right w:val="single" w:sz="4" w:space="0" w:color="auto"/>
            </w:tcBorders>
            <w:shd w:val="clear" w:color="auto" w:fill="auto"/>
            <w:noWrap/>
            <w:vAlign w:val="bottom"/>
          </w:tcPr>
          <w:p w14:paraId="11EA99F4" w14:textId="389C65A7"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0.68</w:t>
            </w:r>
          </w:p>
        </w:tc>
        <w:tc>
          <w:tcPr>
            <w:tcW w:w="1221" w:type="dxa"/>
            <w:tcBorders>
              <w:top w:val="nil"/>
              <w:left w:val="nil"/>
              <w:bottom w:val="single" w:sz="4" w:space="0" w:color="auto"/>
              <w:right w:val="single" w:sz="4" w:space="0" w:color="auto"/>
            </w:tcBorders>
            <w:shd w:val="clear" w:color="auto" w:fill="auto"/>
            <w:noWrap/>
            <w:vAlign w:val="bottom"/>
          </w:tcPr>
          <w:p w14:paraId="11EA99F5" w14:textId="62F47F5F"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000000" w:fill="FFFF00"/>
            <w:noWrap/>
            <w:vAlign w:val="bottom"/>
          </w:tcPr>
          <w:p w14:paraId="11EA99F6" w14:textId="58C75932" w:rsidR="009C1EA9" w:rsidRPr="00822426" w:rsidRDefault="009C1EA9" w:rsidP="009F61B3">
            <w:pPr>
              <w:jc w:val="center"/>
              <w:rPr>
                <w:rFonts w:ascii="Arial Narrow" w:hAnsi="Arial Narrow"/>
                <w:color w:val="000000"/>
                <w:sz w:val="20"/>
              </w:rPr>
            </w:pPr>
            <w:r w:rsidRPr="00822426">
              <w:rPr>
                <w:rFonts w:ascii="Arial Narrow" w:hAnsi="Arial Narrow"/>
                <w:color w:val="000000"/>
                <w:sz w:val="20"/>
              </w:rPr>
              <w:t>0.57</w:t>
            </w:r>
          </w:p>
        </w:tc>
      </w:tr>
      <w:tr w:rsidR="003C5153" w:rsidRPr="00B72345" w14:paraId="1E076DFC" w14:textId="77777777" w:rsidTr="001974D4">
        <w:trPr>
          <w:trHeight w:hRule="exact" w:val="255"/>
        </w:trPr>
        <w:tc>
          <w:tcPr>
            <w:tcW w:w="2631" w:type="dxa"/>
            <w:gridSpan w:val="3"/>
            <w:tcBorders>
              <w:left w:val="single" w:sz="4" w:space="0" w:color="auto"/>
              <w:bottom w:val="single" w:sz="4" w:space="0" w:color="auto"/>
              <w:right w:val="single" w:sz="4" w:space="0" w:color="auto"/>
            </w:tcBorders>
            <w:shd w:val="clear" w:color="auto" w:fill="92D050"/>
            <w:vAlign w:val="center"/>
          </w:tcPr>
          <w:p w14:paraId="31B45C62" w14:textId="45E1ED94" w:rsidR="003C5153" w:rsidRPr="00822426" w:rsidRDefault="003C5153" w:rsidP="003C5153">
            <w:pPr>
              <w:spacing w:after="0"/>
              <w:jc w:val="center"/>
              <w:rPr>
                <w:rFonts w:ascii="Arial Narrow" w:hAnsi="Arial Narrow"/>
                <w:color w:val="000000"/>
                <w:sz w:val="20"/>
                <w:lang w:val="en-AU" w:eastAsia="en-AU"/>
              </w:rPr>
            </w:pPr>
            <w:r>
              <w:rPr>
                <w:rFonts w:ascii="Arial Narrow" w:hAnsi="Arial Narrow"/>
                <w:color w:val="000000"/>
                <w:sz w:val="20"/>
                <w:lang w:val="en-AU" w:eastAsia="en-AU"/>
              </w:rPr>
              <w:t>Report Card Score - Good</w:t>
            </w:r>
          </w:p>
        </w:tc>
        <w:tc>
          <w:tcPr>
            <w:tcW w:w="1134" w:type="dxa"/>
            <w:tcBorders>
              <w:top w:val="nil"/>
              <w:left w:val="nil"/>
              <w:bottom w:val="single" w:sz="4" w:space="0" w:color="auto"/>
              <w:right w:val="single" w:sz="4" w:space="0" w:color="auto"/>
            </w:tcBorders>
            <w:shd w:val="clear" w:color="auto" w:fill="92D050"/>
            <w:noWrap/>
            <w:vAlign w:val="center"/>
          </w:tcPr>
          <w:p w14:paraId="6F48F883" w14:textId="5A1414B8"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lang w:val="en-AU" w:eastAsia="en-AU"/>
              </w:rPr>
              <w:t>0.69</w:t>
            </w:r>
          </w:p>
        </w:tc>
        <w:tc>
          <w:tcPr>
            <w:tcW w:w="1134" w:type="dxa"/>
            <w:tcBorders>
              <w:top w:val="nil"/>
              <w:left w:val="nil"/>
              <w:bottom w:val="single" w:sz="4" w:space="0" w:color="auto"/>
              <w:right w:val="single" w:sz="4" w:space="0" w:color="auto"/>
            </w:tcBorders>
            <w:shd w:val="clear" w:color="auto" w:fill="FFFF00"/>
            <w:noWrap/>
            <w:tcMar>
              <w:left w:w="0" w:type="dxa"/>
              <w:right w:w="0" w:type="dxa"/>
            </w:tcMar>
            <w:vAlign w:val="center"/>
          </w:tcPr>
          <w:p w14:paraId="5D729C6B" w14:textId="4F6BACF0"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lang w:val="en-AU" w:eastAsia="en-AU"/>
              </w:rPr>
              <w:t>0.43</w:t>
            </w:r>
          </w:p>
        </w:tc>
        <w:tc>
          <w:tcPr>
            <w:tcW w:w="1134" w:type="dxa"/>
            <w:tcBorders>
              <w:top w:val="nil"/>
              <w:left w:val="nil"/>
              <w:bottom w:val="single" w:sz="4" w:space="0" w:color="auto"/>
              <w:right w:val="single" w:sz="4" w:space="0" w:color="auto"/>
            </w:tcBorders>
            <w:shd w:val="clear" w:color="auto" w:fill="92D050"/>
            <w:noWrap/>
            <w:vAlign w:val="bottom"/>
          </w:tcPr>
          <w:p w14:paraId="10E7A531" w14:textId="70D641B6"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lang w:val="en-AU" w:eastAsia="en-AU"/>
              </w:rPr>
              <w:t>0.68</w:t>
            </w:r>
          </w:p>
        </w:tc>
        <w:tc>
          <w:tcPr>
            <w:tcW w:w="1047" w:type="dxa"/>
            <w:tcBorders>
              <w:top w:val="nil"/>
              <w:left w:val="nil"/>
              <w:bottom w:val="single" w:sz="4" w:space="0" w:color="auto"/>
              <w:right w:val="single" w:sz="4" w:space="0" w:color="auto"/>
            </w:tcBorders>
            <w:shd w:val="clear" w:color="auto" w:fill="92D050"/>
            <w:noWrap/>
            <w:vAlign w:val="bottom"/>
          </w:tcPr>
          <w:p w14:paraId="21B906FE" w14:textId="66A3CABE"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lang w:val="en-AU" w:eastAsia="en-AU"/>
              </w:rPr>
              <w:t>0.</w:t>
            </w:r>
            <w:r>
              <w:rPr>
                <w:rFonts w:ascii="Arial Narrow" w:hAnsi="Arial Narrow"/>
                <w:color w:val="000000"/>
                <w:sz w:val="20"/>
                <w:lang w:val="en-AU" w:eastAsia="en-AU"/>
              </w:rPr>
              <w:t>7</w:t>
            </w:r>
            <w:r w:rsidRPr="00822426">
              <w:rPr>
                <w:rFonts w:ascii="Arial Narrow" w:hAnsi="Arial Narrow"/>
                <w:color w:val="000000"/>
                <w:sz w:val="20"/>
                <w:lang w:val="en-AU" w:eastAsia="en-AU"/>
              </w:rPr>
              <w:t>4</w:t>
            </w:r>
          </w:p>
        </w:tc>
        <w:tc>
          <w:tcPr>
            <w:tcW w:w="1221" w:type="dxa"/>
            <w:tcBorders>
              <w:top w:val="nil"/>
              <w:left w:val="nil"/>
              <w:bottom w:val="single" w:sz="4" w:space="0" w:color="auto"/>
              <w:right w:val="single" w:sz="4" w:space="0" w:color="auto"/>
            </w:tcBorders>
            <w:shd w:val="clear" w:color="auto" w:fill="FFFF00"/>
            <w:noWrap/>
            <w:vAlign w:val="bottom"/>
          </w:tcPr>
          <w:p w14:paraId="524E0EF8" w14:textId="34A5BCF5"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lang w:val="en-AU" w:eastAsia="en-AU"/>
              </w:rPr>
              <w:t>0.50</w:t>
            </w:r>
          </w:p>
        </w:tc>
        <w:tc>
          <w:tcPr>
            <w:tcW w:w="1117" w:type="dxa"/>
            <w:tcBorders>
              <w:top w:val="nil"/>
              <w:left w:val="nil"/>
              <w:bottom w:val="single" w:sz="4" w:space="0" w:color="auto"/>
              <w:right w:val="single" w:sz="4" w:space="0" w:color="auto"/>
            </w:tcBorders>
            <w:shd w:val="clear" w:color="auto" w:fill="92D050"/>
            <w:noWrap/>
            <w:vAlign w:val="bottom"/>
          </w:tcPr>
          <w:p w14:paraId="17A131FD" w14:textId="554EC5FD" w:rsidR="003C5153" w:rsidRPr="00822426" w:rsidRDefault="003C5153" w:rsidP="003C5153">
            <w:pPr>
              <w:jc w:val="center"/>
              <w:rPr>
                <w:rFonts w:ascii="Arial Narrow" w:hAnsi="Arial Narrow"/>
                <w:color w:val="000000"/>
                <w:sz w:val="20"/>
              </w:rPr>
            </w:pPr>
            <w:r>
              <w:rPr>
                <w:rFonts w:ascii="Arial Narrow" w:hAnsi="Arial Narrow"/>
                <w:color w:val="000000"/>
                <w:sz w:val="20"/>
                <w:lang w:val="en-AU" w:eastAsia="en-AU"/>
              </w:rPr>
              <w:t>0.61</w:t>
            </w:r>
          </w:p>
        </w:tc>
      </w:tr>
      <w:tr w:rsidR="003C5153" w:rsidRPr="00B72345" w14:paraId="11EA9A0B" w14:textId="77777777" w:rsidTr="00822426">
        <w:trPr>
          <w:trHeight w:hRule="exact" w:val="255"/>
        </w:trPr>
        <w:tc>
          <w:tcPr>
            <w:tcW w:w="771"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9A02" w14:textId="77777777" w:rsidR="003C5153" w:rsidRPr="00D41D10" w:rsidRDefault="003C5153" w:rsidP="003C5153">
            <w:pPr>
              <w:spacing w:after="0"/>
              <w:jc w:val="center"/>
              <w:rPr>
                <w:rFonts w:cs="Arial"/>
                <w:color w:val="000000"/>
                <w:szCs w:val="22"/>
                <w:lang w:val="en-AU" w:eastAsia="en-AU"/>
              </w:rPr>
            </w:pPr>
            <w:r w:rsidRPr="00D41D10">
              <w:rPr>
                <w:rFonts w:cs="Arial"/>
                <w:color w:val="000000"/>
                <w:szCs w:val="22"/>
                <w:lang w:val="en-AU" w:eastAsia="en-AU"/>
              </w:rPr>
              <w:t>Tully</w:t>
            </w: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A03" w14:textId="77777777" w:rsidR="003C5153" w:rsidRPr="00D41D10" w:rsidRDefault="003C5153" w:rsidP="003C5153">
            <w:pPr>
              <w:spacing w:after="0"/>
              <w:jc w:val="left"/>
              <w:rPr>
                <w:rFonts w:ascii="Arial Narrow" w:hAnsi="Arial Narrow"/>
                <w:color w:val="000000"/>
                <w:sz w:val="20"/>
                <w:lang w:val="en-AU" w:eastAsia="en-AU"/>
              </w:rPr>
            </w:pPr>
            <w:r w:rsidRPr="00D41D10">
              <w:rPr>
                <w:rFonts w:ascii="Arial Narrow" w:hAnsi="Arial Narrow"/>
                <w:color w:val="000000"/>
                <w:sz w:val="20"/>
                <w:lang w:val="en-AU" w:eastAsia="en-AU"/>
              </w:rPr>
              <w:t>Barnards</w:t>
            </w:r>
          </w:p>
        </w:tc>
        <w:tc>
          <w:tcPr>
            <w:tcW w:w="284" w:type="dxa"/>
            <w:tcBorders>
              <w:top w:val="nil"/>
              <w:left w:val="nil"/>
              <w:bottom w:val="single" w:sz="4" w:space="0" w:color="auto"/>
              <w:right w:val="single" w:sz="4" w:space="0" w:color="auto"/>
            </w:tcBorders>
            <w:shd w:val="clear" w:color="auto" w:fill="auto"/>
            <w:noWrap/>
            <w:vAlign w:val="center"/>
            <w:hideMark/>
          </w:tcPr>
          <w:p w14:paraId="11EA9A04"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11EA9A05" w14:textId="2A8D439B"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0.36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A06" w14:textId="08674E14"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0.99</w:t>
            </w:r>
          </w:p>
        </w:tc>
        <w:tc>
          <w:tcPr>
            <w:tcW w:w="1134" w:type="dxa"/>
            <w:tcBorders>
              <w:top w:val="nil"/>
              <w:left w:val="nil"/>
              <w:bottom w:val="single" w:sz="4" w:space="0" w:color="auto"/>
              <w:right w:val="single" w:sz="4" w:space="0" w:color="auto"/>
            </w:tcBorders>
            <w:shd w:val="clear" w:color="auto" w:fill="auto"/>
            <w:noWrap/>
            <w:vAlign w:val="bottom"/>
          </w:tcPr>
          <w:p w14:paraId="11EA9A07" w14:textId="7E2B14A7"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0.37</w:t>
            </w:r>
          </w:p>
        </w:tc>
        <w:tc>
          <w:tcPr>
            <w:tcW w:w="1047" w:type="dxa"/>
            <w:tcBorders>
              <w:top w:val="nil"/>
              <w:left w:val="nil"/>
              <w:bottom w:val="single" w:sz="4" w:space="0" w:color="auto"/>
              <w:right w:val="single" w:sz="4" w:space="0" w:color="auto"/>
            </w:tcBorders>
            <w:shd w:val="clear" w:color="auto" w:fill="auto"/>
            <w:noWrap/>
            <w:vAlign w:val="bottom"/>
          </w:tcPr>
          <w:p w14:paraId="11EA9A08" w14:textId="55C43E22"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0.71</w:t>
            </w:r>
          </w:p>
        </w:tc>
        <w:tc>
          <w:tcPr>
            <w:tcW w:w="1221" w:type="dxa"/>
            <w:tcBorders>
              <w:top w:val="nil"/>
              <w:left w:val="nil"/>
              <w:bottom w:val="single" w:sz="4" w:space="0" w:color="auto"/>
              <w:right w:val="single" w:sz="4" w:space="0" w:color="auto"/>
            </w:tcBorders>
            <w:shd w:val="clear" w:color="auto" w:fill="auto"/>
            <w:noWrap/>
            <w:vAlign w:val="bottom"/>
          </w:tcPr>
          <w:p w14:paraId="11EA9A09" w14:textId="649074BE"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000000" w:fill="FFFF00"/>
            <w:noWrap/>
            <w:vAlign w:val="bottom"/>
          </w:tcPr>
          <w:p w14:paraId="11EA9A0A" w14:textId="14DB876D"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0.59</w:t>
            </w:r>
          </w:p>
        </w:tc>
      </w:tr>
      <w:tr w:rsidR="003C5153" w:rsidRPr="00B72345" w14:paraId="11EA9A15" w14:textId="77777777" w:rsidTr="00822426">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0C"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A0D" w14:textId="77777777" w:rsidR="003C5153" w:rsidRPr="00D41D10" w:rsidRDefault="003C5153" w:rsidP="003C5153">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A0E"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11EA9A0F" w14:textId="44E71160"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0.40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A10" w14:textId="6F92733A"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11EA9A11" w14:textId="605B72BA"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0.79</w:t>
            </w:r>
          </w:p>
        </w:tc>
        <w:tc>
          <w:tcPr>
            <w:tcW w:w="1047" w:type="dxa"/>
            <w:tcBorders>
              <w:top w:val="nil"/>
              <w:left w:val="nil"/>
              <w:bottom w:val="single" w:sz="4" w:space="0" w:color="auto"/>
              <w:right w:val="single" w:sz="4" w:space="0" w:color="auto"/>
            </w:tcBorders>
            <w:shd w:val="clear" w:color="auto" w:fill="auto"/>
            <w:noWrap/>
            <w:vAlign w:val="bottom"/>
          </w:tcPr>
          <w:p w14:paraId="11EA9A12" w14:textId="2F4D30BF"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0.80</w:t>
            </w:r>
          </w:p>
        </w:tc>
        <w:tc>
          <w:tcPr>
            <w:tcW w:w="1221" w:type="dxa"/>
            <w:tcBorders>
              <w:top w:val="nil"/>
              <w:left w:val="nil"/>
              <w:bottom w:val="single" w:sz="4" w:space="0" w:color="auto"/>
              <w:right w:val="single" w:sz="4" w:space="0" w:color="auto"/>
            </w:tcBorders>
            <w:shd w:val="clear" w:color="auto" w:fill="auto"/>
            <w:noWrap/>
            <w:vAlign w:val="bottom"/>
          </w:tcPr>
          <w:p w14:paraId="11EA9A13" w14:textId="3F53EDCC"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000000" w:fill="92D050"/>
            <w:noWrap/>
            <w:vAlign w:val="bottom"/>
          </w:tcPr>
          <w:p w14:paraId="11EA9A14" w14:textId="11D67FDB"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0.70</w:t>
            </w:r>
          </w:p>
        </w:tc>
      </w:tr>
      <w:tr w:rsidR="003C5153" w:rsidRPr="00B72345" w14:paraId="11EA9A1F" w14:textId="77777777" w:rsidTr="00822426">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16"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A17" w14:textId="77777777" w:rsidR="003C5153" w:rsidRPr="00D41D10" w:rsidRDefault="003C5153" w:rsidP="003C5153">
            <w:pPr>
              <w:spacing w:after="0"/>
              <w:jc w:val="left"/>
              <w:rPr>
                <w:rFonts w:ascii="Arial Narrow" w:hAnsi="Arial Narrow"/>
                <w:color w:val="000000"/>
                <w:sz w:val="20"/>
                <w:lang w:val="en-AU" w:eastAsia="en-AU"/>
              </w:rPr>
            </w:pPr>
            <w:r>
              <w:rPr>
                <w:rFonts w:ascii="Arial Narrow" w:hAnsi="Arial Narrow"/>
                <w:color w:val="000000"/>
                <w:sz w:val="20"/>
                <w:lang w:val="en-AU" w:eastAsia="en-AU"/>
              </w:rPr>
              <w:t>Dunk North</w:t>
            </w:r>
          </w:p>
        </w:tc>
        <w:tc>
          <w:tcPr>
            <w:tcW w:w="284" w:type="dxa"/>
            <w:tcBorders>
              <w:top w:val="nil"/>
              <w:left w:val="nil"/>
              <w:bottom w:val="single" w:sz="4" w:space="0" w:color="auto"/>
              <w:right w:val="single" w:sz="4" w:space="0" w:color="auto"/>
            </w:tcBorders>
            <w:shd w:val="clear" w:color="auto" w:fill="auto"/>
            <w:noWrap/>
            <w:vAlign w:val="center"/>
            <w:hideMark/>
          </w:tcPr>
          <w:p w14:paraId="11EA9A18"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11EA9A19" w14:textId="6CF3B8BE"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0.27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A1A" w14:textId="5D03361A"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11EA9A1B" w14:textId="5F3F5EA2"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0.24</w:t>
            </w:r>
          </w:p>
        </w:tc>
        <w:tc>
          <w:tcPr>
            <w:tcW w:w="1047" w:type="dxa"/>
            <w:tcBorders>
              <w:top w:val="nil"/>
              <w:left w:val="nil"/>
              <w:bottom w:val="single" w:sz="4" w:space="0" w:color="auto"/>
              <w:right w:val="single" w:sz="4" w:space="0" w:color="auto"/>
            </w:tcBorders>
            <w:shd w:val="clear" w:color="auto" w:fill="auto"/>
            <w:noWrap/>
            <w:vAlign w:val="bottom"/>
          </w:tcPr>
          <w:p w14:paraId="11EA9A1C" w14:textId="1D1E48DE"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0.74</w:t>
            </w:r>
          </w:p>
        </w:tc>
        <w:tc>
          <w:tcPr>
            <w:tcW w:w="1221" w:type="dxa"/>
            <w:tcBorders>
              <w:top w:val="nil"/>
              <w:left w:val="nil"/>
              <w:bottom w:val="single" w:sz="4" w:space="0" w:color="auto"/>
              <w:right w:val="single" w:sz="4" w:space="0" w:color="auto"/>
            </w:tcBorders>
            <w:shd w:val="clear" w:color="auto" w:fill="auto"/>
            <w:noWrap/>
            <w:vAlign w:val="bottom"/>
          </w:tcPr>
          <w:p w14:paraId="11EA9A1D" w14:textId="2DDE2239"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w:t>
            </w:r>
          </w:p>
        </w:tc>
        <w:tc>
          <w:tcPr>
            <w:tcW w:w="1117" w:type="dxa"/>
            <w:tcBorders>
              <w:top w:val="nil"/>
              <w:left w:val="nil"/>
              <w:bottom w:val="single" w:sz="4" w:space="0" w:color="auto"/>
              <w:right w:val="single" w:sz="4" w:space="0" w:color="auto"/>
            </w:tcBorders>
            <w:shd w:val="clear" w:color="auto" w:fill="FFFF00"/>
            <w:noWrap/>
            <w:vAlign w:val="bottom"/>
          </w:tcPr>
          <w:p w14:paraId="11EA9A1E" w14:textId="3DD3B9AD"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0.45</w:t>
            </w:r>
          </w:p>
        </w:tc>
      </w:tr>
      <w:tr w:rsidR="003C5153" w:rsidRPr="00B72345" w14:paraId="11EA9A29" w14:textId="77777777" w:rsidTr="00822426">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20"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A21" w14:textId="77777777" w:rsidR="003C5153" w:rsidRPr="00D41D10" w:rsidRDefault="003C5153" w:rsidP="003C5153">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A22"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11EA9A23" w14:textId="7E86FAEF"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0.33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A24" w14:textId="1B55A1E8"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11EA9A25" w14:textId="3F30F728"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0.60</w:t>
            </w:r>
          </w:p>
        </w:tc>
        <w:tc>
          <w:tcPr>
            <w:tcW w:w="1047" w:type="dxa"/>
            <w:tcBorders>
              <w:top w:val="nil"/>
              <w:left w:val="nil"/>
              <w:bottom w:val="single" w:sz="4" w:space="0" w:color="auto"/>
              <w:right w:val="single" w:sz="4" w:space="0" w:color="auto"/>
            </w:tcBorders>
            <w:shd w:val="clear" w:color="auto" w:fill="auto"/>
            <w:noWrap/>
            <w:vAlign w:val="bottom"/>
          </w:tcPr>
          <w:p w14:paraId="11EA9A26" w14:textId="54868402"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0.60</w:t>
            </w:r>
          </w:p>
        </w:tc>
        <w:tc>
          <w:tcPr>
            <w:tcW w:w="1221" w:type="dxa"/>
            <w:tcBorders>
              <w:top w:val="nil"/>
              <w:left w:val="nil"/>
              <w:bottom w:val="single" w:sz="4" w:space="0" w:color="auto"/>
              <w:right w:val="single" w:sz="4" w:space="0" w:color="auto"/>
            </w:tcBorders>
            <w:shd w:val="clear" w:color="auto" w:fill="auto"/>
            <w:noWrap/>
            <w:vAlign w:val="bottom"/>
          </w:tcPr>
          <w:p w14:paraId="11EA9A27" w14:textId="47832FB2"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single" w:sz="4" w:space="0" w:color="auto"/>
              <w:left w:val="nil"/>
              <w:bottom w:val="single" w:sz="4" w:space="0" w:color="auto"/>
              <w:right w:val="single" w:sz="4" w:space="0" w:color="auto"/>
            </w:tcBorders>
            <w:shd w:val="clear" w:color="auto" w:fill="92D050"/>
            <w:noWrap/>
            <w:vAlign w:val="bottom"/>
          </w:tcPr>
          <w:p w14:paraId="11EA9A28" w14:textId="0EC999E2"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0.61</w:t>
            </w:r>
          </w:p>
        </w:tc>
      </w:tr>
      <w:tr w:rsidR="003C5153" w:rsidRPr="00B72345" w14:paraId="11EA9A33" w14:textId="77777777" w:rsidTr="00822426">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2A"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A2B" w14:textId="77777777" w:rsidR="003C5153" w:rsidRPr="00D41D10" w:rsidRDefault="003C5153" w:rsidP="003C5153">
            <w:pPr>
              <w:spacing w:after="0"/>
              <w:jc w:val="left"/>
              <w:rPr>
                <w:rFonts w:ascii="Arial Narrow" w:hAnsi="Arial Narrow"/>
                <w:color w:val="000000"/>
                <w:sz w:val="20"/>
                <w:lang w:val="en-AU" w:eastAsia="en-AU"/>
              </w:rPr>
            </w:pPr>
            <w:r>
              <w:rPr>
                <w:rFonts w:ascii="Arial Narrow" w:hAnsi="Arial Narrow"/>
                <w:color w:val="000000"/>
                <w:sz w:val="20"/>
                <w:lang w:val="en-AU" w:eastAsia="en-AU"/>
              </w:rPr>
              <w:t>Dunk South</w:t>
            </w:r>
          </w:p>
        </w:tc>
        <w:tc>
          <w:tcPr>
            <w:tcW w:w="284" w:type="dxa"/>
            <w:tcBorders>
              <w:top w:val="nil"/>
              <w:left w:val="nil"/>
              <w:bottom w:val="single" w:sz="4" w:space="0" w:color="auto"/>
              <w:right w:val="single" w:sz="4" w:space="0" w:color="auto"/>
            </w:tcBorders>
            <w:shd w:val="clear" w:color="auto" w:fill="auto"/>
            <w:noWrap/>
            <w:vAlign w:val="center"/>
            <w:hideMark/>
          </w:tcPr>
          <w:p w14:paraId="11EA9A2C"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11EA9A2D" w14:textId="67211AE3"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0.25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A2E" w14:textId="7C11619C"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0.71</w:t>
            </w:r>
          </w:p>
        </w:tc>
        <w:tc>
          <w:tcPr>
            <w:tcW w:w="1134" w:type="dxa"/>
            <w:tcBorders>
              <w:top w:val="nil"/>
              <w:left w:val="nil"/>
              <w:bottom w:val="single" w:sz="4" w:space="0" w:color="auto"/>
              <w:right w:val="single" w:sz="4" w:space="0" w:color="auto"/>
            </w:tcBorders>
            <w:shd w:val="clear" w:color="auto" w:fill="auto"/>
            <w:noWrap/>
            <w:vAlign w:val="bottom"/>
          </w:tcPr>
          <w:p w14:paraId="11EA9A2F" w14:textId="41DA9422"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tcPr>
          <w:p w14:paraId="11EA9A30" w14:textId="7971BCEE"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0.81</w:t>
            </w:r>
          </w:p>
        </w:tc>
        <w:tc>
          <w:tcPr>
            <w:tcW w:w="1221" w:type="dxa"/>
            <w:tcBorders>
              <w:top w:val="nil"/>
              <w:left w:val="nil"/>
              <w:bottom w:val="single" w:sz="4" w:space="0" w:color="auto"/>
              <w:right w:val="single" w:sz="4" w:space="0" w:color="auto"/>
            </w:tcBorders>
            <w:shd w:val="clear" w:color="auto" w:fill="auto"/>
            <w:noWrap/>
            <w:vAlign w:val="bottom"/>
          </w:tcPr>
          <w:p w14:paraId="11EA9A31" w14:textId="1B69FBD6"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w:t>
            </w:r>
          </w:p>
        </w:tc>
        <w:tc>
          <w:tcPr>
            <w:tcW w:w="1117" w:type="dxa"/>
            <w:tcBorders>
              <w:top w:val="nil"/>
              <w:left w:val="nil"/>
              <w:bottom w:val="single" w:sz="4" w:space="0" w:color="auto"/>
              <w:right w:val="single" w:sz="4" w:space="0" w:color="auto"/>
            </w:tcBorders>
            <w:shd w:val="clear" w:color="000000" w:fill="FFFF00"/>
            <w:noWrap/>
            <w:vAlign w:val="bottom"/>
          </w:tcPr>
          <w:p w14:paraId="11EA9A32" w14:textId="4BEF0081"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0.55</w:t>
            </w:r>
          </w:p>
        </w:tc>
      </w:tr>
      <w:tr w:rsidR="003C5153" w:rsidRPr="00B72345" w14:paraId="11EA9A3D" w14:textId="77777777" w:rsidTr="00822426">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34"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A35" w14:textId="77777777" w:rsidR="003C5153" w:rsidRPr="00D41D10" w:rsidRDefault="003C5153" w:rsidP="003C5153">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A36"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11EA9A37" w14:textId="2AF344CF"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0.47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A38" w14:textId="51A37AE9"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11EA9A39" w14:textId="07AF21F4"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tcPr>
          <w:p w14:paraId="11EA9A3A" w14:textId="64B630EE"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0.71</w:t>
            </w:r>
          </w:p>
        </w:tc>
        <w:tc>
          <w:tcPr>
            <w:tcW w:w="1221" w:type="dxa"/>
            <w:tcBorders>
              <w:top w:val="nil"/>
              <w:left w:val="nil"/>
              <w:bottom w:val="single" w:sz="4" w:space="0" w:color="auto"/>
              <w:right w:val="single" w:sz="4" w:space="0" w:color="auto"/>
            </w:tcBorders>
            <w:shd w:val="clear" w:color="auto" w:fill="auto"/>
            <w:noWrap/>
            <w:vAlign w:val="bottom"/>
          </w:tcPr>
          <w:p w14:paraId="11EA9A3B" w14:textId="3C800981"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000000" w:fill="FFFF00"/>
            <w:noWrap/>
            <w:vAlign w:val="bottom"/>
          </w:tcPr>
          <w:p w14:paraId="11EA9A3C" w14:textId="16F97B0C"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0.54</w:t>
            </w:r>
          </w:p>
        </w:tc>
      </w:tr>
      <w:tr w:rsidR="003C5153" w:rsidRPr="00B72345" w14:paraId="11EA9A47" w14:textId="77777777" w:rsidTr="00822426">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3E"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A3F" w14:textId="77777777" w:rsidR="003C5153" w:rsidRPr="00D41D10" w:rsidRDefault="003C5153" w:rsidP="003C5153">
            <w:pPr>
              <w:spacing w:after="0"/>
              <w:jc w:val="left"/>
              <w:rPr>
                <w:rFonts w:ascii="Arial Narrow" w:hAnsi="Arial Narrow"/>
                <w:color w:val="000000"/>
                <w:sz w:val="20"/>
                <w:lang w:val="en-AU" w:eastAsia="en-AU"/>
              </w:rPr>
            </w:pPr>
            <w:r>
              <w:rPr>
                <w:rFonts w:ascii="Arial Narrow" w:hAnsi="Arial Narrow"/>
                <w:color w:val="000000"/>
                <w:sz w:val="20"/>
                <w:lang w:val="en-AU" w:eastAsia="en-AU"/>
              </w:rPr>
              <w:t>Bedarra</w:t>
            </w:r>
          </w:p>
        </w:tc>
        <w:tc>
          <w:tcPr>
            <w:tcW w:w="284" w:type="dxa"/>
            <w:tcBorders>
              <w:top w:val="nil"/>
              <w:left w:val="nil"/>
              <w:bottom w:val="single" w:sz="4" w:space="0" w:color="auto"/>
              <w:right w:val="single" w:sz="4" w:space="0" w:color="auto"/>
            </w:tcBorders>
            <w:shd w:val="clear" w:color="auto" w:fill="auto"/>
            <w:noWrap/>
            <w:vAlign w:val="center"/>
            <w:hideMark/>
          </w:tcPr>
          <w:p w14:paraId="11EA9A40"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11EA9A41" w14:textId="7BF24563"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0.17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A42" w14:textId="185CD27D"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0.91</w:t>
            </w:r>
          </w:p>
        </w:tc>
        <w:tc>
          <w:tcPr>
            <w:tcW w:w="1134" w:type="dxa"/>
            <w:tcBorders>
              <w:top w:val="nil"/>
              <w:left w:val="nil"/>
              <w:bottom w:val="single" w:sz="4" w:space="0" w:color="auto"/>
              <w:right w:val="single" w:sz="4" w:space="0" w:color="auto"/>
            </w:tcBorders>
            <w:shd w:val="clear" w:color="auto" w:fill="auto"/>
            <w:noWrap/>
            <w:vAlign w:val="bottom"/>
          </w:tcPr>
          <w:p w14:paraId="11EA9A43" w14:textId="3C03D210"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0.07</w:t>
            </w:r>
          </w:p>
        </w:tc>
        <w:tc>
          <w:tcPr>
            <w:tcW w:w="1047" w:type="dxa"/>
            <w:tcBorders>
              <w:top w:val="nil"/>
              <w:left w:val="nil"/>
              <w:bottom w:val="single" w:sz="4" w:space="0" w:color="auto"/>
              <w:right w:val="single" w:sz="4" w:space="0" w:color="auto"/>
            </w:tcBorders>
            <w:shd w:val="clear" w:color="auto" w:fill="auto"/>
            <w:noWrap/>
            <w:vAlign w:val="bottom"/>
          </w:tcPr>
          <w:p w14:paraId="11EA9A44" w14:textId="799E82AE"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0.00</w:t>
            </w:r>
          </w:p>
        </w:tc>
        <w:tc>
          <w:tcPr>
            <w:tcW w:w="1221" w:type="dxa"/>
            <w:tcBorders>
              <w:top w:val="nil"/>
              <w:left w:val="nil"/>
              <w:bottom w:val="single" w:sz="4" w:space="0" w:color="auto"/>
              <w:right w:val="single" w:sz="4" w:space="0" w:color="auto"/>
            </w:tcBorders>
            <w:shd w:val="clear" w:color="auto" w:fill="auto"/>
            <w:noWrap/>
            <w:vAlign w:val="bottom"/>
          </w:tcPr>
          <w:p w14:paraId="11EA9A45" w14:textId="58299AD0" w:rsidR="003C5153" w:rsidRPr="00822426" w:rsidRDefault="003C5153" w:rsidP="003C5153">
            <w:pPr>
              <w:jc w:val="center"/>
              <w:rPr>
                <w:rFonts w:ascii="Arial Narrow" w:hAnsi="Arial Narrow"/>
                <w:color w:val="000000"/>
                <w:sz w:val="20"/>
              </w:rPr>
            </w:pPr>
            <w:r>
              <w:rPr>
                <w:rFonts w:ascii="Arial Narrow" w:hAnsi="Arial Narrow"/>
                <w:color w:val="000000"/>
                <w:sz w:val="20"/>
              </w:rPr>
              <w:t>NA</w:t>
            </w:r>
          </w:p>
        </w:tc>
        <w:tc>
          <w:tcPr>
            <w:tcW w:w="1117" w:type="dxa"/>
            <w:tcBorders>
              <w:top w:val="nil"/>
              <w:left w:val="nil"/>
              <w:bottom w:val="single" w:sz="4" w:space="0" w:color="auto"/>
              <w:right w:val="single" w:sz="4" w:space="0" w:color="auto"/>
            </w:tcBorders>
            <w:shd w:val="clear" w:color="auto" w:fill="FFC000"/>
            <w:noWrap/>
            <w:vAlign w:val="bottom"/>
          </w:tcPr>
          <w:p w14:paraId="11EA9A46" w14:textId="5BA8BD75"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0.2</w:t>
            </w:r>
            <w:r>
              <w:rPr>
                <w:rFonts w:ascii="Arial Narrow" w:hAnsi="Arial Narrow"/>
                <w:color w:val="000000"/>
                <w:sz w:val="20"/>
              </w:rPr>
              <w:t>9</w:t>
            </w:r>
          </w:p>
        </w:tc>
      </w:tr>
      <w:tr w:rsidR="003C5153" w:rsidRPr="00B72345" w14:paraId="11EA9A51" w14:textId="77777777" w:rsidTr="00822426">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48"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A49" w14:textId="77777777" w:rsidR="003C5153" w:rsidRPr="00D41D10" w:rsidRDefault="003C5153" w:rsidP="003C5153">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A4A"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11EA9A4B" w14:textId="27BF20E1"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0.28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A4C" w14:textId="6A5D0D9C"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11EA9A4D" w14:textId="0EE00A84"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0.75</w:t>
            </w:r>
          </w:p>
        </w:tc>
        <w:tc>
          <w:tcPr>
            <w:tcW w:w="1047" w:type="dxa"/>
            <w:tcBorders>
              <w:top w:val="nil"/>
              <w:left w:val="nil"/>
              <w:bottom w:val="single" w:sz="4" w:space="0" w:color="auto"/>
              <w:right w:val="single" w:sz="4" w:space="0" w:color="auto"/>
            </w:tcBorders>
            <w:shd w:val="clear" w:color="auto" w:fill="auto"/>
            <w:noWrap/>
            <w:vAlign w:val="bottom"/>
          </w:tcPr>
          <w:p w14:paraId="11EA9A4E" w14:textId="4400328F"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1.00</w:t>
            </w:r>
          </w:p>
        </w:tc>
        <w:tc>
          <w:tcPr>
            <w:tcW w:w="1221" w:type="dxa"/>
            <w:tcBorders>
              <w:top w:val="nil"/>
              <w:left w:val="nil"/>
              <w:bottom w:val="single" w:sz="4" w:space="0" w:color="auto"/>
              <w:right w:val="single" w:sz="4" w:space="0" w:color="auto"/>
            </w:tcBorders>
            <w:shd w:val="clear" w:color="auto" w:fill="auto"/>
            <w:noWrap/>
            <w:vAlign w:val="bottom"/>
          </w:tcPr>
          <w:p w14:paraId="11EA9A4F" w14:textId="35C19E58" w:rsidR="003C5153" w:rsidRPr="00822426" w:rsidRDefault="003C5153" w:rsidP="003C5153">
            <w:pPr>
              <w:jc w:val="center"/>
              <w:rPr>
                <w:rFonts w:ascii="Arial Narrow" w:hAnsi="Arial Narrow"/>
                <w:color w:val="000000"/>
                <w:sz w:val="20"/>
              </w:rPr>
            </w:pPr>
            <w:r>
              <w:rPr>
                <w:rFonts w:ascii="Arial Narrow" w:hAnsi="Arial Narrow"/>
                <w:color w:val="000000"/>
                <w:sz w:val="20"/>
              </w:rPr>
              <w:t>NA</w:t>
            </w:r>
          </w:p>
        </w:tc>
        <w:tc>
          <w:tcPr>
            <w:tcW w:w="1117" w:type="dxa"/>
            <w:tcBorders>
              <w:top w:val="nil"/>
              <w:left w:val="nil"/>
              <w:bottom w:val="single" w:sz="4" w:space="0" w:color="auto"/>
              <w:right w:val="single" w:sz="4" w:space="0" w:color="auto"/>
            </w:tcBorders>
            <w:shd w:val="clear" w:color="auto" w:fill="92D050"/>
            <w:noWrap/>
            <w:vAlign w:val="bottom"/>
          </w:tcPr>
          <w:p w14:paraId="11EA9A50" w14:textId="09B7327A"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w:t>
            </w:r>
            <w:r>
              <w:rPr>
                <w:rFonts w:ascii="Arial Narrow" w:hAnsi="Arial Narrow"/>
                <w:color w:val="000000"/>
                <w:sz w:val="20"/>
              </w:rPr>
              <w:t>.76</w:t>
            </w:r>
          </w:p>
        </w:tc>
      </w:tr>
      <w:tr w:rsidR="003C5153" w:rsidRPr="00B72345" w14:paraId="11EA9A59" w14:textId="77777777" w:rsidTr="003C5153">
        <w:trPr>
          <w:cantSplit/>
          <w:trHeight w:hRule="exact" w:val="255"/>
        </w:trPr>
        <w:tc>
          <w:tcPr>
            <w:tcW w:w="2631" w:type="dxa"/>
            <w:gridSpan w:val="3"/>
            <w:tcBorders>
              <w:top w:val="nil"/>
              <w:left w:val="single" w:sz="4" w:space="0" w:color="auto"/>
              <w:bottom w:val="single" w:sz="4" w:space="0" w:color="auto"/>
              <w:right w:val="single" w:sz="4" w:space="0" w:color="auto"/>
            </w:tcBorders>
            <w:shd w:val="clear" w:color="auto" w:fill="FFFF00"/>
            <w:noWrap/>
            <w:vAlign w:val="center"/>
            <w:hideMark/>
          </w:tcPr>
          <w:p w14:paraId="11EA9A52" w14:textId="77777777" w:rsidR="003C5153" w:rsidRPr="00D41D10" w:rsidRDefault="003C5153" w:rsidP="003C5153">
            <w:pPr>
              <w:spacing w:after="0"/>
              <w:jc w:val="center"/>
              <w:rPr>
                <w:rFonts w:ascii="Arial Narrow" w:hAnsi="Arial Narrow"/>
                <w:color w:val="000000"/>
                <w:szCs w:val="22"/>
                <w:lang w:val="en-AU" w:eastAsia="en-AU"/>
              </w:rPr>
            </w:pPr>
            <w:r w:rsidRPr="00D41D10">
              <w:rPr>
                <w:rFonts w:ascii="Arial Narrow" w:hAnsi="Arial Narrow"/>
                <w:color w:val="000000"/>
                <w:sz w:val="20"/>
                <w:shd w:val="clear" w:color="auto" w:fill="FFFF00"/>
                <w:lang w:val="en-AU" w:eastAsia="en-AU"/>
              </w:rPr>
              <w:t>Report Card</w:t>
            </w:r>
            <w:r w:rsidRPr="00D41D10">
              <w:rPr>
                <w:rFonts w:ascii="Arial Narrow" w:hAnsi="Arial Narrow"/>
                <w:color w:val="000000"/>
                <w:sz w:val="20"/>
                <w:lang w:val="en-AU" w:eastAsia="en-AU"/>
              </w:rPr>
              <w:t xml:space="preserve"> Score – Moderate</w:t>
            </w:r>
          </w:p>
        </w:tc>
        <w:tc>
          <w:tcPr>
            <w:tcW w:w="1134" w:type="dxa"/>
            <w:tcBorders>
              <w:top w:val="nil"/>
              <w:left w:val="nil"/>
              <w:bottom w:val="single" w:sz="4" w:space="0" w:color="auto"/>
              <w:right w:val="single" w:sz="4" w:space="0" w:color="auto"/>
            </w:tcBorders>
            <w:shd w:val="clear" w:color="000000" w:fill="FFC000"/>
            <w:noWrap/>
            <w:vAlign w:val="bottom"/>
          </w:tcPr>
          <w:p w14:paraId="11EA9A53" w14:textId="522D2424"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rPr>
              <w:t>0.32</w:t>
            </w:r>
          </w:p>
        </w:tc>
        <w:tc>
          <w:tcPr>
            <w:tcW w:w="1134" w:type="dxa"/>
            <w:tcBorders>
              <w:top w:val="nil"/>
              <w:left w:val="nil"/>
              <w:bottom w:val="single" w:sz="4" w:space="0" w:color="auto"/>
              <w:right w:val="single" w:sz="4" w:space="0" w:color="auto"/>
            </w:tcBorders>
            <w:shd w:val="clear" w:color="000000" w:fill="00B050"/>
            <w:noWrap/>
            <w:tcMar>
              <w:left w:w="0" w:type="dxa"/>
              <w:right w:w="0" w:type="dxa"/>
            </w:tcMar>
            <w:vAlign w:val="bottom"/>
          </w:tcPr>
          <w:p w14:paraId="11EA9A54" w14:textId="28D04EF3"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rPr>
              <w:t>0.95</w:t>
            </w:r>
          </w:p>
        </w:tc>
        <w:tc>
          <w:tcPr>
            <w:tcW w:w="1134" w:type="dxa"/>
            <w:tcBorders>
              <w:top w:val="nil"/>
              <w:left w:val="nil"/>
              <w:bottom w:val="single" w:sz="4" w:space="0" w:color="auto"/>
              <w:right w:val="single" w:sz="4" w:space="0" w:color="auto"/>
            </w:tcBorders>
            <w:shd w:val="clear" w:color="000000" w:fill="FFC000"/>
            <w:noWrap/>
            <w:vAlign w:val="bottom"/>
          </w:tcPr>
          <w:p w14:paraId="11EA9A55" w14:textId="5A7179E5"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rPr>
              <w:t>0.35</w:t>
            </w:r>
          </w:p>
        </w:tc>
        <w:tc>
          <w:tcPr>
            <w:tcW w:w="1047" w:type="dxa"/>
            <w:tcBorders>
              <w:top w:val="nil"/>
              <w:left w:val="nil"/>
              <w:bottom w:val="single" w:sz="4" w:space="0" w:color="auto"/>
              <w:right w:val="single" w:sz="4" w:space="0" w:color="auto"/>
            </w:tcBorders>
            <w:shd w:val="clear" w:color="000000" w:fill="92D050"/>
            <w:noWrap/>
            <w:vAlign w:val="bottom"/>
          </w:tcPr>
          <w:p w14:paraId="11EA9A56" w14:textId="4E5E3A2E"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rPr>
              <w:t>0.67</w:t>
            </w:r>
          </w:p>
        </w:tc>
        <w:tc>
          <w:tcPr>
            <w:tcW w:w="1221" w:type="dxa"/>
            <w:tcBorders>
              <w:top w:val="single" w:sz="4" w:space="0" w:color="auto"/>
              <w:left w:val="nil"/>
              <w:bottom w:val="single" w:sz="4" w:space="0" w:color="auto"/>
              <w:right w:val="single" w:sz="4" w:space="0" w:color="auto"/>
            </w:tcBorders>
            <w:shd w:val="clear" w:color="auto" w:fill="FFFF00"/>
            <w:noWrap/>
            <w:vAlign w:val="bottom"/>
          </w:tcPr>
          <w:p w14:paraId="11EA9A57" w14:textId="3077B34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0.</w:t>
            </w:r>
            <w:r>
              <w:rPr>
                <w:rFonts w:ascii="Arial Narrow" w:hAnsi="Arial Narrow"/>
                <w:color w:val="000000"/>
                <w:sz w:val="20"/>
                <w:lang w:val="en-AU" w:eastAsia="en-AU"/>
              </w:rPr>
              <w:t>50</w:t>
            </w:r>
          </w:p>
        </w:tc>
        <w:tc>
          <w:tcPr>
            <w:tcW w:w="1117" w:type="dxa"/>
            <w:tcBorders>
              <w:top w:val="nil"/>
              <w:left w:val="nil"/>
              <w:bottom w:val="single" w:sz="4" w:space="0" w:color="auto"/>
              <w:right w:val="single" w:sz="4" w:space="0" w:color="auto"/>
            </w:tcBorders>
            <w:shd w:val="clear" w:color="000000" w:fill="FFFF00"/>
            <w:noWrap/>
            <w:vAlign w:val="bottom"/>
          </w:tcPr>
          <w:p w14:paraId="11EA9A58" w14:textId="3B5DEC94" w:rsidR="003C5153" w:rsidRPr="00822426" w:rsidRDefault="003C5153" w:rsidP="003C5153">
            <w:pPr>
              <w:spacing w:after="0"/>
              <w:jc w:val="center"/>
              <w:rPr>
                <w:rFonts w:ascii="Arial Narrow" w:hAnsi="Arial Narrow"/>
                <w:color w:val="000000"/>
                <w:sz w:val="20"/>
                <w:lang w:val="en-AU" w:eastAsia="en-AU"/>
              </w:rPr>
            </w:pPr>
            <w:r>
              <w:rPr>
                <w:rFonts w:ascii="Arial Narrow" w:hAnsi="Arial Narrow"/>
                <w:color w:val="000000"/>
                <w:sz w:val="20"/>
                <w:lang w:val="en-AU" w:eastAsia="en-AU"/>
              </w:rPr>
              <w:t>0.56</w:t>
            </w:r>
          </w:p>
        </w:tc>
      </w:tr>
      <w:tr w:rsidR="003C5153" w:rsidRPr="00B72345" w14:paraId="11EA9A63" w14:textId="77777777" w:rsidTr="00CE239F">
        <w:trPr>
          <w:trHeight w:hRule="exact" w:val="255"/>
        </w:trPr>
        <w:tc>
          <w:tcPr>
            <w:tcW w:w="771"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9A5A" w14:textId="77777777" w:rsidR="003C5153" w:rsidRPr="00D41D10" w:rsidRDefault="003C5153" w:rsidP="003C5153">
            <w:pPr>
              <w:spacing w:after="0"/>
              <w:jc w:val="center"/>
              <w:rPr>
                <w:rFonts w:cs="Arial"/>
                <w:color w:val="000000"/>
                <w:szCs w:val="22"/>
                <w:lang w:val="en-AU" w:eastAsia="en-AU"/>
              </w:rPr>
            </w:pPr>
            <w:r w:rsidRPr="00D41D10">
              <w:rPr>
                <w:rFonts w:cs="Arial"/>
                <w:color w:val="000000"/>
                <w:szCs w:val="22"/>
                <w:lang w:val="en-AU" w:eastAsia="en-AU"/>
              </w:rPr>
              <w:t>Burdekin</w:t>
            </w: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A5B" w14:textId="77777777" w:rsidR="003C5153" w:rsidRPr="00D41D10" w:rsidRDefault="003C5153" w:rsidP="003C5153">
            <w:pPr>
              <w:spacing w:after="0"/>
              <w:jc w:val="left"/>
              <w:rPr>
                <w:rFonts w:ascii="Arial Narrow" w:hAnsi="Arial Narrow"/>
                <w:color w:val="000000"/>
                <w:sz w:val="20"/>
                <w:lang w:val="en-AU" w:eastAsia="en-AU"/>
              </w:rPr>
            </w:pPr>
            <w:r w:rsidRPr="00D41D10">
              <w:rPr>
                <w:rFonts w:ascii="Arial Narrow" w:hAnsi="Arial Narrow"/>
                <w:color w:val="000000"/>
                <w:sz w:val="20"/>
                <w:lang w:val="en-AU" w:eastAsia="en-AU"/>
              </w:rPr>
              <w:t>Palms East</w:t>
            </w:r>
          </w:p>
        </w:tc>
        <w:tc>
          <w:tcPr>
            <w:tcW w:w="284" w:type="dxa"/>
            <w:tcBorders>
              <w:top w:val="nil"/>
              <w:left w:val="nil"/>
              <w:bottom w:val="single" w:sz="4" w:space="0" w:color="auto"/>
              <w:right w:val="single" w:sz="4" w:space="0" w:color="auto"/>
            </w:tcBorders>
            <w:shd w:val="clear" w:color="auto" w:fill="auto"/>
            <w:noWrap/>
            <w:vAlign w:val="center"/>
            <w:hideMark/>
          </w:tcPr>
          <w:p w14:paraId="11EA9A5C"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A5D" w14:textId="09143530"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0.23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A5E" w14:textId="7CC48DBA"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0.52</w:t>
            </w:r>
          </w:p>
        </w:tc>
        <w:tc>
          <w:tcPr>
            <w:tcW w:w="1134" w:type="dxa"/>
            <w:tcBorders>
              <w:top w:val="nil"/>
              <w:left w:val="nil"/>
              <w:bottom w:val="single" w:sz="4" w:space="0" w:color="auto"/>
              <w:right w:val="single" w:sz="4" w:space="0" w:color="auto"/>
            </w:tcBorders>
            <w:shd w:val="clear" w:color="auto" w:fill="auto"/>
            <w:noWrap/>
            <w:vAlign w:val="bottom"/>
            <w:hideMark/>
          </w:tcPr>
          <w:p w14:paraId="11EA9A5F" w14:textId="4FCE3292"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0.21</w:t>
            </w:r>
          </w:p>
        </w:tc>
        <w:tc>
          <w:tcPr>
            <w:tcW w:w="1047" w:type="dxa"/>
            <w:tcBorders>
              <w:top w:val="nil"/>
              <w:left w:val="nil"/>
              <w:bottom w:val="single" w:sz="4" w:space="0" w:color="auto"/>
              <w:right w:val="single" w:sz="4" w:space="0" w:color="auto"/>
            </w:tcBorders>
            <w:shd w:val="clear" w:color="auto" w:fill="auto"/>
            <w:noWrap/>
            <w:vAlign w:val="bottom"/>
            <w:hideMark/>
          </w:tcPr>
          <w:p w14:paraId="11EA9A60" w14:textId="539E5639"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0.50</w:t>
            </w:r>
          </w:p>
        </w:tc>
        <w:tc>
          <w:tcPr>
            <w:tcW w:w="1221" w:type="dxa"/>
            <w:tcBorders>
              <w:top w:val="nil"/>
              <w:left w:val="nil"/>
              <w:bottom w:val="single" w:sz="4" w:space="0" w:color="auto"/>
              <w:right w:val="single" w:sz="4" w:space="0" w:color="auto"/>
            </w:tcBorders>
            <w:shd w:val="clear" w:color="auto" w:fill="auto"/>
            <w:noWrap/>
            <w:vAlign w:val="bottom"/>
            <w:hideMark/>
          </w:tcPr>
          <w:p w14:paraId="11EA9A61" w14:textId="5815696F"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w:t>
            </w:r>
          </w:p>
        </w:tc>
        <w:tc>
          <w:tcPr>
            <w:tcW w:w="1117" w:type="dxa"/>
            <w:tcBorders>
              <w:top w:val="nil"/>
              <w:left w:val="nil"/>
              <w:bottom w:val="single" w:sz="4" w:space="0" w:color="auto"/>
              <w:right w:val="single" w:sz="4" w:space="0" w:color="auto"/>
            </w:tcBorders>
            <w:shd w:val="clear" w:color="auto" w:fill="FFFF00"/>
            <w:noWrap/>
            <w:vAlign w:val="bottom"/>
            <w:hideMark/>
          </w:tcPr>
          <w:p w14:paraId="11EA9A62" w14:textId="227D25D4"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0.49</w:t>
            </w:r>
          </w:p>
        </w:tc>
      </w:tr>
      <w:tr w:rsidR="003C5153" w:rsidRPr="00B72345" w14:paraId="11EA9A6D"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64"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A65" w14:textId="77777777" w:rsidR="003C5153" w:rsidRPr="00D41D10" w:rsidRDefault="003C5153" w:rsidP="003C5153">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A66"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A67" w14:textId="2CAC5EC4"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0.18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A68" w14:textId="3509F57F"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0.65</w:t>
            </w:r>
          </w:p>
        </w:tc>
        <w:tc>
          <w:tcPr>
            <w:tcW w:w="1134" w:type="dxa"/>
            <w:tcBorders>
              <w:top w:val="nil"/>
              <w:left w:val="nil"/>
              <w:bottom w:val="single" w:sz="4" w:space="0" w:color="auto"/>
              <w:right w:val="single" w:sz="4" w:space="0" w:color="auto"/>
            </w:tcBorders>
            <w:shd w:val="clear" w:color="auto" w:fill="auto"/>
            <w:noWrap/>
            <w:vAlign w:val="bottom"/>
            <w:hideMark/>
          </w:tcPr>
          <w:p w14:paraId="11EA9A69" w14:textId="791EF6AA"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A6A" w14:textId="2B991AEE"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0.69</w:t>
            </w:r>
          </w:p>
        </w:tc>
        <w:tc>
          <w:tcPr>
            <w:tcW w:w="1221" w:type="dxa"/>
            <w:tcBorders>
              <w:top w:val="nil"/>
              <w:left w:val="nil"/>
              <w:bottom w:val="single" w:sz="4" w:space="0" w:color="auto"/>
              <w:right w:val="single" w:sz="4" w:space="0" w:color="auto"/>
            </w:tcBorders>
            <w:shd w:val="clear" w:color="auto" w:fill="auto"/>
            <w:noWrap/>
            <w:vAlign w:val="bottom"/>
            <w:hideMark/>
          </w:tcPr>
          <w:p w14:paraId="11EA9A6B" w14:textId="53BE52EF"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w:t>
            </w:r>
          </w:p>
        </w:tc>
        <w:tc>
          <w:tcPr>
            <w:tcW w:w="1117" w:type="dxa"/>
            <w:tcBorders>
              <w:top w:val="nil"/>
              <w:left w:val="nil"/>
              <w:bottom w:val="single" w:sz="4" w:space="0" w:color="auto"/>
              <w:right w:val="single" w:sz="4" w:space="0" w:color="auto"/>
            </w:tcBorders>
            <w:shd w:val="clear" w:color="000000" w:fill="FFFF00"/>
            <w:noWrap/>
            <w:vAlign w:val="bottom"/>
            <w:hideMark/>
          </w:tcPr>
          <w:p w14:paraId="11EA9A6C" w14:textId="29586948"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0.50</w:t>
            </w:r>
          </w:p>
        </w:tc>
      </w:tr>
      <w:tr w:rsidR="003C5153" w:rsidRPr="00B72345" w14:paraId="11EA9A77" w14:textId="77777777" w:rsidTr="00CE239F">
        <w:trPr>
          <w:trHeight w:hRule="exact" w:val="255"/>
        </w:trPr>
        <w:tc>
          <w:tcPr>
            <w:tcW w:w="771" w:type="dxa"/>
            <w:vMerge/>
            <w:tcBorders>
              <w:top w:val="nil"/>
              <w:left w:val="single" w:sz="4" w:space="0" w:color="auto"/>
              <w:bottom w:val="single" w:sz="4" w:space="0" w:color="auto"/>
              <w:right w:val="single" w:sz="4" w:space="0" w:color="auto"/>
            </w:tcBorders>
            <w:vAlign w:val="center"/>
          </w:tcPr>
          <w:p w14:paraId="11EA9A6E"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val="restart"/>
            <w:tcBorders>
              <w:top w:val="nil"/>
              <w:left w:val="nil"/>
              <w:right w:val="single" w:sz="4" w:space="0" w:color="auto"/>
            </w:tcBorders>
            <w:shd w:val="clear" w:color="auto" w:fill="auto"/>
            <w:noWrap/>
            <w:vAlign w:val="center"/>
          </w:tcPr>
          <w:p w14:paraId="11EA9A6F" w14:textId="77777777" w:rsidR="003C5153" w:rsidRPr="00D41D10" w:rsidRDefault="003C5153" w:rsidP="003C5153">
            <w:pPr>
              <w:spacing w:after="0"/>
              <w:jc w:val="left"/>
              <w:rPr>
                <w:rFonts w:ascii="Arial Narrow" w:hAnsi="Arial Narrow"/>
                <w:color w:val="000000"/>
                <w:sz w:val="20"/>
                <w:lang w:val="en-AU" w:eastAsia="en-AU"/>
              </w:rPr>
            </w:pPr>
            <w:r w:rsidRPr="00D41D10">
              <w:rPr>
                <w:rFonts w:ascii="Arial Narrow" w:hAnsi="Arial Narrow"/>
                <w:color w:val="000000"/>
                <w:sz w:val="20"/>
                <w:lang w:val="en-AU" w:eastAsia="en-AU"/>
              </w:rPr>
              <w:t>Palms West</w:t>
            </w:r>
          </w:p>
        </w:tc>
        <w:tc>
          <w:tcPr>
            <w:tcW w:w="284" w:type="dxa"/>
            <w:tcBorders>
              <w:top w:val="nil"/>
              <w:left w:val="nil"/>
              <w:bottom w:val="single" w:sz="4" w:space="0" w:color="auto"/>
              <w:right w:val="single" w:sz="4" w:space="0" w:color="auto"/>
            </w:tcBorders>
            <w:shd w:val="clear" w:color="auto" w:fill="auto"/>
            <w:noWrap/>
            <w:vAlign w:val="center"/>
          </w:tcPr>
          <w:p w14:paraId="11EA9A70"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11EA9A71" w14:textId="03E2BEBE"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A72" w14:textId="4857E7CA"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0.48</w:t>
            </w:r>
          </w:p>
        </w:tc>
        <w:tc>
          <w:tcPr>
            <w:tcW w:w="1134" w:type="dxa"/>
            <w:tcBorders>
              <w:top w:val="nil"/>
              <w:left w:val="nil"/>
              <w:bottom w:val="single" w:sz="4" w:space="0" w:color="auto"/>
              <w:right w:val="single" w:sz="4" w:space="0" w:color="auto"/>
            </w:tcBorders>
            <w:shd w:val="clear" w:color="auto" w:fill="auto"/>
            <w:noWrap/>
            <w:vAlign w:val="bottom"/>
          </w:tcPr>
          <w:p w14:paraId="11EA9A73" w14:textId="698A79AA"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tcPr>
          <w:p w14:paraId="11EA9A74" w14:textId="0C35BBCE"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0.75</w:t>
            </w:r>
          </w:p>
        </w:tc>
        <w:tc>
          <w:tcPr>
            <w:tcW w:w="1221" w:type="dxa"/>
            <w:tcBorders>
              <w:top w:val="nil"/>
              <w:left w:val="nil"/>
              <w:bottom w:val="single" w:sz="4" w:space="0" w:color="auto"/>
              <w:right w:val="single" w:sz="4" w:space="0" w:color="auto"/>
            </w:tcBorders>
            <w:shd w:val="clear" w:color="auto" w:fill="auto"/>
            <w:noWrap/>
            <w:vAlign w:val="bottom"/>
          </w:tcPr>
          <w:p w14:paraId="11EA9A75" w14:textId="373C7E38"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w:t>
            </w:r>
          </w:p>
        </w:tc>
        <w:tc>
          <w:tcPr>
            <w:tcW w:w="1117" w:type="dxa"/>
            <w:tcBorders>
              <w:top w:val="nil"/>
              <w:left w:val="nil"/>
              <w:bottom w:val="single" w:sz="4" w:space="0" w:color="auto"/>
              <w:right w:val="single" w:sz="4" w:space="0" w:color="auto"/>
            </w:tcBorders>
            <w:shd w:val="clear" w:color="auto" w:fill="92D050"/>
            <w:noWrap/>
            <w:vAlign w:val="bottom"/>
          </w:tcPr>
          <w:p w14:paraId="11EA9A76" w14:textId="237FD578"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0.76</w:t>
            </w:r>
          </w:p>
        </w:tc>
      </w:tr>
      <w:tr w:rsidR="003C5153" w:rsidRPr="00B72345" w14:paraId="11EA9A81" w14:textId="77777777" w:rsidTr="00CE239F">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78"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tcBorders>
              <w:left w:val="nil"/>
              <w:bottom w:val="single" w:sz="4" w:space="0" w:color="auto"/>
              <w:right w:val="single" w:sz="4" w:space="0" w:color="auto"/>
            </w:tcBorders>
            <w:shd w:val="clear" w:color="auto" w:fill="auto"/>
            <w:noWrap/>
            <w:vAlign w:val="center"/>
            <w:hideMark/>
          </w:tcPr>
          <w:p w14:paraId="11EA9A79" w14:textId="77777777" w:rsidR="003C5153" w:rsidRPr="00D41D10" w:rsidRDefault="003C5153" w:rsidP="003C5153">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A7A"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A7B" w14:textId="31B6A735"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A7C" w14:textId="00356243"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0.45</w:t>
            </w:r>
          </w:p>
        </w:tc>
        <w:tc>
          <w:tcPr>
            <w:tcW w:w="1134" w:type="dxa"/>
            <w:tcBorders>
              <w:top w:val="nil"/>
              <w:left w:val="nil"/>
              <w:bottom w:val="single" w:sz="4" w:space="0" w:color="auto"/>
              <w:right w:val="single" w:sz="4" w:space="0" w:color="auto"/>
            </w:tcBorders>
            <w:shd w:val="clear" w:color="auto" w:fill="auto"/>
            <w:noWrap/>
            <w:vAlign w:val="bottom"/>
            <w:hideMark/>
          </w:tcPr>
          <w:p w14:paraId="11EA9A7D" w14:textId="00B8A185"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11EA9A7E" w14:textId="4EDB8B1B"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0.50</w:t>
            </w:r>
          </w:p>
        </w:tc>
        <w:tc>
          <w:tcPr>
            <w:tcW w:w="1221" w:type="dxa"/>
            <w:tcBorders>
              <w:top w:val="nil"/>
              <w:left w:val="nil"/>
              <w:bottom w:val="single" w:sz="4" w:space="0" w:color="auto"/>
              <w:right w:val="single" w:sz="4" w:space="0" w:color="auto"/>
            </w:tcBorders>
            <w:shd w:val="clear" w:color="auto" w:fill="auto"/>
            <w:noWrap/>
            <w:vAlign w:val="bottom"/>
            <w:hideMark/>
          </w:tcPr>
          <w:p w14:paraId="11EA9A7F" w14:textId="27CD1FE6"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FFFF00"/>
            <w:noWrap/>
            <w:vAlign w:val="bottom"/>
            <w:hideMark/>
          </w:tcPr>
          <w:p w14:paraId="11EA9A80" w14:textId="51E99C5F"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0.60</w:t>
            </w:r>
          </w:p>
        </w:tc>
      </w:tr>
      <w:tr w:rsidR="003C5153" w:rsidRPr="00B72345" w14:paraId="11EA9A8B" w14:textId="77777777" w:rsidTr="00CE239F">
        <w:trPr>
          <w:trHeight w:hRule="exact" w:val="255"/>
        </w:trPr>
        <w:tc>
          <w:tcPr>
            <w:tcW w:w="771" w:type="dxa"/>
            <w:vMerge/>
            <w:tcBorders>
              <w:top w:val="nil"/>
              <w:left w:val="single" w:sz="4" w:space="0" w:color="auto"/>
              <w:bottom w:val="single" w:sz="4" w:space="0" w:color="auto"/>
              <w:right w:val="single" w:sz="4" w:space="0" w:color="auto"/>
            </w:tcBorders>
            <w:vAlign w:val="center"/>
          </w:tcPr>
          <w:p w14:paraId="11EA9A82"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tcBorders>
              <w:top w:val="nil"/>
              <w:left w:val="single" w:sz="4" w:space="0" w:color="auto"/>
              <w:bottom w:val="single" w:sz="4" w:space="0" w:color="auto"/>
              <w:right w:val="single" w:sz="4" w:space="0" w:color="auto"/>
            </w:tcBorders>
            <w:shd w:val="clear" w:color="auto" w:fill="auto"/>
            <w:noWrap/>
            <w:vAlign w:val="center"/>
          </w:tcPr>
          <w:p w14:paraId="11EA9A83" w14:textId="77777777" w:rsidR="003C5153" w:rsidRPr="00D41D10" w:rsidRDefault="003C5153" w:rsidP="003C5153">
            <w:pPr>
              <w:spacing w:after="0"/>
              <w:jc w:val="left"/>
              <w:rPr>
                <w:rFonts w:ascii="Arial Narrow" w:hAnsi="Arial Narrow"/>
                <w:color w:val="000000"/>
                <w:sz w:val="20"/>
                <w:lang w:val="en-AU" w:eastAsia="en-AU"/>
              </w:rPr>
            </w:pPr>
            <w:r>
              <w:rPr>
                <w:rFonts w:ascii="Arial Narrow" w:hAnsi="Arial Narrow"/>
                <w:color w:val="000000"/>
                <w:sz w:val="20"/>
                <w:lang w:val="en-AU" w:eastAsia="en-AU"/>
              </w:rPr>
              <w:t>Havannah North</w:t>
            </w:r>
          </w:p>
        </w:tc>
        <w:tc>
          <w:tcPr>
            <w:tcW w:w="284" w:type="dxa"/>
            <w:tcBorders>
              <w:top w:val="nil"/>
              <w:left w:val="nil"/>
              <w:bottom w:val="single" w:sz="4" w:space="0" w:color="auto"/>
              <w:right w:val="single" w:sz="4" w:space="0" w:color="auto"/>
            </w:tcBorders>
            <w:shd w:val="clear" w:color="auto" w:fill="auto"/>
            <w:noWrap/>
            <w:vAlign w:val="center"/>
          </w:tcPr>
          <w:p w14:paraId="11EA9A84"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11EA9A85" w14:textId="27A16A4B"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A86" w14:textId="60DD64D7"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0.98</w:t>
            </w:r>
          </w:p>
        </w:tc>
        <w:tc>
          <w:tcPr>
            <w:tcW w:w="1134" w:type="dxa"/>
            <w:tcBorders>
              <w:top w:val="nil"/>
              <w:left w:val="nil"/>
              <w:bottom w:val="single" w:sz="4" w:space="0" w:color="auto"/>
              <w:right w:val="single" w:sz="4" w:space="0" w:color="auto"/>
            </w:tcBorders>
            <w:shd w:val="clear" w:color="auto" w:fill="auto"/>
            <w:noWrap/>
            <w:vAlign w:val="bottom"/>
          </w:tcPr>
          <w:p w14:paraId="11EA9A87" w14:textId="4B9A9A19"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tcPr>
          <w:p w14:paraId="11EA9A88" w14:textId="4D100F14"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0.31</w:t>
            </w:r>
          </w:p>
        </w:tc>
        <w:tc>
          <w:tcPr>
            <w:tcW w:w="1221" w:type="dxa"/>
            <w:tcBorders>
              <w:top w:val="nil"/>
              <w:left w:val="nil"/>
              <w:bottom w:val="single" w:sz="4" w:space="0" w:color="auto"/>
              <w:right w:val="single" w:sz="4" w:space="0" w:color="auto"/>
            </w:tcBorders>
            <w:shd w:val="clear" w:color="auto" w:fill="auto"/>
            <w:noWrap/>
            <w:vAlign w:val="bottom"/>
          </w:tcPr>
          <w:p w14:paraId="11EA9A89" w14:textId="5807F5DC"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FFC000"/>
            <w:noWrap/>
            <w:vAlign w:val="bottom"/>
          </w:tcPr>
          <w:p w14:paraId="11EA9A8A" w14:textId="10DE558D"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0.37</w:t>
            </w:r>
          </w:p>
        </w:tc>
      </w:tr>
      <w:tr w:rsidR="003C5153" w:rsidRPr="00B72345" w14:paraId="11EA9A95" w14:textId="77777777" w:rsidTr="00CE239F">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8C"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A8D" w14:textId="77777777" w:rsidR="003C5153" w:rsidRPr="00D41D10" w:rsidRDefault="003C5153" w:rsidP="003C5153">
            <w:pPr>
              <w:spacing w:after="0"/>
              <w:jc w:val="left"/>
              <w:rPr>
                <w:rFonts w:ascii="Arial Narrow" w:hAnsi="Arial Narrow"/>
                <w:color w:val="000000"/>
                <w:sz w:val="20"/>
                <w:lang w:val="en-AU" w:eastAsia="en-AU"/>
              </w:rPr>
            </w:pPr>
            <w:r>
              <w:rPr>
                <w:rFonts w:ascii="Arial Narrow" w:hAnsi="Arial Narrow"/>
                <w:color w:val="000000"/>
                <w:sz w:val="20"/>
                <w:lang w:val="en-AU" w:eastAsia="en-AU"/>
              </w:rPr>
              <w:t>Havannah</w:t>
            </w:r>
          </w:p>
        </w:tc>
        <w:tc>
          <w:tcPr>
            <w:tcW w:w="284" w:type="dxa"/>
            <w:tcBorders>
              <w:top w:val="nil"/>
              <w:left w:val="nil"/>
              <w:bottom w:val="single" w:sz="4" w:space="0" w:color="auto"/>
              <w:right w:val="single" w:sz="4" w:space="0" w:color="auto"/>
            </w:tcBorders>
            <w:shd w:val="clear" w:color="auto" w:fill="auto"/>
            <w:noWrap/>
            <w:vAlign w:val="center"/>
            <w:hideMark/>
          </w:tcPr>
          <w:p w14:paraId="11EA9A8E"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A8F" w14:textId="495B2FC9"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0.74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A90" w14:textId="58013048"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0.17</w:t>
            </w:r>
          </w:p>
        </w:tc>
        <w:tc>
          <w:tcPr>
            <w:tcW w:w="1134" w:type="dxa"/>
            <w:tcBorders>
              <w:top w:val="nil"/>
              <w:left w:val="nil"/>
              <w:bottom w:val="single" w:sz="4" w:space="0" w:color="auto"/>
              <w:right w:val="single" w:sz="4" w:space="0" w:color="auto"/>
            </w:tcBorders>
            <w:shd w:val="clear" w:color="auto" w:fill="auto"/>
            <w:noWrap/>
            <w:vAlign w:val="bottom"/>
            <w:hideMark/>
          </w:tcPr>
          <w:p w14:paraId="11EA9A91" w14:textId="3D293D05"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11EA9A92" w14:textId="6A9EA216"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0.67</w:t>
            </w:r>
          </w:p>
        </w:tc>
        <w:tc>
          <w:tcPr>
            <w:tcW w:w="1221" w:type="dxa"/>
            <w:tcBorders>
              <w:top w:val="nil"/>
              <w:left w:val="nil"/>
              <w:bottom w:val="single" w:sz="4" w:space="0" w:color="auto"/>
              <w:right w:val="single" w:sz="4" w:space="0" w:color="auto"/>
            </w:tcBorders>
            <w:shd w:val="clear" w:color="auto" w:fill="auto"/>
            <w:noWrap/>
            <w:vAlign w:val="bottom"/>
            <w:hideMark/>
          </w:tcPr>
          <w:p w14:paraId="11EA9A93" w14:textId="09CBC7BE"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w:t>
            </w:r>
          </w:p>
        </w:tc>
        <w:tc>
          <w:tcPr>
            <w:tcW w:w="1117" w:type="dxa"/>
            <w:tcBorders>
              <w:top w:val="nil"/>
              <w:left w:val="nil"/>
              <w:bottom w:val="single" w:sz="4" w:space="0" w:color="auto"/>
              <w:right w:val="single" w:sz="4" w:space="0" w:color="auto"/>
            </w:tcBorders>
            <w:shd w:val="clear" w:color="auto" w:fill="92D050"/>
            <w:noWrap/>
            <w:vAlign w:val="bottom"/>
            <w:hideMark/>
          </w:tcPr>
          <w:p w14:paraId="11EA9A94" w14:textId="305688E2"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0.71</w:t>
            </w:r>
          </w:p>
        </w:tc>
      </w:tr>
      <w:tr w:rsidR="003C5153" w:rsidRPr="00B72345" w14:paraId="11EA9A9F"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96"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A97" w14:textId="77777777" w:rsidR="003C5153" w:rsidRPr="00D41D10" w:rsidRDefault="003C5153" w:rsidP="003C5153">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A98"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A99" w14:textId="35145B9C"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0.45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A9A" w14:textId="6D66F96C"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0.39</w:t>
            </w:r>
          </w:p>
        </w:tc>
        <w:tc>
          <w:tcPr>
            <w:tcW w:w="1134" w:type="dxa"/>
            <w:tcBorders>
              <w:top w:val="nil"/>
              <w:left w:val="nil"/>
              <w:bottom w:val="single" w:sz="4" w:space="0" w:color="auto"/>
              <w:right w:val="single" w:sz="4" w:space="0" w:color="auto"/>
            </w:tcBorders>
            <w:shd w:val="clear" w:color="auto" w:fill="auto"/>
            <w:noWrap/>
            <w:vAlign w:val="bottom"/>
            <w:hideMark/>
          </w:tcPr>
          <w:p w14:paraId="11EA9A9B" w14:textId="7B0FDDA3"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A9C" w14:textId="3E0B1DFF"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0.88</w:t>
            </w:r>
          </w:p>
        </w:tc>
        <w:tc>
          <w:tcPr>
            <w:tcW w:w="1221" w:type="dxa"/>
            <w:tcBorders>
              <w:top w:val="nil"/>
              <w:left w:val="nil"/>
              <w:bottom w:val="single" w:sz="4" w:space="0" w:color="auto"/>
              <w:right w:val="single" w:sz="4" w:space="0" w:color="auto"/>
            </w:tcBorders>
            <w:shd w:val="clear" w:color="auto" w:fill="auto"/>
            <w:noWrap/>
            <w:vAlign w:val="bottom"/>
            <w:hideMark/>
          </w:tcPr>
          <w:p w14:paraId="11EA9A9D" w14:textId="1DC75F29"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w:t>
            </w:r>
          </w:p>
        </w:tc>
        <w:tc>
          <w:tcPr>
            <w:tcW w:w="1117" w:type="dxa"/>
            <w:tcBorders>
              <w:top w:val="nil"/>
              <w:left w:val="nil"/>
              <w:bottom w:val="single" w:sz="4" w:space="0" w:color="auto"/>
              <w:right w:val="single" w:sz="4" w:space="0" w:color="auto"/>
            </w:tcBorders>
            <w:shd w:val="clear" w:color="000000" w:fill="FFFF00"/>
            <w:noWrap/>
            <w:vAlign w:val="bottom"/>
            <w:hideMark/>
          </w:tcPr>
          <w:p w14:paraId="11EA9A9E" w14:textId="331461A3"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0.54</w:t>
            </w:r>
          </w:p>
        </w:tc>
      </w:tr>
      <w:tr w:rsidR="003C5153" w:rsidRPr="00B72345" w14:paraId="11EA9AA9"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A0"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AA1" w14:textId="77777777" w:rsidR="003C5153" w:rsidRPr="00D41D10" w:rsidRDefault="003C5153" w:rsidP="003C5153">
            <w:pPr>
              <w:spacing w:after="0"/>
              <w:jc w:val="left"/>
              <w:rPr>
                <w:rFonts w:ascii="Arial Narrow" w:hAnsi="Arial Narrow"/>
                <w:color w:val="000000"/>
                <w:sz w:val="20"/>
                <w:lang w:val="en-AU" w:eastAsia="en-AU"/>
              </w:rPr>
            </w:pPr>
            <w:r>
              <w:rPr>
                <w:rFonts w:ascii="Arial Narrow" w:hAnsi="Arial Narrow"/>
                <w:color w:val="000000"/>
                <w:sz w:val="20"/>
                <w:lang w:val="en-AU" w:eastAsia="en-AU"/>
              </w:rPr>
              <w:t>Pandora</w:t>
            </w:r>
          </w:p>
        </w:tc>
        <w:tc>
          <w:tcPr>
            <w:tcW w:w="284" w:type="dxa"/>
            <w:tcBorders>
              <w:top w:val="nil"/>
              <w:left w:val="nil"/>
              <w:bottom w:val="single" w:sz="4" w:space="0" w:color="auto"/>
              <w:right w:val="single" w:sz="4" w:space="0" w:color="auto"/>
            </w:tcBorders>
            <w:shd w:val="clear" w:color="auto" w:fill="auto"/>
            <w:noWrap/>
            <w:vAlign w:val="center"/>
            <w:hideMark/>
          </w:tcPr>
          <w:p w14:paraId="11EA9AA2"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AA3" w14:textId="065EF7A6"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0.09</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AA4" w14:textId="7203FB06"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0.23</w:t>
            </w:r>
          </w:p>
        </w:tc>
        <w:tc>
          <w:tcPr>
            <w:tcW w:w="1134" w:type="dxa"/>
            <w:tcBorders>
              <w:top w:val="nil"/>
              <w:left w:val="nil"/>
              <w:bottom w:val="single" w:sz="4" w:space="0" w:color="auto"/>
              <w:right w:val="single" w:sz="4" w:space="0" w:color="auto"/>
            </w:tcBorders>
            <w:shd w:val="clear" w:color="auto" w:fill="auto"/>
            <w:noWrap/>
            <w:vAlign w:val="bottom"/>
            <w:hideMark/>
          </w:tcPr>
          <w:p w14:paraId="11EA9AA5" w14:textId="3756DDF8"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AA6" w14:textId="61804F1B"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0.17</w:t>
            </w:r>
          </w:p>
        </w:tc>
        <w:tc>
          <w:tcPr>
            <w:tcW w:w="1221" w:type="dxa"/>
            <w:tcBorders>
              <w:top w:val="nil"/>
              <w:left w:val="nil"/>
              <w:bottom w:val="single" w:sz="4" w:space="0" w:color="auto"/>
              <w:right w:val="single" w:sz="4" w:space="0" w:color="auto"/>
            </w:tcBorders>
            <w:shd w:val="clear" w:color="auto" w:fill="auto"/>
            <w:noWrap/>
            <w:vAlign w:val="bottom"/>
            <w:hideMark/>
          </w:tcPr>
          <w:p w14:paraId="11EA9AA7" w14:textId="2C85BC66"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000000" w:fill="FF0000"/>
            <w:noWrap/>
            <w:vAlign w:val="bottom"/>
            <w:hideMark/>
          </w:tcPr>
          <w:p w14:paraId="11EA9AA8" w14:textId="1493CC23"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0.20</w:t>
            </w:r>
          </w:p>
        </w:tc>
      </w:tr>
      <w:tr w:rsidR="003C5153" w:rsidRPr="00B72345" w14:paraId="11EA9AB3" w14:textId="77777777" w:rsidTr="0039660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AA"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AAB" w14:textId="77777777" w:rsidR="003C5153" w:rsidRPr="00D41D10" w:rsidRDefault="003C5153" w:rsidP="003C5153">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AAC"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AAD" w14:textId="14239FDD"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0.11</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AAE" w14:textId="06F8D9F4"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0.82</w:t>
            </w:r>
          </w:p>
        </w:tc>
        <w:tc>
          <w:tcPr>
            <w:tcW w:w="1134" w:type="dxa"/>
            <w:tcBorders>
              <w:top w:val="nil"/>
              <w:left w:val="nil"/>
              <w:bottom w:val="single" w:sz="4" w:space="0" w:color="auto"/>
              <w:right w:val="single" w:sz="4" w:space="0" w:color="auto"/>
            </w:tcBorders>
            <w:shd w:val="clear" w:color="auto" w:fill="auto"/>
            <w:noWrap/>
            <w:vAlign w:val="bottom"/>
            <w:hideMark/>
          </w:tcPr>
          <w:p w14:paraId="11EA9AAF" w14:textId="641F4BA6"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AB0" w14:textId="3D8A6FA8"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0.29</w:t>
            </w:r>
          </w:p>
        </w:tc>
        <w:tc>
          <w:tcPr>
            <w:tcW w:w="1221" w:type="dxa"/>
            <w:tcBorders>
              <w:top w:val="nil"/>
              <w:left w:val="nil"/>
              <w:bottom w:val="single" w:sz="4" w:space="0" w:color="auto"/>
              <w:right w:val="single" w:sz="4" w:space="0" w:color="auto"/>
            </w:tcBorders>
            <w:shd w:val="clear" w:color="auto" w:fill="auto"/>
            <w:noWrap/>
            <w:vAlign w:val="bottom"/>
            <w:hideMark/>
          </w:tcPr>
          <w:p w14:paraId="11EA9AB1" w14:textId="7338F52C"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w:t>
            </w:r>
          </w:p>
        </w:tc>
        <w:tc>
          <w:tcPr>
            <w:tcW w:w="1117" w:type="dxa"/>
            <w:tcBorders>
              <w:top w:val="nil"/>
              <w:left w:val="nil"/>
              <w:bottom w:val="single" w:sz="4" w:space="0" w:color="auto"/>
              <w:right w:val="single" w:sz="4" w:space="0" w:color="auto"/>
            </w:tcBorders>
            <w:shd w:val="clear" w:color="auto" w:fill="FFFF00"/>
            <w:noWrap/>
            <w:vAlign w:val="bottom"/>
            <w:hideMark/>
          </w:tcPr>
          <w:p w14:paraId="11EA9AB2" w14:textId="28B7D690"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0.44</w:t>
            </w:r>
          </w:p>
        </w:tc>
      </w:tr>
      <w:tr w:rsidR="003C5153" w:rsidRPr="00B72345" w14:paraId="11EA9ABD"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B4"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tcBorders>
              <w:top w:val="nil"/>
              <w:left w:val="nil"/>
              <w:bottom w:val="single" w:sz="4" w:space="0" w:color="auto"/>
              <w:right w:val="single" w:sz="4" w:space="0" w:color="auto"/>
            </w:tcBorders>
            <w:shd w:val="clear" w:color="auto" w:fill="auto"/>
            <w:noWrap/>
            <w:vAlign w:val="center"/>
            <w:hideMark/>
          </w:tcPr>
          <w:p w14:paraId="11EA9AB5" w14:textId="77777777" w:rsidR="003C5153" w:rsidRPr="00D41D10" w:rsidRDefault="003C5153" w:rsidP="003C5153">
            <w:pPr>
              <w:spacing w:after="0"/>
              <w:jc w:val="left"/>
              <w:rPr>
                <w:rFonts w:ascii="Arial Narrow" w:hAnsi="Arial Narrow"/>
                <w:color w:val="000000"/>
                <w:sz w:val="20"/>
                <w:lang w:val="en-AU" w:eastAsia="en-AU"/>
              </w:rPr>
            </w:pPr>
            <w:r>
              <w:rPr>
                <w:rFonts w:ascii="Arial Narrow" w:hAnsi="Arial Narrow"/>
                <w:color w:val="000000"/>
                <w:sz w:val="20"/>
                <w:lang w:val="en-AU" w:eastAsia="en-AU"/>
              </w:rPr>
              <w:t>Pandora North</w:t>
            </w:r>
          </w:p>
        </w:tc>
        <w:tc>
          <w:tcPr>
            <w:tcW w:w="284" w:type="dxa"/>
            <w:tcBorders>
              <w:top w:val="nil"/>
              <w:left w:val="nil"/>
              <w:bottom w:val="single" w:sz="4" w:space="0" w:color="auto"/>
              <w:right w:val="single" w:sz="4" w:space="0" w:color="auto"/>
            </w:tcBorders>
            <w:shd w:val="clear" w:color="auto" w:fill="auto"/>
            <w:noWrap/>
            <w:vAlign w:val="center"/>
            <w:hideMark/>
          </w:tcPr>
          <w:p w14:paraId="11EA9AB6"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AB7" w14:textId="68D4242C"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0.64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AB8" w14:textId="218D8EA1"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0.39</w:t>
            </w:r>
          </w:p>
        </w:tc>
        <w:tc>
          <w:tcPr>
            <w:tcW w:w="1134" w:type="dxa"/>
            <w:tcBorders>
              <w:top w:val="nil"/>
              <w:left w:val="nil"/>
              <w:bottom w:val="single" w:sz="4" w:space="0" w:color="auto"/>
              <w:right w:val="single" w:sz="4" w:space="0" w:color="auto"/>
            </w:tcBorders>
            <w:shd w:val="clear" w:color="auto" w:fill="auto"/>
            <w:noWrap/>
            <w:vAlign w:val="bottom"/>
            <w:hideMark/>
          </w:tcPr>
          <w:p w14:paraId="11EA9AB9" w14:textId="3FEC8035"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ABA" w14:textId="50EB40AB"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0.00</w:t>
            </w:r>
          </w:p>
        </w:tc>
        <w:tc>
          <w:tcPr>
            <w:tcW w:w="1221" w:type="dxa"/>
            <w:tcBorders>
              <w:top w:val="nil"/>
              <w:left w:val="nil"/>
              <w:bottom w:val="single" w:sz="4" w:space="0" w:color="auto"/>
              <w:right w:val="single" w:sz="4" w:space="0" w:color="auto"/>
            </w:tcBorders>
            <w:shd w:val="clear" w:color="auto" w:fill="auto"/>
            <w:noWrap/>
            <w:vAlign w:val="bottom"/>
            <w:hideMark/>
          </w:tcPr>
          <w:p w14:paraId="11EA9ABB" w14:textId="26F9CE50"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000000" w:fill="FFC000"/>
            <w:noWrap/>
            <w:vAlign w:val="bottom"/>
            <w:hideMark/>
          </w:tcPr>
          <w:p w14:paraId="11EA9ABC" w14:textId="5BE16F36"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0.31</w:t>
            </w:r>
          </w:p>
        </w:tc>
      </w:tr>
      <w:tr w:rsidR="003C5153" w:rsidRPr="00B72345" w14:paraId="11EA9AC7"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BE"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vAlign w:val="center"/>
            <w:hideMark/>
          </w:tcPr>
          <w:p w14:paraId="11EA9ABF" w14:textId="77777777" w:rsidR="003C5153" w:rsidRPr="00D41D10" w:rsidRDefault="003C5153" w:rsidP="003C5153">
            <w:pPr>
              <w:spacing w:after="0"/>
              <w:jc w:val="left"/>
              <w:rPr>
                <w:rFonts w:ascii="Arial Narrow" w:hAnsi="Arial Narrow"/>
                <w:color w:val="000000"/>
                <w:sz w:val="20"/>
                <w:lang w:val="en-AU" w:eastAsia="en-AU"/>
              </w:rPr>
            </w:pPr>
            <w:r>
              <w:rPr>
                <w:rFonts w:ascii="Arial Narrow" w:hAnsi="Arial Narrow"/>
                <w:color w:val="000000"/>
                <w:sz w:val="20"/>
                <w:lang w:val="en-AU" w:eastAsia="en-AU"/>
              </w:rPr>
              <w:t>Lady Elliot</w:t>
            </w:r>
          </w:p>
        </w:tc>
        <w:tc>
          <w:tcPr>
            <w:tcW w:w="284" w:type="dxa"/>
            <w:tcBorders>
              <w:top w:val="nil"/>
              <w:left w:val="nil"/>
              <w:bottom w:val="single" w:sz="4" w:space="0" w:color="auto"/>
              <w:right w:val="single" w:sz="4" w:space="0" w:color="auto"/>
            </w:tcBorders>
            <w:shd w:val="clear" w:color="auto" w:fill="auto"/>
            <w:noWrap/>
            <w:vAlign w:val="center"/>
            <w:hideMark/>
          </w:tcPr>
          <w:p w14:paraId="11EA9AC0"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AC1" w14:textId="716D4E6F"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0.26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AC2" w14:textId="49C4598E"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0.93</w:t>
            </w:r>
          </w:p>
        </w:tc>
        <w:tc>
          <w:tcPr>
            <w:tcW w:w="1134" w:type="dxa"/>
            <w:tcBorders>
              <w:top w:val="nil"/>
              <w:left w:val="nil"/>
              <w:bottom w:val="single" w:sz="4" w:space="0" w:color="auto"/>
              <w:right w:val="single" w:sz="4" w:space="0" w:color="auto"/>
            </w:tcBorders>
            <w:shd w:val="clear" w:color="auto" w:fill="auto"/>
            <w:noWrap/>
            <w:vAlign w:val="bottom"/>
            <w:hideMark/>
          </w:tcPr>
          <w:p w14:paraId="11EA9AC3" w14:textId="4F452566"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AC4" w14:textId="069B6388"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0.79</w:t>
            </w:r>
          </w:p>
        </w:tc>
        <w:tc>
          <w:tcPr>
            <w:tcW w:w="1221" w:type="dxa"/>
            <w:tcBorders>
              <w:top w:val="nil"/>
              <w:left w:val="nil"/>
              <w:bottom w:val="single" w:sz="4" w:space="0" w:color="auto"/>
              <w:right w:val="single" w:sz="4" w:space="0" w:color="auto"/>
            </w:tcBorders>
            <w:shd w:val="clear" w:color="auto" w:fill="auto"/>
            <w:noWrap/>
            <w:vAlign w:val="bottom"/>
            <w:hideMark/>
          </w:tcPr>
          <w:p w14:paraId="11EA9AC5" w14:textId="22AD6103"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000000" w:fill="FFFF00"/>
            <w:noWrap/>
            <w:vAlign w:val="bottom"/>
            <w:hideMark/>
          </w:tcPr>
          <w:p w14:paraId="11EA9AC6" w14:textId="7D11DA6C"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0.50</w:t>
            </w:r>
          </w:p>
        </w:tc>
      </w:tr>
      <w:tr w:rsidR="003C5153" w:rsidRPr="00B72345" w14:paraId="11EA9AD1"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C8"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AC9" w14:textId="77777777" w:rsidR="003C5153" w:rsidRPr="00D41D10" w:rsidRDefault="003C5153" w:rsidP="003C5153">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ACA"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ACB" w14:textId="4E3AF35E"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0.47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ACC" w14:textId="344A60E2"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hideMark/>
          </w:tcPr>
          <w:p w14:paraId="11EA9ACD" w14:textId="7E8DCD44"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0.61</w:t>
            </w:r>
          </w:p>
        </w:tc>
        <w:tc>
          <w:tcPr>
            <w:tcW w:w="1047" w:type="dxa"/>
            <w:tcBorders>
              <w:top w:val="nil"/>
              <w:left w:val="nil"/>
              <w:bottom w:val="single" w:sz="4" w:space="0" w:color="auto"/>
              <w:right w:val="single" w:sz="4" w:space="0" w:color="auto"/>
            </w:tcBorders>
            <w:shd w:val="clear" w:color="auto" w:fill="auto"/>
            <w:noWrap/>
            <w:vAlign w:val="bottom"/>
            <w:hideMark/>
          </w:tcPr>
          <w:p w14:paraId="11EA9ACE" w14:textId="64FD9481"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0.51</w:t>
            </w:r>
          </w:p>
        </w:tc>
        <w:tc>
          <w:tcPr>
            <w:tcW w:w="1221" w:type="dxa"/>
            <w:tcBorders>
              <w:top w:val="nil"/>
              <w:left w:val="nil"/>
              <w:bottom w:val="single" w:sz="4" w:space="0" w:color="auto"/>
              <w:right w:val="single" w:sz="4" w:space="0" w:color="auto"/>
            </w:tcBorders>
            <w:shd w:val="clear" w:color="auto" w:fill="auto"/>
            <w:noWrap/>
            <w:vAlign w:val="bottom"/>
            <w:hideMark/>
          </w:tcPr>
          <w:p w14:paraId="11EA9ACF" w14:textId="2F0E9B41"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w:t>
            </w:r>
          </w:p>
        </w:tc>
        <w:tc>
          <w:tcPr>
            <w:tcW w:w="1117" w:type="dxa"/>
            <w:tcBorders>
              <w:top w:val="nil"/>
              <w:left w:val="nil"/>
              <w:bottom w:val="single" w:sz="4" w:space="0" w:color="auto"/>
              <w:right w:val="single" w:sz="4" w:space="0" w:color="auto"/>
            </w:tcBorders>
            <w:shd w:val="clear" w:color="000000" w:fill="FFFF00"/>
            <w:noWrap/>
            <w:vAlign w:val="bottom"/>
            <w:hideMark/>
          </w:tcPr>
          <w:p w14:paraId="11EA9AD0" w14:textId="2C7B83A0"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0.52</w:t>
            </w:r>
          </w:p>
        </w:tc>
      </w:tr>
      <w:tr w:rsidR="003C5153" w:rsidRPr="00B72345" w14:paraId="11EA9ADB" w14:textId="77777777" w:rsidTr="0039660C">
        <w:trPr>
          <w:trHeight w:hRule="exact" w:val="255"/>
        </w:trPr>
        <w:tc>
          <w:tcPr>
            <w:tcW w:w="771" w:type="dxa"/>
            <w:vMerge/>
            <w:tcBorders>
              <w:top w:val="nil"/>
              <w:left w:val="single" w:sz="4" w:space="0" w:color="auto"/>
              <w:bottom w:val="single" w:sz="4" w:space="0" w:color="auto"/>
              <w:right w:val="single" w:sz="4" w:space="0" w:color="auto"/>
            </w:tcBorders>
            <w:vAlign w:val="center"/>
          </w:tcPr>
          <w:p w14:paraId="11EA9AD2"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val="restart"/>
            <w:tcBorders>
              <w:top w:val="nil"/>
              <w:left w:val="nil"/>
              <w:right w:val="single" w:sz="4" w:space="0" w:color="auto"/>
            </w:tcBorders>
            <w:shd w:val="clear" w:color="auto" w:fill="auto"/>
            <w:noWrap/>
            <w:vAlign w:val="center"/>
          </w:tcPr>
          <w:p w14:paraId="11EA9AD3" w14:textId="77777777" w:rsidR="003C5153" w:rsidRPr="00D41D10" w:rsidRDefault="003C5153" w:rsidP="003C5153">
            <w:pPr>
              <w:spacing w:after="0"/>
              <w:jc w:val="left"/>
              <w:rPr>
                <w:rFonts w:ascii="Arial Narrow" w:hAnsi="Arial Narrow"/>
                <w:color w:val="000000"/>
                <w:sz w:val="20"/>
                <w:lang w:val="en-AU" w:eastAsia="en-AU"/>
              </w:rPr>
            </w:pPr>
            <w:r>
              <w:rPr>
                <w:rFonts w:ascii="Arial Narrow" w:hAnsi="Arial Narrow"/>
                <w:color w:val="000000"/>
                <w:sz w:val="20"/>
                <w:lang w:val="en-AU" w:eastAsia="en-AU"/>
              </w:rPr>
              <w:t>Magnetic</w:t>
            </w:r>
          </w:p>
        </w:tc>
        <w:tc>
          <w:tcPr>
            <w:tcW w:w="284" w:type="dxa"/>
            <w:tcBorders>
              <w:top w:val="nil"/>
              <w:left w:val="nil"/>
              <w:bottom w:val="single" w:sz="4" w:space="0" w:color="auto"/>
              <w:right w:val="single" w:sz="4" w:space="0" w:color="auto"/>
            </w:tcBorders>
            <w:shd w:val="clear" w:color="auto" w:fill="auto"/>
            <w:noWrap/>
            <w:vAlign w:val="center"/>
          </w:tcPr>
          <w:p w14:paraId="11EA9AD4"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11EA9AD5" w14:textId="45A9F907"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0.25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AD6" w14:textId="751CD5B4"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0.23</w:t>
            </w:r>
          </w:p>
        </w:tc>
        <w:tc>
          <w:tcPr>
            <w:tcW w:w="1134" w:type="dxa"/>
            <w:tcBorders>
              <w:top w:val="nil"/>
              <w:left w:val="nil"/>
              <w:bottom w:val="single" w:sz="4" w:space="0" w:color="auto"/>
              <w:right w:val="single" w:sz="4" w:space="0" w:color="auto"/>
            </w:tcBorders>
            <w:shd w:val="clear" w:color="auto" w:fill="auto"/>
            <w:noWrap/>
            <w:vAlign w:val="bottom"/>
          </w:tcPr>
          <w:p w14:paraId="11EA9AD7" w14:textId="0CA36C14"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tcPr>
          <w:p w14:paraId="11EA9AD8" w14:textId="6971D66B"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0.32</w:t>
            </w:r>
          </w:p>
        </w:tc>
        <w:tc>
          <w:tcPr>
            <w:tcW w:w="1221" w:type="dxa"/>
            <w:tcBorders>
              <w:top w:val="nil"/>
              <w:left w:val="nil"/>
              <w:bottom w:val="single" w:sz="4" w:space="0" w:color="auto"/>
              <w:right w:val="single" w:sz="4" w:space="0" w:color="auto"/>
            </w:tcBorders>
            <w:shd w:val="clear" w:color="auto" w:fill="auto"/>
            <w:noWrap/>
            <w:vAlign w:val="bottom"/>
          </w:tcPr>
          <w:p w14:paraId="11EA9AD9" w14:textId="438A72FD"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w:t>
            </w:r>
          </w:p>
        </w:tc>
        <w:tc>
          <w:tcPr>
            <w:tcW w:w="1117" w:type="dxa"/>
            <w:tcBorders>
              <w:top w:val="nil"/>
              <w:left w:val="nil"/>
              <w:bottom w:val="single" w:sz="4" w:space="0" w:color="auto"/>
              <w:right w:val="single" w:sz="4" w:space="0" w:color="auto"/>
            </w:tcBorders>
            <w:shd w:val="clear" w:color="auto" w:fill="FF0000"/>
            <w:noWrap/>
            <w:vAlign w:val="bottom"/>
          </w:tcPr>
          <w:p w14:paraId="11EA9ADA" w14:textId="507E3B07"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0.16</w:t>
            </w:r>
          </w:p>
        </w:tc>
      </w:tr>
      <w:tr w:rsidR="003C5153" w:rsidRPr="00B72345" w14:paraId="11EA9AE5"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tcPr>
          <w:p w14:paraId="11EA9ADC"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vMerge/>
            <w:tcBorders>
              <w:left w:val="nil"/>
              <w:bottom w:val="single" w:sz="4" w:space="0" w:color="auto"/>
              <w:right w:val="single" w:sz="4" w:space="0" w:color="auto"/>
            </w:tcBorders>
            <w:shd w:val="clear" w:color="auto" w:fill="auto"/>
            <w:noWrap/>
            <w:vAlign w:val="center"/>
          </w:tcPr>
          <w:p w14:paraId="11EA9ADD" w14:textId="77777777" w:rsidR="003C5153" w:rsidRPr="00D41D10" w:rsidRDefault="003C5153" w:rsidP="003C5153">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tcPr>
          <w:p w14:paraId="11EA9ADE"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11EA9ADF" w14:textId="67CC6FB9"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0.40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AE0" w14:textId="3DFFE16D"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0.61</w:t>
            </w:r>
          </w:p>
        </w:tc>
        <w:tc>
          <w:tcPr>
            <w:tcW w:w="1134" w:type="dxa"/>
            <w:tcBorders>
              <w:top w:val="nil"/>
              <w:left w:val="nil"/>
              <w:bottom w:val="single" w:sz="4" w:space="0" w:color="auto"/>
              <w:right w:val="single" w:sz="4" w:space="0" w:color="auto"/>
            </w:tcBorders>
            <w:shd w:val="clear" w:color="auto" w:fill="auto"/>
            <w:noWrap/>
            <w:vAlign w:val="bottom"/>
          </w:tcPr>
          <w:p w14:paraId="11EA9AE1" w14:textId="40BECA76"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tcPr>
          <w:p w14:paraId="11EA9AE2" w14:textId="64F92C71"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0.36</w:t>
            </w:r>
          </w:p>
        </w:tc>
        <w:tc>
          <w:tcPr>
            <w:tcW w:w="1221" w:type="dxa"/>
            <w:tcBorders>
              <w:top w:val="nil"/>
              <w:left w:val="nil"/>
              <w:bottom w:val="single" w:sz="4" w:space="0" w:color="auto"/>
              <w:right w:val="single" w:sz="4" w:space="0" w:color="auto"/>
            </w:tcBorders>
            <w:shd w:val="clear" w:color="auto" w:fill="auto"/>
            <w:noWrap/>
            <w:vAlign w:val="bottom"/>
          </w:tcPr>
          <w:p w14:paraId="11EA9AE3" w14:textId="72E42415"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w:t>
            </w:r>
          </w:p>
        </w:tc>
        <w:tc>
          <w:tcPr>
            <w:tcW w:w="1117" w:type="dxa"/>
            <w:tcBorders>
              <w:top w:val="nil"/>
              <w:left w:val="nil"/>
              <w:bottom w:val="single" w:sz="4" w:space="0" w:color="auto"/>
              <w:right w:val="single" w:sz="4" w:space="0" w:color="auto"/>
            </w:tcBorders>
            <w:shd w:val="clear" w:color="000000" w:fill="FFC000"/>
            <w:noWrap/>
            <w:vAlign w:val="bottom"/>
          </w:tcPr>
          <w:p w14:paraId="11EA9AE4" w14:textId="535F4798"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0.27</w:t>
            </w:r>
          </w:p>
        </w:tc>
      </w:tr>
      <w:tr w:rsidR="003C5153" w:rsidRPr="00B72345" w14:paraId="11EA9AEF"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AE6" w14:textId="77777777" w:rsidR="003C5153" w:rsidRPr="00D41D10" w:rsidRDefault="003C5153" w:rsidP="003C5153">
            <w:pPr>
              <w:spacing w:after="0"/>
              <w:jc w:val="left"/>
              <w:rPr>
                <w:rFonts w:ascii="Arial Narrow" w:hAnsi="Arial Narrow"/>
                <w:color w:val="000000"/>
                <w:szCs w:val="22"/>
                <w:lang w:val="en-AU" w:eastAsia="en-AU"/>
              </w:rPr>
            </w:pPr>
          </w:p>
        </w:tc>
        <w:tc>
          <w:tcPr>
            <w:tcW w:w="1576" w:type="dxa"/>
            <w:tcBorders>
              <w:top w:val="nil"/>
              <w:left w:val="nil"/>
              <w:bottom w:val="single" w:sz="4" w:space="0" w:color="auto"/>
              <w:right w:val="single" w:sz="4" w:space="0" w:color="auto"/>
            </w:tcBorders>
            <w:shd w:val="clear" w:color="auto" w:fill="auto"/>
            <w:noWrap/>
            <w:vAlign w:val="center"/>
            <w:hideMark/>
          </w:tcPr>
          <w:p w14:paraId="11EA9AE7" w14:textId="77777777" w:rsidR="003C5153" w:rsidRPr="00D41D10" w:rsidRDefault="003C5153" w:rsidP="003C5153">
            <w:pPr>
              <w:spacing w:after="0"/>
              <w:jc w:val="left"/>
              <w:rPr>
                <w:rFonts w:ascii="Arial Narrow" w:hAnsi="Arial Narrow"/>
                <w:color w:val="000000"/>
                <w:sz w:val="20"/>
                <w:lang w:val="en-AU" w:eastAsia="en-AU"/>
              </w:rPr>
            </w:pPr>
            <w:r>
              <w:rPr>
                <w:rFonts w:ascii="Arial Narrow" w:hAnsi="Arial Narrow"/>
                <w:color w:val="000000"/>
                <w:sz w:val="20"/>
                <w:lang w:val="en-AU" w:eastAsia="en-AU"/>
              </w:rPr>
              <w:t>Middle Rf LTMP</w:t>
            </w:r>
          </w:p>
        </w:tc>
        <w:tc>
          <w:tcPr>
            <w:tcW w:w="284" w:type="dxa"/>
            <w:tcBorders>
              <w:top w:val="nil"/>
              <w:left w:val="nil"/>
              <w:bottom w:val="single" w:sz="4" w:space="0" w:color="auto"/>
              <w:right w:val="single" w:sz="4" w:space="0" w:color="auto"/>
            </w:tcBorders>
            <w:shd w:val="clear" w:color="auto" w:fill="auto"/>
            <w:noWrap/>
            <w:vAlign w:val="center"/>
            <w:hideMark/>
          </w:tcPr>
          <w:p w14:paraId="11EA9AE8"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AE9" w14:textId="07232CFF"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AEA" w14:textId="70B66018"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0.54</w:t>
            </w:r>
          </w:p>
        </w:tc>
        <w:tc>
          <w:tcPr>
            <w:tcW w:w="1134" w:type="dxa"/>
            <w:tcBorders>
              <w:top w:val="nil"/>
              <w:left w:val="nil"/>
              <w:bottom w:val="single" w:sz="4" w:space="0" w:color="auto"/>
              <w:right w:val="single" w:sz="4" w:space="0" w:color="auto"/>
            </w:tcBorders>
            <w:shd w:val="clear" w:color="auto" w:fill="auto"/>
            <w:noWrap/>
            <w:vAlign w:val="bottom"/>
            <w:hideMark/>
          </w:tcPr>
          <w:p w14:paraId="11EA9AEB" w14:textId="283825BF"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AEC" w14:textId="5EFE4E8C" w:rsidR="003C5153" w:rsidRPr="00822426" w:rsidRDefault="00CB2C50" w:rsidP="003C5153">
            <w:pPr>
              <w:jc w:val="center"/>
              <w:rPr>
                <w:rFonts w:ascii="Arial Narrow" w:hAnsi="Arial Narrow"/>
                <w:color w:val="000000"/>
                <w:sz w:val="20"/>
              </w:rPr>
            </w:pPr>
            <w:r>
              <w:rPr>
                <w:rFonts w:ascii="Arial Narrow" w:hAnsi="Arial Narrow"/>
                <w:color w:val="000000"/>
                <w:sz w:val="20"/>
              </w:rPr>
              <w:t>NA</w:t>
            </w:r>
          </w:p>
        </w:tc>
        <w:tc>
          <w:tcPr>
            <w:tcW w:w="1221" w:type="dxa"/>
            <w:tcBorders>
              <w:top w:val="nil"/>
              <w:left w:val="nil"/>
              <w:bottom w:val="single" w:sz="4" w:space="0" w:color="auto"/>
              <w:right w:val="single" w:sz="4" w:space="0" w:color="auto"/>
            </w:tcBorders>
            <w:shd w:val="clear" w:color="auto" w:fill="auto"/>
            <w:noWrap/>
            <w:vAlign w:val="bottom"/>
            <w:hideMark/>
          </w:tcPr>
          <w:p w14:paraId="11EA9AED" w14:textId="6165E6C0" w:rsidR="003C5153" w:rsidRPr="00822426" w:rsidRDefault="003C5153" w:rsidP="003C5153">
            <w:pPr>
              <w:jc w:val="center"/>
              <w:rPr>
                <w:rFonts w:ascii="Arial Narrow" w:hAnsi="Arial Narrow"/>
                <w:color w:val="000000"/>
                <w:sz w:val="20"/>
              </w:rPr>
            </w:pPr>
            <w:r w:rsidRPr="0082242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000000" w:fill="FFC000"/>
            <w:noWrap/>
            <w:vAlign w:val="bottom"/>
            <w:hideMark/>
          </w:tcPr>
          <w:p w14:paraId="11EA9AEE" w14:textId="5559FFED" w:rsidR="003C5153" w:rsidRPr="00822426" w:rsidRDefault="00CB2C50" w:rsidP="003C5153">
            <w:pPr>
              <w:jc w:val="center"/>
              <w:rPr>
                <w:rFonts w:ascii="Arial Narrow" w:hAnsi="Arial Narrow"/>
                <w:color w:val="000000"/>
                <w:sz w:val="20"/>
              </w:rPr>
            </w:pPr>
            <w:r>
              <w:rPr>
                <w:rFonts w:ascii="Arial Narrow" w:hAnsi="Arial Narrow"/>
                <w:color w:val="000000"/>
                <w:sz w:val="20"/>
              </w:rPr>
              <w:t>0.39</w:t>
            </w:r>
          </w:p>
        </w:tc>
      </w:tr>
      <w:tr w:rsidR="003C5153" w:rsidRPr="00B72345" w14:paraId="11EA9AF9" w14:textId="77777777" w:rsidTr="0067057A">
        <w:trPr>
          <w:cantSplit/>
          <w:trHeight w:hRule="exact" w:val="255"/>
        </w:trPr>
        <w:tc>
          <w:tcPr>
            <w:tcW w:w="2631" w:type="dxa"/>
            <w:gridSpan w:val="3"/>
            <w:tcBorders>
              <w:top w:val="nil"/>
              <w:left w:val="single" w:sz="4" w:space="0" w:color="auto"/>
              <w:bottom w:val="single" w:sz="4" w:space="0" w:color="auto"/>
              <w:right w:val="single" w:sz="4" w:space="0" w:color="auto"/>
            </w:tcBorders>
            <w:shd w:val="clear" w:color="auto" w:fill="auto"/>
            <w:noWrap/>
            <w:vAlign w:val="center"/>
            <w:hideMark/>
          </w:tcPr>
          <w:p w14:paraId="11EA9AF0" w14:textId="77777777" w:rsidR="003C5153" w:rsidRPr="00D41D10" w:rsidRDefault="003C5153" w:rsidP="003C5153">
            <w:pPr>
              <w:shd w:val="clear" w:color="auto" w:fill="FFFF00"/>
              <w:spacing w:after="0"/>
              <w:jc w:val="center"/>
              <w:rPr>
                <w:rFonts w:ascii="Arial Narrow" w:hAnsi="Arial Narrow"/>
                <w:color w:val="000000"/>
                <w:szCs w:val="22"/>
                <w:lang w:val="en-AU" w:eastAsia="en-AU"/>
              </w:rPr>
            </w:pPr>
            <w:r w:rsidRPr="00D41D10">
              <w:rPr>
                <w:rFonts w:ascii="Arial Narrow" w:hAnsi="Arial Narrow"/>
                <w:color w:val="000000"/>
                <w:sz w:val="20"/>
                <w:lang w:val="en-AU" w:eastAsia="en-AU"/>
              </w:rPr>
              <w:t>Report Card Score – Moderate</w:t>
            </w:r>
            <w:r w:rsidRPr="00D41D10">
              <w:rPr>
                <w:rFonts w:ascii="Arial Narrow" w:hAnsi="Arial Narrow"/>
                <w:color w:val="000000"/>
                <w:szCs w:val="22"/>
                <w:lang w:val="en-AU" w:eastAsia="en-AU"/>
              </w:rPr>
              <w:t> </w:t>
            </w:r>
          </w:p>
          <w:p w14:paraId="11EA9AF1" w14:textId="77777777" w:rsidR="003C5153" w:rsidRPr="00D41D10" w:rsidRDefault="003C5153" w:rsidP="003C5153">
            <w:pPr>
              <w:spacing w:after="0"/>
              <w:jc w:val="left"/>
              <w:rPr>
                <w:rFonts w:ascii="Arial Narrow" w:hAnsi="Arial Narrow"/>
                <w:color w:val="000000"/>
                <w:sz w:val="20"/>
                <w:lang w:val="en-AU" w:eastAsia="en-AU"/>
              </w:rPr>
            </w:pPr>
            <w:r w:rsidRPr="00D41D10">
              <w:rPr>
                <w:rFonts w:ascii="Arial Narrow" w:hAnsi="Arial Narrow"/>
                <w:color w:val="000000"/>
                <w:sz w:val="20"/>
                <w:lang w:val="en-AU" w:eastAsia="en-AU"/>
              </w:rPr>
              <w:t> </w:t>
            </w:r>
          </w:p>
          <w:p w14:paraId="11EA9AF2" w14:textId="77777777" w:rsidR="003C5153" w:rsidRPr="00D41D10" w:rsidRDefault="003C5153" w:rsidP="003C5153">
            <w:pPr>
              <w:spacing w:after="0"/>
              <w:jc w:val="center"/>
              <w:rPr>
                <w:rFonts w:ascii="Arial Narrow" w:hAnsi="Arial Narrow"/>
                <w:color w:val="000000"/>
                <w:szCs w:val="22"/>
                <w:lang w:val="en-AU" w:eastAsia="en-AU"/>
              </w:rPr>
            </w:pPr>
            <w:r w:rsidRPr="00D41D10">
              <w:rPr>
                <w:rFonts w:ascii="Arial Narrow" w:hAnsi="Arial Narrow"/>
                <w:color w:val="000000"/>
                <w:szCs w:val="22"/>
                <w:lang w:val="en-AU" w:eastAsia="en-AU"/>
              </w:rPr>
              <w:t> </w:t>
            </w:r>
          </w:p>
        </w:tc>
        <w:tc>
          <w:tcPr>
            <w:tcW w:w="1134" w:type="dxa"/>
            <w:tcBorders>
              <w:top w:val="nil"/>
              <w:left w:val="nil"/>
              <w:bottom w:val="single" w:sz="4" w:space="0" w:color="auto"/>
              <w:right w:val="single" w:sz="4" w:space="0" w:color="auto"/>
            </w:tcBorders>
            <w:shd w:val="clear" w:color="000000" w:fill="FFC000"/>
            <w:noWrap/>
            <w:vAlign w:val="center"/>
            <w:hideMark/>
          </w:tcPr>
          <w:p w14:paraId="11EA9AF3"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0.37</w:t>
            </w:r>
          </w:p>
        </w:tc>
        <w:tc>
          <w:tcPr>
            <w:tcW w:w="1134" w:type="dxa"/>
            <w:tcBorders>
              <w:top w:val="nil"/>
              <w:left w:val="nil"/>
              <w:bottom w:val="single" w:sz="4" w:space="0" w:color="auto"/>
              <w:right w:val="single" w:sz="4" w:space="0" w:color="auto"/>
            </w:tcBorders>
            <w:shd w:val="clear" w:color="000000" w:fill="FFFF00"/>
            <w:noWrap/>
            <w:tcMar>
              <w:left w:w="0" w:type="dxa"/>
              <w:right w:w="0" w:type="dxa"/>
            </w:tcMar>
            <w:vAlign w:val="center"/>
            <w:hideMark/>
          </w:tcPr>
          <w:p w14:paraId="11EA9AF4" w14:textId="77777777"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lang w:val="en-AU" w:eastAsia="en-AU"/>
              </w:rPr>
              <w:t>0.56</w:t>
            </w:r>
          </w:p>
        </w:tc>
        <w:tc>
          <w:tcPr>
            <w:tcW w:w="1134" w:type="dxa"/>
            <w:tcBorders>
              <w:top w:val="nil"/>
              <w:left w:val="nil"/>
              <w:bottom w:val="single" w:sz="4" w:space="0" w:color="auto"/>
              <w:right w:val="single" w:sz="4" w:space="0" w:color="auto"/>
            </w:tcBorders>
            <w:shd w:val="clear" w:color="000000" w:fill="FFC000"/>
            <w:noWrap/>
            <w:vAlign w:val="bottom"/>
            <w:hideMark/>
          </w:tcPr>
          <w:p w14:paraId="11EA9AF5" w14:textId="418801CD"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rPr>
              <w:t>0.25</w:t>
            </w:r>
          </w:p>
        </w:tc>
        <w:tc>
          <w:tcPr>
            <w:tcW w:w="1047" w:type="dxa"/>
            <w:tcBorders>
              <w:top w:val="nil"/>
              <w:left w:val="nil"/>
              <w:bottom w:val="single" w:sz="4" w:space="0" w:color="auto"/>
              <w:right w:val="single" w:sz="4" w:space="0" w:color="auto"/>
            </w:tcBorders>
            <w:shd w:val="clear" w:color="000000" w:fill="FFFF00"/>
            <w:noWrap/>
            <w:vAlign w:val="bottom"/>
            <w:hideMark/>
          </w:tcPr>
          <w:p w14:paraId="11EA9AF6" w14:textId="074CB71C"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rPr>
              <w:t>0.4</w:t>
            </w:r>
            <w:r w:rsidR="00CB2C50">
              <w:rPr>
                <w:rFonts w:ascii="Arial Narrow" w:hAnsi="Arial Narrow"/>
                <w:color w:val="000000"/>
                <w:sz w:val="20"/>
              </w:rPr>
              <w:t>8</w:t>
            </w:r>
          </w:p>
        </w:tc>
        <w:tc>
          <w:tcPr>
            <w:tcW w:w="1221" w:type="dxa"/>
            <w:tcBorders>
              <w:top w:val="nil"/>
              <w:left w:val="nil"/>
              <w:bottom w:val="single" w:sz="4" w:space="0" w:color="auto"/>
              <w:right w:val="single" w:sz="4" w:space="0" w:color="auto"/>
            </w:tcBorders>
            <w:shd w:val="clear" w:color="000000" w:fill="FFFF00"/>
            <w:noWrap/>
            <w:vAlign w:val="bottom"/>
            <w:hideMark/>
          </w:tcPr>
          <w:p w14:paraId="11EA9AF7" w14:textId="4ACE531D"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rPr>
              <w:t>0.60</w:t>
            </w:r>
          </w:p>
        </w:tc>
        <w:tc>
          <w:tcPr>
            <w:tcW w:w="1117" w:type="dxa"/>
            <w:tcBorders>
              <w:top w:val="nil"/>
              <w:left w:val="nil"/>
              <w:bottom w:val="single" w:sz="4" w:space="0" w:color="auto"/>
              <w:right w:val="single" w:sz="4" w:space="0" w:color="auto"/>
            </w:tcBorders>
            <w:shd w:val="clear" w:color="000000" w:fill="FFFF00"/>
            <w:noWrap/>
            <w:vAlign w:val="bottom"/>
            <w:hideMark/>
          </w:tcPr>
          <w:p w14:paraId="11EA9AF8" w14:textId="5BF53D8C" w:rsidR="003C5153" w:rsidRPr="00822426" w:rsidRDefault="003C5153" w:rsidP="003C5153">
            <w:pPr>
              <w:spacing w:after="0"/>
              <w:jc w:val="center"/>
              <w:rPr>
                <w:rFonts w:ascii="Arial Narrow" w:hAnsi="Arial Narrow"/>
                <w:color w:val="000000"/>
                <w:sz w:val="20"/>
                <w:lang w:val="en-AU" w:eastAsia="en-AU"/>
              </w:rPr>
            </w:pPr>
            <w:r w:rsidRPr="00822426">
              <w:rPr>
                <w:rFonts w:ascii="Arial Narrow" w:hAnsi="Arial Narrow"/>
                <w:color w:val="000000"/>
                <w:sz w:val="20"/>
              </w:rPr>
              <w:t>0.45</w:t>
            </w:r>
          </w:p>
        </w:tc>
      </w:tr>
    </w:tbl>
    <w:p w14:paraId="11EA9AFB" w14:textId="0B3E4301" w:rsidR="005B6EC7" w:rsidRDefault="005B6EC7">
      <w:pPr>
        <w:jc w:val="left"/>
        <w:rPr>
          <w:color w:val="000000" w:themeColor="text1"/>
          <w:lang w:val="en-AU"/>
        </w:rPr>
      </w:pPr>
    </w:p>
    <w:p w14:paraId="11EA9AFC" w14:textId="379058B8" w:rsidR="00C75680" w:rsidRPr="005B6EC7" w:rsidRDefault="00C75680">
      <w:pPr>
        <w:jc w:val="left"/>
        <w:rPr>
          <w:rStyle w:val="IntenseReference"/>
        </w:rPr>
      </w:pPr>
      <w:r w:rsidRPr="005B6EC7">
        <w:rPr>
          <w:rStyle w:val="IntenseReference"/>
        </w:rPr>
        <w:t>Table A</w:t>
      </w:r>
      <w:r w:rsidR="00817833">
        <w:rPr>
          <w:rStyle w:val="IntenseReference"/>
        </w:rPr>
        <w:t xml:space="preserve">1. </w:t>
      </w:r>
      <w:r w:rsidRPr="005B6EC7">
        <w:rPr>
          <w:rStyle w:val="IntenseReference"/>
        </w:rPr>
        <w:t>5 continued</w:t>
      </w:r>
    </w:p>
    <w:tbl>
      <w:tblPr>
        <w:tblW w:w="9418" w:type="dxa"/>
        <w:tblInd w:w="91" w:type="dxa"/>
        <w:tblLayout w:type="fixed"/>
        <w:tblCellMar>
          <w:left w:w="28" w:type="dxa"/>
          <w:right w:w="28" w:type="dxa"/>
        </w:tblCellMar>
        <w:tblLook w:val="04A0" w:firstRow="1" w:lastRow="0" w:firstColumn="1" w:lastColumn="0" w:noHBand="0" w:noVBand="1"/>
      </w:tblPr>
      <w:tblGrid>
        <w:gridCol w:w="771"/>
        <w:gridCol w:w="1576"/>
        <w:gridCol w:w="284"/>
        <w:gridCol w:w="1134"/>
        <w:gridCol w:w="1134"/>
        <w:gridCol w:w="1134"/>
        <w:gridCol w:w="1047"/>
        <w:gridCol w:w="1221"/>
        <w:gridCol w:w="1117"/>
      </w:tblGrid>
      <w:tr w:rsidR="00C75680" w:rsidRPr="00B72345" w14:paraId="11EA9B06" w14:textId="77777777" w:rsidTr="002C5D29">
        <w:trPr>
          <w:cantSplit/>
          <w:trHeight w:val="925"/>
          <w:tblHeader/>
        </w:trPr>
        <w:tc>
          <w:tcPr>
            <w:tcW w:w="7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EA9AFD" w14:textId="77777777" w:rsidR="00C75680" w:rsidRPr="00D41D10" w:rsidRDefault="00C75680" w:rsidP="002C5D29">
            <w:pPr>
              <w:spacing w:after="0"/>
              <w:jc w:val="center"/>
              <w:rPr>
                <w:rFonts w:cs="Arial"/>
                <w:color w:val="000000"/>
                <w:sz w:val="20"/>
                <w:lang w:val="en-AU" w:eastAsia="en-AU"/>
              </w:rPr>
            </w:pPr>
            <w:r w:rsidRPr="00D41D10">
              <w:rPr>
                <w:rFonts w:cs="Arial"/>
                <w:color w:val="000000"/>
                <w:sz w:val="20"/>
                <w:lang w:val="en-AU" w:eastAsia="en-AU"/>
              </w:rPr>
              <w:t>Region</w:t>
            </w:r>
          </w:p>
        </w:tc>
        <w:tc>
          <w:tcPr>
            <w:tcW w:w="1576" w:type="dxa"/>
            <w:tcBorders>
              <w:top w:val="single" w:sz="4" w:space="0" w:color="auto"/>
              <w:left w:val="nil"/>
              <w:bottom w:val="single" w:sz="4" w:space="0" w:color="auto"/>
              <w:right w:val="single" w:sz="4" w:space="0" w:color="auto"/>
            </w:tcBorders>
            <w:shd w:val="clear" w:color="auto" w:fill="auto"/>
            <w:noWrap/>
            <w:vAlign w:val="center"/>
            <w:hideMark/>
          </w:tcPr>
          <w:p w14:paraId="11EA9AFE" w14:textId="77777777" w:rsidR="00C75680" w:rsidRPr="00D41D10" w:rsidRDefault="00C75680" w:rsidP="002C5D29">
            <w:pPr>
              <w:spacing w:after="0"/>
              <w:jc w:val="center"/>
              <w:rPr>
                <w:rFonts w:cs="Arial"/>
                <w:color w:val="000000"/>
                <w:sz w:val="20"/>
                <w:lang w:val="en-AU" w:eastAsia="en-AU"/>
              </w:rPr>
            </w:pPr>
            <w:r w:rsidRPr="00D41D10">
              <w:rPr>
                <w:rFonts w:cs="Arial"/>
                <w:color w:val="000000"/>
                <w:sz w:val="20"/>
                <w:lang w:val="en-AU" w:eastAsia="en-AU"/>
              </w:rPr>
              <w:t>Ree</w:t>
            </w:r>
            <w:r>
              <w:rPr>
                <w:rFonts w:cs="Arial"/>
                <w:color w:val="000000"/>
                <w:sz w:val="20"/>
                <w:lang w:val="en-AU" w:eastAsia="en-AU"/>
              </w:rPr>
              <w:t>f</w:t>
            </w:r>
          </w:p>
        </w:tc>
        <w:tc>
          <w:tcPr>
            <w:tcW w:w="28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11EA9AFF" w14:textId="77777777" w:rsidR="00C75680" w:rsidRPr="00D41D10" w:rsidRDefault="00C75680" w:rsidP="002C5D29">
            <w:pPr>
              <w:spacing w:after="0"/>
              <w:jc w:val="center"/>
              <w:rPr>
                <w:rFonts w:cs="Arial"/>
                <w:color w:val="000000"/>
                <w:sz w:val="20"/>
                <w:lang w:val="en-AU" w:eastAsia="en-AU"/>
              </w:rPr>
            </w:pPr>
            <w:r w:rsidRPr="00D41D10">
              <w:rPr>
                <w:rFonts w:cs="Arial"/>
                <w:color w:val="000000"/>
                <w:sz w:val="20"/>
                <w:lang w:val="en-AU" w:eastAsia="en-AU"/>
              </w:rPr>
              <w:t>Depth</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11EA9B00" w14:textId="77777777" w:rsidR="00C75680" w:rsidRPr="00D41D10" w:rsidRDefault="00C75680" w:rsidP="002C5D29">
            <w:pPr>
              <w:spacing w:after="0"/>
              <w:jc w:val="center"/>
              <w:rPr>
                <w:rFonts w:cs="Arial"/>
                <w:color w:val="000000"/>
                <w:sz w:val="20"/>
                <w:lang w:val="en-AU" w:eastAsia="en-AU"/>
              </w:rPr>
            </w:pPr>
            <w:r w:rsidRPr="00D41D10">
              <w:rPr>
                <w:rFonts w:cs="Arial"/>
                <w:color w:val="000000"/>
                <w:sz w:val="20"/>
                <w:lang w:val="en-AU" w:eastAsia="en-AU"/>
              </w:rPr>
              <w:t>Coral cover</w:t>
            </w:r>
          </w:p>
        </w:tc>
        <w:tc>
          <w:tcPr>
            <w:tcW w:w="1134" w:type="dxa"/>
            <w:tcBorders>
              <w:top w:val="single" w:sz="4" w:space="0" w:color="auto"/>
              <w:left w:val="nil"/>
              <w:bottom w:val="single" w:sz="4" w:space="0" w:color="auto"/>
              <w:right w:val="single" w:sz="4" w:space="0" w:color="auto"/>
            </w:tcBorders>
            <w:shd w:val="clear" w:color="auto" w:fill="auto"/>
            <w:noWrap/>
            <w:tcMar>
              <w:left w:w="0" w:type="dxa"/>
              <w:right w:w="0" w:type="dxa"/>
            </w:tcMar>
            <w:vAlign w:val="center"/>
            <w:hideMark/>
          </w:tcPr>
          <w:p w14:paraId="11EA9B01" w14:textId="77777777" w:rsidR="00C75680" w:rsidRPr="00D41D10" w:rsidRDefault="00C75680" w:rsidP="002C5D29">
            <w:pPr>
              <w:spacing w:after="0"/>
              <w:jc w:val="center"/>
              <w:rPr>
                <w:rFonts w:cs="Arial"/>
                <w:color w:val="000000"/>
                <w:sz w:val="20"/>
                <w:lang w:val="en-AU" w:eastAsia="en-AU"/>
              </w:rPr>
            </w:pPr>
            <w:r w:rsidRPr="00D41D10">
              <w:rPr>
                <w:rFonts w:cs="Arial"/>
                <w:color w:val="000000"/>
                <w:sz w:val="20"/>
                <w:lang w:val="en-AU" w:eastAsia="en-AU"/>
              </w:rPr>
              <w:t>Juvenile density</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11EA9B02" w14:textId="77777777" w:rsidR="00C75680" w:rsidRPr="00D41D10" w:rsidRDefault="00C75680" w:rsidP="002C5D29">
            <w:pPr>
              <w:spacing w:after="0"/>
              <w:jc w:val="center"/>
              <w:rPr>
                <w:rFonts w:cs="Arial"/>
                <w:color w:val="000000"/>
                <w:sz w:val="20"/>
                <w:lang w:val="en-AU" w:eastAsia="en-AU"/>
              </w:rPr>
            </w:pPr>
            <w:r w:rsidRPr="00D41D10">
              <w:rPr>
                <w:rFonts w:cs="Arial"/>
                <w:color w:val="000000"/>
                <w:sz w:val="20"/>
                <w:lang w:val="en-AU" w:eastAsia="en-AU"/>
              </w:rPr>
              <w:t>Macroalgal cover</w:t>
            </w:r>
          </w:p>
        </w:tc>
        <w:tc>
          <w:tcPr>
            <w:tcW w:w="1047" w:type="dxa"/>
            <w:tcBorders>
              <w:top w:val="single" w:sz="4" w:space="0" w:color="auto"/>
              <w:left w:val="nil"/>
              <w:bottom w:val="single" w:sz="4" w:space="0" w:color="auto"/>
              <w:right w:val="single" w:sz="4" w:space="0" w:color="auto"/>
            </w:tcBorders>
            <w:shd w:val="clear" w:color="auto" w:fill="auto"/>
            <w:noWrap/>
            <w:vAlign w:val="center"/>
            <w:hideMark/>
          </w:tcPr>
          <w:p w14:paraId="11EA9B03" w14:textId="77777777" w:rsidR="00C75680" w:rsidRPr="00D41D10" w:rsidRDefault="00C75680" w:rsidP="002C5D29">
            <w:pPr>
              <w:spacing w:after="0"/>
              <w:jc w:val="center"/>
              <w:rPr>
                <w:rFonts w:cs="Arial"/>
                <w:color w:val="000000"/>
                <w:sz w:val="20"/>
                <w:lang w:val="en-AU" w:eastAsia="en-AU"/>
              </w:rPr>
            </w:pPr>
            <w:r w:rsidRPr="00D41D10">
              <w:rPr>
                <w:rFonts w:cs="Arial"/>
                <w:color w:val="000000"/>
                <w:sz w:val="20"/>
                <w:lang w:val="en-AU" w:eastAsia="en-AU"/>
              </w:rPr>
              <w:t>Coral change</w:t>
            </w:r>
          </w:p>
        </w:tc>
        <w:tc>
          <w:tcPr>
            <w:tcW w:w="1221" w:type="dxa"/>
            <w:tcBorders>
              <w:top w:val="single" w:sz="4" w:space="0" w:color="auto"/>
              <w:left w:val="nil"/>
              <w:bottom w:val="single" w:sz="4" w:space="0" w:color="auto"/>
              <w:right w:val="single" w:sz="4" w:space="0" w:color="auto"/>
            </w:tcBorders>
            <w:shd w:val="clear" w:color="auto" w:fill="auto"/>
            <w:noWrap/>
            <w:vAlign w:val="center"/>
            <w:hideMark/>
          </w:tcPr>
          <w:p w14:paraId="11EA9B04" w14:textId="00CF33E3" w:rsidR="00C75680" w:rsidRPr="00D41D10" w:rsidRDefault="00C75680" w:rsidP="002C5D29">
            <w:pPr>
              <w:spacing w:after="0"/>
              <w:jc w:val="center"/>
              <w:rPr>
                <w:rFonts w:cs="Arial"/>
                <w:color w:val="000000"/>
                <w:sz w:val="20"/>
                <w:lang w:val="en-AU" w:eastAsia="en-AU"/>
              </w:rPr>
            </w:pPr>
            <w:r w:rsidRPr="00D41D10">
              <w:rPr>
                <w:rFonts w:cs="Arial"/>
                <w:color w:val="000000"/>
                <w:sz w:val="20"/>
                <w:lang w:val="en-AU" w:eastAsia="en-AU"/>
              </w:rPr>
              <w:t>Coral</w:t>
            </w:r>
            <w:r w:rsidR="00E75F5C">
              <w:rPr>
                <w:rFonts w:cs="Arial"/>
                <w:color w:val="000000"/>
                <w:sz w:val="20"/>
                <w:lang w:val="en-AU" w:eastAsia="en-AU"/>
              </w:rPr>
              <w:t xml:space="preserve"> </w:t>
            </w:r>
            <w:r w:rsidRPr="00D41D10">
              <w:rPr>
                <w:rFonts w:cs="Arial"/>
                <w:color w:val="000000"/>
                <w:sz w:val="20"/>
                <w:lang w:val="en-AU" w:eastAsia="en-AU"/>
              </w:rPr>
              <w:t>composition</w:t>
            </w:r>
          </w:p>
        </w:tc>
        <w:tc>
          <w:tcPr>
            <w:tcW w:w="1117" w:type="dxa"/>
            <w:tcBorders>
              <w:top w:val="single" w:sz="4" w:space="0" w:color="auto"/>
              <w:left w:val="nil"/>
              <w:bottom w:val="single" w:sz="4" w:space="0" w:color="auto"/>
              <w:right w:val="single" w:sz="4" w:space="0" w:color="auto"/>
            </w:tcBorders>
            <w:shd w:val="clear" w:color="auto" w:fill="auto"/>
            <w:noWrap/>
            <w:vAlign w:val="center"/>
            <w:hideMark/>
          </w:tcPr>
          <w:p w14:paraId="11EA9B05" w14:textId="77777777" w:rsidR="00C75680" w:rsidRPr="00D41D10" w:rsidRDefault="00C75680" w:rsidP="002C5D29">
            <w:pPr>
              <w:spacing w:after="0"/>
              <w:jc w:val="center"/>
              <w:rPr>
                <w:rFonts w:cs="Arial"/>
                <w:color w:val="000000"/>
                <w:sz w:val="20"/>
                <w:lang w:val="en-AU" w:eastAsia="en-AU"/>
              </w:rPr>
            </w:pPr>
            <w:r w:rsidRPr="00D41D10">
              <w:rPr>
                <w:rFonts w:cs="Arial"/>
                <w:color w:val="000000"/>
                <w:sz w:val="20"/>
                <w:lang w:val="en-AU" w:eastAsia="en-AU"/>
              </w:rPr>
              <w:t>Coral index</w:t>
            </w:r>
          </w:p>
        </w:tc>
      </w:tr>
      <w:tr w:rsidR="00822426" w:rsidRPr="00B72345" w14:paraId="11EA9B10" w14:textId="77777777" w:rsidTr="002C5D29">
        <w:trPr>
          <w:trHeight w:hRule="exact" w:val="255"/>
        </w:trPr>
        <w:tc>
          <w:tcPr>
            <w:tcW w:w="771" w:type="dxa"/>
            <w:vMerge w:val="restart"/>
            <w:tcBorders>
              <w:top w:val="nil"/>
              <w:left w:val="single" w:sz="4" w:space="0" w:color="auto"/>
              <w:right w:val="single" w:sz="4" w:space="0" w:color="auto"/>
            </w:tcBorders>
            <w:shd w:val="clear" w:color="auto" w:fill="auto"/>
            <w:noWrap/>
            <w:textDirection w:val="btLr"/>
            <w:vAlign w:val="center"/>
          </w:tcPr>
          <w:p w14:paraId="11EA9B07" w14:textId="5187869E" w:rsidR="00822426" w:rsidRPr="00D41D10" w:rsidRDefault="00817833" w:rsidP="002C5D29">
            <w:pPr>
              <w:spacing w:after="0"/>
              <w:jc w:val="center"/>
              <w:rPr>
                <w:rFonts w:cs="Arial"/>
                <w:color w:val="000000"/>
                <w:szCs w:val="22"/>
                <w:lang w:val="en-AU" w:eastAsia="en-AU"/>
              </w:rPr>
            </w:pPr>
            <w:r>
              <w:rPr>
                <w:rFonts w:cs="Arial"/>
                <w:color w:val="000000"/>
                <w:szCs w:val="22"/>
                <w:lang w:val="en-AU" w:eastAsia="en-AU"/>
              </w:rPr>
              <w:t>Mackay Whitsunday</w:t>
            </w:r>
          </w:p>
        </w:tc>
        <w:tc>
          <w:tcPr>
            <w:tcW w:w="1576" w:type="dxa"/>
            <w:tcBorders>
              <w:top w:val="nil"/>
              <w:left w:val="nil"/>
              <w:bottom w:val="single" w:sz="4" w:space="0" w:color="auto"/>
              <w:right w:val="single" w:sz="4" w:space="0" w:color="auto"/>
            </w:tcBorders>
            <w:shd w:val="clear" w:color="auto" w:fill="auto"/>
            <w:noWrap/>
            <w:vAlign w:val="center"/>
          </w:tcPr>
          <w:p w14:paraId="11EA9B08" w14:textId="77777777" w:rsidR="00822426" w:rsidRPr="00D41D10" w:rsidRDefault="00822426" w:rsidP="002C5D29">
            <w:pPr>
              <w:spacing w:after="0"/>
              <w:jc w:val="left"/>
              <w:rPr>
                <w:rFonts w:ascii="Arial Narrow" w:hAnsi="Arial Narrow"/>
                <w:color w:val="000000"/>
                <w:sz w:val="20"/>
                <w:lang w:val="en-AU" w:eastAsia="en-AU"/>
              </w:rPr>
            </w:pPr>
            <w:r>
              <w:rPr>
                <w:rFonts w:ascii="Arial Narrow" w:hAnsi="Arial Narrow"/>
                <w:color w:val="000000"/>
                <w:sz w:val="20"/>
                <w:lang w:val="en-AU" w:eastAsia="en-AU"/>
              </w:rPr>
              <w:t>Hayman</w:t>
            </w:r>
          </w:p>
        </w:tc>
        <w:tc>
          <w:tcPr>
            <w:tcW w:w="284" w:type="dxa"/>
            <w:tcBorders>
              <w:top w:val="nil"/>
              <w:left w:val="nil"/>
              <w:bottom w:val="single" w:sz="4" w:space="0" w:color="auto"/>
              <w:right w:val="single" w:sz="4" w:space="0" w:color="auto"/>
            </w:tcBorders>
            <w:shd w:val="clear" w:color="auto" w:fill="auto"/>
            <w:noWrap/>
            <w:vAlign w:val="center"/>
          </w:tcPr>
          <w:p w14:paraId="11EA9B09"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11EA9B0A" w14:textId="7BEAF273"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0.64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B0B" w14:textId="3D09C2D9"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0.89</w:t>
            </w:r>
          </w:p>
        </w:tc>
        <w:tc>
          <w:tcPr>
            <w:tcW w:w="1134" w:type="dxa"/>
            <w:tcBorders>
              <w:top w:val="nil"/>
              <w:left w:val="nil"/>
              <w:bottom w:val="single" w:sz="4" w:space="0" w:color="auto"/>
              <w:right w:val="single" w:sz="4" w:space="0" w:color="auto"/>
            </w:tcBorders>
            <w:shd w:val="clear" w:color="auto" w:fill="auto"/>
            <w:noWrap/>
            <w:vAlign w:val="bottom"/>
          </w:tcPr>
          <w:p w14:paraId="11EA9B0C" w14:textId="167BC485"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tcPr>
          <w:p w14:paraId="11EA9B0D" w14:textId="12A40936"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0.17</w:t>
            </w:r>
          </w:p>
        </w:tc>
        <w:tc>
          <w:tcPr>
            <w:tcW w:w="1221" w:type="dxa"/>
            <w:tcBorders>
              <w:top w:val="nil"/>
              <w:left w:val="nil"/>
              <w:bottom w:val="single" w:sz="4" w:space="0" w:color="auto"/>
              <w:right w:val="single" w:sz="4" w:space="0" w:color="auto"/>
            </w:tcBorders>
            <w:shd w:val="clear" w:color="auto" w:fill="auto"/>
            <w:noWrap/>
            <w:vAlign w:val="bottom"/>
          </w:tcPr>
          <w:p w14:paraId="11EA9B0E" w14:textId="7E5261D1"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000000" w:fill="92D050"/>
            <w:noWrap/>
            <w:vAlign w:val="bottom"/>
          </w:tcPr>
          <w:p w14:paraId="11EA9B0F" w14:textId="6B35D2AB"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0.64</w:t>
            </w:r>
          </w:p>
        </w:tc>
      </w:tr>
      <w:tr w:rsidR="00822426" w:rsidRPr="00B72345" w14:paraId="11EA9B1A" w14:textId="77777777" w:rsidTr="0039660C">
        <w:trPr>
          <w:trHeight w:hRule="exact" w:val="255"/>
        </w:trPr>
        <w:tc>
          <w:tcPr>
            <w:tcW w:w="771" w:type="dxa"/>
            <w:vMerge/>
            <w:tcBorders>
              <w:left w:val="single" w:sz="4" w:space="0" w:color="auto"/>
              <w:right w:val="single" w:sz="4" w:space="0" w:color="auto"/>
            </w:tcBorders>
            <w:shd w:val="clear" w:color="auto" w:fill="auto"/>
            <w:noWrap/>
            <w:textDirection w:val="btLr"/>
            <w:vAlign w:val="center"/>
          </w:tcPr>
          <w:p w14:paraId="11EA9B11" w14:textId="77777777" w:rsidR="00822426" w:rsidRPr="00D41D10" w:rsidRDefault="00822426" w:rsidP="002C5D29">
            <w:pPr>
              <w:spacing w:after="0"/>
              <w:jc w:val="center"/>
              <w:rPr>
                <w:rFonts w:cs="Arial"/>
                <w:color w:val="000000"/>
                <w:szCs w:val="22"/>
                <w:lang w:val="en-AU" w:eastAsia="en-AU"/>
              </w:rPr>
            </w:pPr>
          </w:p>
        </w:tc>
        <w:tc>
          <w:tcPr>
            <w:tcW w:w="1576" w:type="dxa"/>
            <w:tcBorders>
              <w:top w:val="nil"/>
              <w:left w:val="nil"/>
              <w:bottom w:val="single" w:sz="4" w:space="0" w:color="auto"/>
              <w:right w:val="single" w:sz="4" w:space="0" w:color="auto"/>
            </w:tcBorders>
            <w:shd w:val="clear" w:color="auto" w:fill="auto"/>
            <w:noWrap/>
            <w:vAlign w:val="center"/>
          </w:tcPr>
          <w:p w14:paraId="11EA9B12" w14:textId="77777777" w:rsidR="00822426" w:rsidRPr="00D41D10" w:rsidRDefault="00822426" w:rsidP="002C5D29">
            <w:pPr>
              <w:spacing w:after="0"/>
              <w:jc w:val="left"/>
              <w:rPr>
                <w:rFonts w:ascii="Arial Narrow" w:hAnsi="Arial Narrow"/>
                <w:color w:val="000000"/>
                <w:sz w:val="20"/>
                <w:lang w:val="en-AU" w:eastAsia="en-AU"/>
              </w:rPr>
            </w:pPr>
            <w:r>
              <w:rPr>
                <w:rFonts w:ascii="Arial Narrow" w:hAnsi="Arial Narrow"/>
                <w:color w:val="000000"/>
                <w:sz w:val="20"/>
                <w:lang w:val="en-AU" w:eastAsia="en-AU"/>
              </w:rPr>
              <w:t>Langford</w:t>
            </w:r>
          </w:p>
        </w:tc>
        <w:tc>
          <w:tcPr>
            <w:tcW w:w="284" w:type="dxa"/>
            <w:tcBorders>
              <w:top w:val="nil"/>
              <w:left w:val="nil"/>
              <w:bottom w:val="single" w:sz="4" w:space="0" w:color="auto"/>
              <w:right w:val="single" w:sz="4" w:space="0" w:color="auto"/>
            </w:tcBorders>
            <w:shd w:val="clear" w:color="auto" w:fill="auto"/>
            <w:noWrap/>
            <w:vAlign w:val="center"/>
          </w:tcPr>
          <w:p w14:paraId="11EA9B13"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11EA9B14" w14:textId="47928D7D"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0.59</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11EA9B15" w14:textId="3BE2E9EA"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0.89</w:t>
            </w:r>
          </w:p>
        </w:tc>
        <w:tc>
          <w:tcPr>
            <w:tcW w:w="1134" w:type="dxa"/>
            <w:tcBorders>
              <w:top w:val="nil"/>
              <w:left w:val="nil"/>
              <w:bottom w:val="single" w:sz="4" w:space="0" w:color="auto"/>
              <w:right w:val="single" w:sz="4" w:space="0" w:color="auto"/>
            </w:tcBorders>
            <w:shd w:val="clear" w:color="auto" w:fill="auto"/>
            <w:noWrap/>
            <w:vAlign w:val="bottom"/>
          </w:tcPr>
          <w:p w14:paraId="11EA9B16" w14:textId="7B2EA19D"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tcPr>
          <w:p w14:paraId="11EA9B17" w14:textId="239FAF5C"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0.00</w:t>
            </w:r>
          </w:p>
        </w:tc>
        <w:tc>
          <w:tcPr>
            <w:tcW w:w="1221" w:type="dxa"/>
            <w:tcBorders>
              <w:top w:val="nil"/>
              <w:left w:val="nil"/>
              <w:bottom w:val="single" w:sz="4" w:space="0" w:color="auto"/>
              <w:right w:val="single" w:sz="4" w:space="0" w:color="auto"/>
            </w:tcBorders>
            <w:shd w:val="clear" w:color="auto" w:fill="auto"/>
            <w:noWrap/>
            <w:vAlign w:val="bottom"/>
          </w:tcPr>
          <w:p w14:paraId="11EA9B18" w14:textId="521141F9"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w:t>
            </w:r>
          </w:p>
        </w:tc>
        <w:tc>
          <w:tcPr>
            <w:tcW w:w="1117" w:type="dxa"/>
            <w:tcBorders>
              <w:top w:val="nil"/>
              <w:left w:val="nil"/>
              <w:bottom w:val="single" w:sz="4" w:space="0" w:color="auto"/>
              <w:right w:val="single" w:sz="4" w:space="0" w:color="auto"/>
            </w:tcBorders>
            <w:shd w:val="clear" w:color="auto" w:fill="FFFF00"/>
            <w:noWrap/>
            <w:vAlign w:val="bottom"/>
          </w:tcPr>
          <w:p w14:paraId="11EA9B19" w14:textId="1B21D442"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0.50</w:t>
            </w:r>
          </w:p>
        </w:tc>
      </w:tr>
      <w:tr w:rsidR="00822426" w:rsidRPr="00B72345" w14:paraId="11EA9B24" w14:textId="77777777" w:rsidTr="002C5D29">
        <w:trPr>
          <w:trHeight w:hRule="exact" w:val="255"/>
        </w:trPr>
        <w:tc>
          <w:tcPr>
            <w:tcW w:w="771" w:type="dxa"/>
            <w:vMerge/>
            <w:tcBorders>
              <w:left w:val="single" w:sz="4" w:space="0" w:color="auto"/>
              <w:right w:val="single" w:sz="4" w:space="0" w:color="auto"/>
            </w:tcBorders>
            <w:shd w:val="clear" w:color="auto" w:fill="auto"/>
            <w:noWrap/>
            <w:textDirection w:val="btLr"/>
            <w:vAlign w:val="center"/>
            <w:hideMark/>
          </w:tcPr>
          <w:p w14:paraId="11EA9B1B" w14:textId="77777777" w:rsidR="00822426" w:rsidRPr="00D41D10" w:rsidRDefault="00822426" w:rsidP="002C5D29">
            <w:pPr>
              <w:spacing w:after="0"/>
              <w:jc w:val="center"/>
              <w:rPr>
                <w:rFonts w:cs="Arial"/>
                <w:color w:val="000000"/>
                <w:szCs w:val="22"/>
                <w:lang w:val="en-AU" w:eastAsia="en-AU"/>
              </w:rPr>
            </w:pPr>
          </w:p>
        </w:tc>
        <w:tc>
          <w:tcPr>
            <w:tcW w:w="1576" w:type="dxa"/>
            <w:tcBorders>
              <w:top w:val="nil"/>
              <w:left w:val="nil"/>
              <w:bottom w:val="single" w:sz="4" w:space="0" w:color="auto"/>
              <w:right w:val="single" w:sz="4" w:space="0" w:color="auto"/>
            </w:tcBorders>
            <w:shd w:val="clear" w:color="auto" w:fill="auto"/>
            <w:noWrap/>
            <w:vAlign w:val="center"/>
            <w:hideMark/>
          </w:tcPr>
          <w:p w14:paraId="11EA9B1C" w14:textId="77777777" w:rsidR="00822426" w:rsidRPr="00D41D10" w:rsidRDefault="00822426" w:rsidP="002C5D29">
            <w:pPr>
              <w:spacing w:after="0"/>
              <w:jc w:val="left"/>
              <w:rPr>
                <w:rFonts w:ascii="Arial Narrow" w:hAnsi="Arial Narrow"/>
                <w:color w:val="000000"/>
                <w:sz w:val="20"/>
                <w:lang w:val="en-AU" w:eastAsia="en-AU"/>
              </w:rPr>
            </w:pPr>
            <w:r w:rsidRPr="00D41D10">
              <w:rPr>
                <w:rFonts w:ascii="Arial Narrow" w:hAnsi="Arial Narrow"/>
                <w:color w:val="000000"/>
                <w:sz w:val="20"/>
                <w:lang w:val="en-AU" w:eastAsia="en-AU"/>
              </w:rPr>
              <w:t>Border</w:t>
            </w:r>
          </w:p>
        </w:tc>
        <w:tc>
          <w:tcPr>
            <w:tcW w:w="284" w:type="dxa"/>
            <w:tcBorders>
              <w:top w:val="nil"/>
              <w:left w:val="nil"/>
              <w:bottom w:val="single" w:sz="4" w:space="0" w:color="auto"/>
              <w:right w:val="single" w:sz="4" w:space="0" w:color="auto"/>
            </w:tcBorders>
            <w:shd w:val="clear" w:color="auto" w:fill="auto"/>
            <w:noWrap/>
            <w:vAlign w:val="center"/>
            <w:hideMark/>
          </w:tcPr>
          <w:p w14:paraId="11EA9B1D"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B1E" w14:textId="3FD082D0"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0.78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1F" w14:textId="0B7CA49C"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hideMark/>
          </w:tcPr>
          <w:p w14:paraId="11EA9B20" w14:textId="3A7DAFCD"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11EA9B21" w14:textId="397A3FBC"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0.23</w:t>
            </w:r>
          </w:p>
        </w:tc>
        <w:tc>
          <w:tcPr>
            <w:tcW w:w="1221" w:type="dxa"/>
            <w:tcBorders>
              <w:top w:val="nil"/>
              <w:left w:val="nil"/>
              <w:bottom w:val="single" w:sz="4" w:space="0" w:color="auto"/>
              <w:right w:val="single" w:sz="4" w:space="0" w:color="auto"/>
            </w:tcBorders>
            <w:shd w:val="clear" w:color="auto" w:fill="auto"/>
            <w:noWrap/>
            <w:vAlign w:val="bottom"/>
            <w:hideMark/>
          </w:tcPr>
          <w:p w14:paraId="11EA9B22" w14:textId="724A8D2A"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000000" w:fill="92D050"/>
            <w:noWrap/>
            <w:vAlign w:val="bottom"/>
            <w:hideMark/>
          </w:tcPr>
          <w:p w14:paraId="11EA9B23" w14:textId="446C3CA7"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0.70</w:t>
            </w:r>
          </w:p>
        </w:tc>
      </w:tr>
      <w:tr w:rsidR="00822426" w:rsidRPr="00B72345" w14:paraId="11EA9B2E" w14:textId="77777777" w:rsidTr="0039660C">
        <w:trPr>
          <w:trHeight w:hRule="exact" w:val="255"/>
        </w:trPr>
        <w:tc>
          <w:tcPr>
            <w:tcW w:w="771" w:type="dxa"/>
            <w:vMerge/>
            <w:tcBorders>
              <w:left w:val="single" w:sz="4" w:space="0" w:color="auto"/>
              <w:right w:val="single" w:sz="4" w:space="0" w:color="auto"/>
            </w:tcBorders>
            <w:vAlign w:val="center"/>
            <w:hideMark/>
          </w:tcPr>
          <w:p w14:paraId="11EA9B25" w14:textId="77777777" w:rsidR="00822426" w:rsidRPr="00D41D10" w:rsidRDefault="00822426" w:rsidP="002C5D29">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B26" w14:textId="77777777" w:rsidR="00822426" w:rsidRPr="00D41D10" w:rsidRDefault="00822426" w:rsidP="002C5D29">
            <w:pPr>
              <w:spacing w:after="0"/>
              <w:jc w:val="left"/>
              <w:rPr>
                <w:rFonts w:ascii="Arial Narrow" w:hAnsi="Arial Narrow"/>
                <w:color w:val="000000"/>
                <w:sz w:val="20"/>
                <w:lang w:val="en-AU" w:eastAsia="en-AU"/>
              </w:rPr>
            </w:pPr>
            <w:r>
              <w:rPr>
                <w:rFonts w:ascii="Arial Narrow" w:hAnsi="Arial Narrow"/>
                <w:color w:val="000000"/>
                <w:sz w:val="20"/>
                <w:lang w:val="en-AU" w:eastAsia="en-AU"/>
              </w:rPr>
              <w:t>Hook</w:t>
            </w:r>
          </w:p>
        </w:tc>
        <w:tc>
          <w:tcPr>
            <w:tcW w:w="284" w:type="dxa"/>
            <w:tcBorders>
              <w:top w:val="nil"/>
              <w:left w:val="nil"/>
              <w:bottom w:val="single" w:sz="4" w:space="0" w:color="auto"/>
              <w:right w:val="single" w:sz="4" w:space="0" w:color="auto"/>
            </w:tcBorders>
            <w:shd w:val="clear" w:color="auto" w:fill="auto"/>
            <w:noWrap/>
            <w:vAlign w:val="center"/>
            <w:hideMark/>
          </w:tcPr>
          <w:p w14:paraId="11EA9B27"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B28" w14:textId="79CC0707"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0.61</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29" w14:textId="00822AE6"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0.51</w:t>
            </w:r>
          </w:p>
        </w:tc>
        <w:tc>
          <w:tcPr>
            <w:tcW w:w="1134" w:type="dxa"/>
            <w:tcBorders>
              <w:top w:val="nil"/>
              <w:left w:val="nil"/>
              <w:bottom w:val="single" w:sz="4" w:space="0" w:color="auto"/>
              <w:right w:val="single" w:sz="4" w:space="0" w:color="auto"/>
            </w:tcBorders>
            <w:shd w:val="clear" w:color="auto" w:fill="auto"/>
            <w:noWrap/>
            <w:vAlign w:val="bottom"/>
            <w:hideMark/>
          </w:tcPr>
          <w:p w14:paraId="11EA9B2A" w14:textId="50E73C28"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11EA9B2B" w14:textId="3E7A4B19"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0.33</w:t>
            </w:r>
          </w:p>
        </w:tc>
        <w:tc>
          <w:tcPr>
            <w:tcW w:w="1221" w:type="dxa"/>
            <w:tcBorders>
              <w:top w:val="nil"/>
              <w:left w:val="nil"/>
              <w:bottom w:val="single" w:sz="4" w:space="0" w:color="auto"/>
              <w:right w:val="single" w:sz="4" w:space="0" w:color="auto"/>
            </w:tcBorders>
            <w:shd w:val="clear" w:color="auto" w:fill="auto"/>
            <w:noWrap/>
            <w:vAlign w:val="bottom"/>
            <w:hideMark/>
          </w:tcPr>
          <w:p w14:paraId="11EA9B2C" w14:textId="336A8790"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FFFF00"/>
            <w:noWrap/>
            <w:vAlign w:val="bottom"/>
            <w:hideMark/>
          </w:tcPr>
          <w:p w14:paraId="11EA9B2D" w14:textId="4E0FB7AB"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0.59</w:t>
            </w:r>
          </w:p>
        </w:tc>
      </w:tr>
      <w:tr w:rsidR="00822426" w:rsidRPr="00B72345" w14:paraId="11EA9B38" w14:textId="77777777" w:rsidTr="0039660C">
        <w:trPr>
          <w:trHeight w:hRule="exact" w:val="255"/>
        </w:trPr>
        <w:tc>
          <w:tcPr>
            <w:tcW w:w="771" w:type="dxa"/>
            <w:vMerge/>
            <w:tcBorders>
              <w:left w:val="single" w:sz="4" w:space="0" w:color="auto"/>
              <w:right w:val="single" w:sz="4" w:space="0" w:color="auto"/>
            </w:tcBorders>
            <w:vAlign w:val="center"/>
            <w:hideMark/>
          </w:tcPr>
          <w:p w14:paraId="11EA9B2F" w14:textId="77777777" w:rsidR="00822426" w:rsidRPr="00D41D10" w:rsidRDefault="00822426" w:rsidP="002C5D29">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B30" w14:textId="77777777" w:rsidR="00822426" w:rsidRPr="00D41D10" w:rsidRDefault="00822426" w:rsidP="002C5D29">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B31"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B32" w14:textId="1F19EA6F"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0.64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33" w14:textId="74079412"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0.30</w:t>
            </w:r>
          </w:p>
        </w:tc>
        <w:tc>
          <w:tcPr>
            <w:tcW w:w="1134" w:type="dxa"/>
            <w:tcBorders>
              <w:top w:val="nil"/>
              <w:left w:val="nil"/>
              <w:bottom w:val="single" w:sz="4" w:space="0" w:color="auto"/>
              <w:right w:val="single" w:sz="4" w:space="0" w:color="auto"/>
            </w:tcBorders>
            <w:shd w:val="clear" w:color="auto" w:fill="auto"/>
            <w:noWrap/>
            <w:vAlign w:val="bottom"/>
            <w:hideMark/>
          </w:tcPr>
          <w:p w14:paraId="11EA9B34" w14:textId="61667571"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11EA9B35" w14:textId="4D85B355"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0.15</w:t>
            </w:r>
          </w:p>
        </w:tc>
        <w:tc>
          <w:tcPr>
            <w:tcW w:w="1221" w:type="dxa"/>
            <w:tcBorders>
              <w:top w:val="nil"/>
              <w:left w:val="nil"/>
              <w:bottom w:val="single" w:sz="4" w:space="0" w:color="auto"/>
              <w:right w:val="single" w:sz="4" w:space="0" w:color="auto"/>
            </w:tcBorders>
            <w:shd w:val="clear" w:color="auto" w:fill="auto"/>
            <w:noWrap/>
            <w:vAlign w:val="bottom"/>
            <w:hideMark/>
          </w:tcPr>
          <w:p w14:paraId="11EA9B36" w14:textId="5DC4A570"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FFFF00"/>
            <w:noWrap/>
            <w:vAlign w:val="bottom"/>
            <w:hideMark/>
          </w:tcPr>
          <w:p w14:paraId="11EA9B37" w14:textId="481B1AAF"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0.52</w:t>
            </w:r>
          </w:p>
        </w:tc>
      </w:tr>
      <w:tr w:rsidR="00822426" w:rsidRPr="00B72345" w14:paraId="11EA9B42" w14:textId="77777777" w:rsidTr="002C5D29">
        <w:trPr>
          <w:trHeight w:hRule="exact" w:val="255"/>
        </w:trPr>
        <w:tc>
          <w:tcPr>
            <w:tcW w:w="771" w:type="dxa"/>
            <w:vMerge/>
            <w:tcBorders>
              <w:left w:val="single" w:sz="4" w:space="0" w:color="auto"/>
              <w:right w:val="single" w:sz="4" w:space="0" w:color="auto"/>
            </w:tcBorders>
            <w:vAlign w:val="center"/>
            <w:hideMark/>
          </w:tcPr>
          <w:p w14:paraId="11EA9B39" w14:textId="77777777" w:rsidR="00822426" w:rsidRPr="00D41D10" w:rsidRDefault="00822426" w:rsidP="002C5D29">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B3A" w14:textId="77777777" w:rsidR="00822426" w:rsidRPr="00D41D10" w:rsidRDefault="00822426" w:rsidP="002C5D29">
            <w:pPr>
              <w:spacing w:after="0"/>
              <w:jc w:val="left"/>
              <w:rPr>
                <w:rFonts w:ascii="Arial Narrow" w:hAnsi="Arial Narrow"/>
                <w:color w:val="000000"/>
                <w:sz w:val="20"/>
                <w:lang w:val="en-AU" w:eastAsia="en-AU"/>
              </w:rPr>
            </w:pPr>
            <w:r>
              <w:rPr>
                <w:rFonts w:ascii="Arial Narrow" w:hAnsi="Arial Narrow"/>
                <w:color w:val="000000"/>
                <w:sz w:val="20"/>
                <w:lang w:val="en-AU" w:eastAsia="en-AU"/>
              </w:rPr>
              <w:t>Double cone</w:t>
            </w:r>
          </w:p>
        </w:tc>
        <w:tc>
          <w:tcPr>
            <w:tcW w:w="284" w:type="dxa"/>
            <w:tcBorders>
              <w:top w:val="nil"/>
              <w:left w:val="nil"/>
              <w:bottom w:val="single" w:sz="4" w:space="0" w:color="auto"/>
              <w:right w:val="single" w:sz="4" w:space="0" w:color="auto"/>
            </w:tcBorders>
            <w:shd w:val="clear" w:color="auto" w:fill="auto"/>
            <w:noWrap/>
            <w:vAlign w:val="center"/>
            <w:hideMark/>
          </w:tcPr>
          <w:p w14:paraId="11EA9B3B"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B3C" w14:textId="4863BEA8"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3D" w14:textId="5955EEB9"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0.47</w:t>
            </w:r>
          </w:p>
        </w:tc>
        <w:tc>
          <w:tcPr>
            <w:tcW w:w="1134" w:type="dxa"/>
            <w:tcBorders>
              <w:top w:val="nil"/>
              <w:left w:val="nil"/>
              <w:bottom w:val="single" w:sz="4" w:space="0" w:color="auto"/>
              <w:right w:val="single" w:sz="4" w:space="0" w:color="auto"/>
            </w:tcBorders>
            <w:shd w:val="clear" w:color="auto" w:fill="auto"/>
            <w:noWrap/>
            <w:vAlign w:val="bottom"/>
            <w:hideMark/>
          </w:tcPr>
          <w:p w14:paraId="11EA9B3E" w14:textId="29EAD392"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11EA9B3F" w14:textId="500DC340"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0.71</w:t>
            </w:r>
          </w:p>
        </w:tc>
        <w:tc>
          <w:tcPr>
            <w:tcW w:w="1221" w:type="dxa"/>
            <w:tcBorders>
              <w:top w:val="nil"/>
              <w:left w:val="nil"/>
              <w:bottom w:val="single" w:sz="4" w:space="0" w:color="auto"/>
              <w:right w:val="single" w:sz="4" w:space="0" w:color="auto"/>
            </w:tcBorders>
            <w:shd w:val="clear" w:color="auto" w:fill="auto"/>
            <w:noWrap/>
            <w:vAlign w:val="bottom"/>
            <w:hideMark/>
          </w:tcPr>
          <w:p w14:paraId="11EA9B40" w14:textId="476F0FC7"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w:t>
            </w:r>
          </w:p>
        </w:tc>
        <w:tc>
          <w:tcPr>
            <w:tcW w:w="1117" w:type="dxa"/>
            <w:tcBorders>
              <w:top w:val="nil"/>
              <w:left w:val="nil"/>
              <w:bottom w:val="single" w:sz="4" w:space="0" w:color="auto"/>
              <w:right w:val="single" w:sz="4" w:space="0" w:color="auto"/>
            </w:tcBorders>
            <w:shd w:val="clear" w:color="000000" w:fill="00B050"/>
            <w:noWrap/>
            <w:vAlign w:val="bottom"/>
            <w:hideMark/>
          </w:tcPr>
          <w:p w14:paraId="11EA9B41" w14:textId="14F8862C"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0.84</w:t>
            </w:r>
          </w:p>
        </w:tc>
      </w:tr>
      <w:tr w:rsidR="00822426" w:rsidRPr="00B72345" w14:paraId="11EA9B4C" w14:textId="77777777" w:rsidTr="002C5D29">
        <w:trPr>
          <w:trHeight w:hRule="exact" w:val="255"/>
        </w:trPr>
        <w:tc>
          <w:tcPr>
            <w:tcW w:w="771" w:type="dxa"/>
            <w:vMerge/>
            <w:tcBorders>
              <w:left w:val="single" w:sz="4" w:space="0" w:color="auto"/>
              <w:right w:val="single" w:sz="4" w:space="0" w:color="auto"/>
            </w:tcBorders>
            <w:vAlign w:val="center"/>
            <w:hideMark/>
          </w:tcPr>
          <w:p w14:paraId="11EA9B43" w14:textId="77777777" w:rsidR="00822426" w:rsidRPr="00D41D10" w:rsidRDefault="00822426" w:rsidP="002C5D29">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B44" w14:textId="77777777" w:rsidR="00822426" w:rsidRPr="00D41D10" w:rsidRDefault="00822426" w:rsidP="002C5D29">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B45"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B46" w14:textId="3C040203"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47" w14:textId="79969985"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0.27</w:t>
            </w:r>
          </w:p>
        </w:tc>
        <w:tc>
          <w:tcPr>
            <w:tcW w:w="1134" w:type="dxa"/>
            <w:tcBorders>
              <w:top w:val="nil"/>
              <w:left w:val="nil"/>
              <w:bottom w:val="single" w:sz="4" w:space="0" w:color="auto"/>
              <w:right w:val="single" w:sz="4" w:space="0" w:color="auto"/>
            </w:tcBorders>
            <w:shd w:val="clear" w:color="auto" w:fill="auto"/>
            <w:noWrap/>
            <w:vAlign w:val="bottom"/>
            <w:hideMark/>
          </w:tcPr>
          <w:p w14:paraId="11EA9B48" w14:textId="254E11A9"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11EA9B49" w14:textId="3BC5C0A3"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0.49</w:t>
            </w:r>
          </w:p>
        </w:tc>
        <w:tc>
          <w:tcPr>
            <w:tcW w:w="1221" w:type="dxa"/>
            <w:tcBorders>
              <w:top w:val="nil"/>
              <w:left w:val="nil"/>
              <w:bottom w:val="single" w:sz="4" w:space="0" w:color="auto"/>
              <w:right w:val="single" w:sz="4" w:space="0" w:color="auto"/>
            </w:tcBorders>
            <w:shd w:val="clear" w:color="auto" w:fill="auto"/>
            <w:noWrap/>
            <w:vAlign w:val="bottom"/>
            <w:hideMark/>
          </w:tcPr>
          <w:p w14:paraId="11EA9B4A" w14:textId="2C725DE8"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000000" w:fill="92D050"/>
            <w:noWrap/>
            <w:vAlign w:val="bottom"/>
            <w:hideMark/>
          </w:tcPr>
          <w:p w14:paraId="11EA9B4B" w14:textId="42DE9219"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0.65</w:t>
            </w:r>
          </w:p>
        </w:tc>
      </w:tr>
      <w:tr w:rsidR="00822426" w:rsidRPr="00B72345" w14:paraId="11EA9B56" w14:textId="77777777" w:rsidTr="0039660C">
        <w:trPr>
          <w:trHeight w:hRule="exact" w:val="255"/>
        </w:trPr>
        <w:tc>
          <w:tcPr>
            <w:tcW w:w="771" w:type="dxa"/>
            <w:vMerge/>
            <w:tcBorders>
              <w:left w:val="single" w:sz="4" w:space="0" w:color="auto"/>
              <w:right w:val="single" w:sz="4" w:space="0" w:color="auto"/>
            </w:tcBorders>
            <w:vAlign w:val="center"/>
            <w:hideMark/>
          </w:tcPr>
          <w:p w14:paraId="11EA9B4D" w14:textId="77777777" w:rsidR="00822426" w:rsidRPr="00D41D10" w:rsidRDefault="00822426" w:rsidP="002C5D29">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B4E" w14:textId="77777777" w:rsidR="00822426" w:rsidRPr="00D41D10" w:rsidRDefault="00822426" w:rsidP="002C5D29">
            <w:pPr>
              <w:spacing w:after="0"/>
              <w:jc w:val="left"/>
              <w:rPr>
                <w:rFonts w:ascii="Arial Narrow" w:hAnsi="Arial Narrow"/>
                <w:color w:val="000000"/>
                <w:sz w:val="20"/>
                <w:lang w:val="en-AU" w:eastAsia="en-AU"/>
              </w:rPr>
            </w:pPr>
            <w:r>
              <w:rPr>
                <w:rFonts w:ascii="Arial Narrow" w:hAnsi="Arial Narrow"/>
                <w:color w:val="000000"/>
                <w:sz w:val="20"/>
                <w:lang w:val="en-AU" w:eastAsia="en-AU"/>
              </w:rPr>
              <w:t>Seaforth</w:t>
            </w:r>
          </w:p>
        </w:tc>
        <w:tc>
          <w:tcPr>
            <w:tcW w:w="284" w:type="dxa"/>
            <w:tcBorders>
              <w:top w:val="nil"/>
              <w:left w:val="nil"/>
              <w:bottom w:val="single" w:sz="4" w:space="0" w:color="auto"/>
              <w:right w:val="single" w:sz="4" w:space="0" w:color="auto"/>
            </w:tcBorders>
            <w:shd w:val="clear" w:color="auto" w:fill="auto"/>
            <w:noWrap/>
            <w:vAlign w:val="center"/>
            <w:hideMark/>
          </w:tcPr>
          <w:p w14:paraId="11EA9B4F"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B50" w14:textId="29B64DDD"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0.38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51" w14:textId="12716546"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0.45</w:t>
            </w:r>
          </w:p>
        </w:tc>
        <w:tc>
          <w:tcPr>
            <w:tcW w:w="1134" w:type="dxa"/>
            <w:tcBorders>
              <w:top w:val="nil"/>
              <w:left w:val="nil"/>
              <w:bottom w:val="single" w:sz="4" w:space="0" w:color="auto"/>
              <w:right w:val="single" w:sz="4" w:space="0" w:color="auto"/>
            </w:tcBorders>
            <w:shd w:val="clear" w:color="auto" w:fill="auto"/>
            <w:noWrap/>
            <w:vAlign w:val="bottom"/>
            <w:hideMark/>
          </w:tcPr>
          <w:p w14:paraId="11EA9B52" w14:textId="712D14C3"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B53" w14:textId="4B18825E"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0.39</w:t>
            </w:r>
          </w:p>
        </w:tc>
        <w:tc>
          <w:tcPr>
            <w:tcW w:w="1221" w:type="dxa"/>
            <w:tcBorders>
              <w:top w:val="nil"/>
              <w:left w:val="nil"/>
              <w:bottom w:val="single" w:sz="4" w:space="0" w:color="auto"/>
              <w:right w:val="single" w:sz="4" w:space="0" w:color="auto"/>
            </w:tcBorders>
            <w:shd w:val="clear" w:color="auto" w:fill="auto"/>
            <w:noWrap/>
            <w:vAlign w:val="bottom"/>
            <w:hideMark/>
          </w:tcPr>
          <w:p w14:paraId="11EA9B54" w14:textId="004039FE"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FFC000"/>
            <w:noWrap/>
            <w:vAlign w:val="bottom"/>
            <w:hideMark/>
          </w:tcPr>
          <w:p w14:paraId="11EA9B55" w14:textId="263CAFE3"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0.34</w:t>
            </w:r>
          </w:p>
        </w:tc>
      </w:tr>
      <w:tr w:rsidR="00822426" w:rsidRPr="00B72345" w14:paraId="11EA9B60" w14:textId="77777777" w:rsidTr="0039660C">
        <w:trPr>
          <w:trHeight w:hRule="exact" w:val="255"/>
        </w:trPr>
        <w:tc>
          <w:tcPr>
            <w:tcW w:w="771" w:type="dxa"/>
            <w:vMerge/>
            <w:tcBorders>
              <w:left w:val="single" w:sz="4" w:space="0" w:color="auto"/>
              <w:right w:val="single" w:sz="4" w:space="0" w:color="auto"/>
            </w:tcBorders>
            <w:vAlign w:val="center"/>
            <w:hideMark/>
          </w:tcPr>
          <w:p w14:paraId="11EA9B57" w14:textId="77777777" w:rsidR="00822426" w:rsidRPr="00D41D10" w:rsidRDefault="00822426" w:rsidP="002C5D29">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B58" w14:textId="77777777" w:rsidR="00822426" w:rsidRPr="00D41D10" w:rsidRDefault="00822426" w:rsidP="002C5D29">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B59"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B5A" w14:textId="500BDBA0"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0.23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5B" w14:textId="6E2A57A1"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0.64</w:t>
            </w:r>
          </w:p>
        </w:tc>
        <w:tc>
          <w:tcPr>
            <w:tcW w:w="1134" w:type="dxa"/>
            <w:tcBorders>
              <w:top w:val="nil"/>
              <w:left w:val="nil"/>
              <w:bottom w:val="single" w:sz="4" w:space="0" w:color="auto"/>
              <w:right w:val="single" w:sz="4" w:space="0" w:color="auto"/>
            </w:tcBorders>
            <w:shd w:val="clear" w:color="auto" w:fill="auto"/>
            <w:noWrap/>
            <w:vAlign w:val="bottom"/>
            <w:hideMark/>
          </w:tcPr>
          <w:p w14:paraId="11EA9B5C" w14:textId="256740D8"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B5D" w14:textId="037BA1AF"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0.00</w:t>
            </w:r>
          </w:p>
        </w:tc>
        <w:tc>
          <w:tcPr>
            <w:tcW w:w="1221" w:type="dxa"/>
            <w:tcBorders>
              <w:top w:val="nil"/>
              <w:left w:val="nil"/>
              <w:bottom w:val="single" w:sz="4" w:space="0" w:color="auto"/>
              <w:right w:val="single" w:sz="4" w:space="0" w:color="auto"/>
            </w:tcBorders>
            <w:shd w:val="clear" w:color="auto" w:fill="auto"/>
            <w:noWrap/>
            <w:vAlign w:val="bottom"/>
            <w:hideMark/>
          </w:tcPr>
          <w:p w14:paraId="11EA9B5E" w14:textId="61AB16BF"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w:t>
            </w:r>
          </w:p>
        </w:tc>
        <w:tc>
          <w:tcPr>
            <w:tcW w:w="1117" w:type="dxa"/>
            <w:tcBorders>
              <w:top w:val="nil"/>
              <w:left w:val="nil"/>
              <w:bottom w:val="single" w:sz="4" w:space="0" w:color="auto"/>
              <w:right w:val="single" w:sz="4" w:space="0" w:color="auto"/>
            </w:tcBorders>
            <w:shd w:val="clear" w:color="auto" w:fill="FFC000"/>
            <w:noWrap/>
            <w:vAlign w:val="bottom"/>
            <w:hideMark/>
          </w:tcPr>
          <w:p w14:paraId="11EA9B5F" w14:textId="09A05E64"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0.37</w:t>
            </w:r>
          </w:p>
        </w:tc>
      </w:tr>
      <w:tr w:rsidR="00822426" w:rsidRPr="00B72345" w14:paraId="11EA9B6A" w14:textId="77777777" w:rsidTr="00334C06">
        <w:trPr>
          <w:trHeight w:hRule="exact" w:val="255"/>
        </w:trPr>
        <w:tc>
          <w:tcPr>
            <w:tcW w:w="771" w:type="dxa"/>
            <w:vMerge/>
            <w:tcBorders>
              <w:left w:val="single" w:sz="4" w:space="0" w:color="auto"/>
              <w:right w:val="single" w:sz="4" w:space="0" w:color="auto"/>
            </w:tcBorders>
            <w:vAlign w:val="center"/>
            <w:hideMark/>
          </w:tcPr>
          <w:p w14:paraId="11EA9B61" w14:textId="77777777" w:rsidR="00822426" w:rsidRPr="00D41D10" w:rsidRDefault="00822426" w:rsidP="002C5D29">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B62" w14:textId="77777777" w:rsidR="00822426" w:rsidRPr="00D41D10" w:rsidRDefault="00822426" w:rsidP="002C5D29">
            <w:pPr>
              <w:spacing w:after="0"/>
              <w:jc w:val="left"/>
              <w:rPr>
                <w:rFonts w:ascii="Arial Narrow" w:hAnsi="Arial Narrow"/>
                <w:color w:val="000000"/>
                <w:sz w:val="20"/>
                <w:lang w:val="en-AU" w:eastAsia="en-AU"/>
              </w:rPr>
            </w:pPr>
            <w:r>
              <w:rPr>
                <w:rFonts w:ascii="Arial Narrow" w:hAnsi="Arial Narrow"/>
                <w:color w:val="000000"/>
                <w:sz w:val="20"/>
                <w:lang w:val="en-AU" w:eastAsia="en-AU"/>
              </w:rPr>
              <w:t>Dent</w:t>
            </w:r>
          </w:p>
        </w:tc>
        <w:tc>
          <w:tcPr>
            <w:tcW w:w="284" w:type="dxa"/>
            <w:tcBorders>
              <w:top w:val="nil"/>
              <w:left w:val="nil"/>
              <w:bottom w:val="single" w:sz="4" w:space="0" w:color="auto"/>
              <w:right w:val="single" w:sz="4" w:space="0" w:color="auto"/>
            </w:tcBorders>
            <w:shd w:val="clear" w:color="auto" w:fill="auto"/>
            <w:noWrap/>
            <w:vAlign w:val="center"/>
            <w:hideMark/>
          </w:tcPr>
          <w:p w14:paraId="11EA9B63"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B64" w14:textId="298C2E97"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0.90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65" w14:textId="2A15EF5F"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0.37</w:t>
            </w:r>
          </w:p>
        </w:tc>
        <w:tc>
          <w:tcPr>
            <w:tcW w:w="1134" w:type="dxa"/>
            <w:tcBorders>
              <w:top w:val="nil"/>
              <w:left w:val="nil"/>
              <w:bottom w:val="single" w:sz="4" w:space="0" w:color="auto"/>
              <w:right w:val="single" w:sz="4" w:space="0" w:color="auto"/>
            </w:tcBorders>
            <w:shd w:val="clear" w:color="auto" w:fill="auto"/>
            <w:noWrap/>
            <w:vAlign w:val="bottom"/>
            <w:hideMark/>
          </w:tcPr>
          <w:p w14:paraId="11EA9B66" w14:textId="0600D476"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11EA9B67" w14:textId="779AA6F9"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0.60</w:t>
            </w:r>
          </w:p>
        </w:tc>
        <w:tc>
          <w:tcPr>
            <w:tcW w:w="1221" w:type="dxa"/>
            <w:tcBorders>
              <w:top w:val="nil"/>
              <w:left w:val="nil"/>
              <w:bottom w:val="single" w:sz="4" w:space="0" w:color="auto"/>
              <w:right w:val="single" w:sz="4" w:space="0" w:color="auto"/>
            </w:tcBorders>
            <w:shd w:val="clear" w:color="auto" w:fill="auto"/>
            <w:noWrap/>
            <w:vAlign w:val="bottom"/>
            <w:hideMark/>
          </w:tcPr>
          <w:p w14:paraId="11EA9B68" w14:textId="6213F8E7"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w:t>
            </w:r>
          </w:p>
        </w:tc>
        <w:tc>
          <w:tcPr>
            <w:tcW w:w="1117" w:type="dxa"/>
            <w:tcBorders>
              <w:top w:val="nil"/>
              <w:left w:val="nil"/>
              <w:bottom w:val="single" w:sz="4" w:space="0" w:color="auto"/>
              <w:right w:val="single" w:sz="4" w:space="0" w:color="auto"/>
            </w:tcBorders>
            <w:shd w:val="clear" w:color="auto" w:fill="92D050"/>
            <w:noWrap/>
            <w:vAlign w:val="bottom"/>
            <w:hideMark/>
          </w:tcPr>
          <w:p w14:paraId="11EA9B69" w14:textId="519DEE35"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0.77</w:t>
            </w:r>
          </w:p>
        </w:tc>
      </w:tr>
      <w:tr w:rsidR="00822426" w:rsidRPr="00B72345" w14:paraId="11EA9B74" w14:textId="77777777" w:rsidTr="0039660C">
        <w:trPr>
          <w:trHeight w:hRule="exact" w:val="255"/>
        </w:trPr>
        <w:tc>
          <w:tcPr>
            <w:tcW w:w="771" w:type="dxa"/>
            <w:vMerge/>
            <w:tcBorders>
              <w:left w:val="single" w:sz="4" w:space="0" w:color="auto"/>
              <w:right w:val="single" w:sz="4" w:space="0" w:color="auto"/>
            </w:tcBorders>
            <w:vAlign w:val="center"/>
            <w:hideMark/>
          </w:tcPr>
          <w:p w14:paraId="11EA9B6B" w14:textId="77777777" w:rsidR="00822426" w:rsidRPr="00D41D10" w:rsidRDefault="00822426" w:rsidP="002C5D29">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B6C" w14:textId="77777777" w:rsidR="00822426" w:rsidRPr="00D41D10" w:rsidRDefault="00822426" w:rsidP="002C5D29">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B6D"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B6E" w14:textId="48B7F8E8"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0.74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6F" w14:textId="7F1C57C6"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0.49</w:t>
            </w:r>
          </w:p>
        </w:tc>
        <w:tc>
          <w:tcPr>
            <w:tcW w:w="1134" w:type="dxa"/>
            <w:tcBorders>
              <w:top w:val="nil"/>
              <w:left w:val="nil"/>
              <w:bottom w:val="single" w:sz="4" w:space="0" w:color="auto"/>
              <w:right w:val="single" w:sz="4" w:space="0" w:color="auto"/>
            </w:tcBorders>
            <w:shd w:val="clear" w:color="auto" w:fill="auto"/>
            <w:noWrap/>
            <w:vAlign w:val="bottom"/>
            <w:hideMark/>
          </w:tcPr>
          <w:p w14:paraId="11EA9B70" w14:textId="739B1DD1"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0.95</w:t>
            </w:r>
          </w:p>
        </w:tc>
        <w:tc>
          <w:tcPr>
            <w:tcW w:w="1047" w:type="dxa"/>
            <w:tcBorders>
              <w:top w:val="nil"/>
              <w:left w:val="nil"/>
              <w:bottom w:val="single" w:sz="4" w:space="0" w:color="auto"/>
              <w:right w:val="single" w:sz="4" w:space="0" w:color="auto"/>
            </w:tcBorders>
            <w:shd w:val="clear" w:color="auto" w:fill="auto"/>
            <w:noWrap/>
            <w:vAlign w:val="bottom"/>
            <w:hideMark/>
          </w:tcPr>
          <w:p w14:paraId="11EA9B71" w14:textId="7998DD98"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0.65</w:t>
            </w:r>
          </w:p>
        </w:tc>
        <w:tc>
          <w:tcPr>
            <w:tcW w:w="1221" w:type="dxa"/>
            <w:tcBorders>
              <w:top w:val="nil"/>
              <w:left w:val="nil"/>
              <w:bottom w:val="single" w:sz="4" w:space="0" w:color="auto"/>
              <w:right w:val="single" w:sz="4" w:space="0" w:color="auto"/>
            </w:tcBorders>
            <w:shd w:val="clear" w:color="auto" w:fill="auto"/>
            <w:noWrap/>
            <w:vAlign w:val="bottom"/>
            <w:hideMark/>
          </w:tcPr>
          <w:p w14:paraId="11EA9B72" w14:textId="7EF16440"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92D050"/>
            <w:noWrap/>
            <w:vAlign w:val="bottom"/>
            <w:hideMark/>
          </w:tcPr>
          <w:p w14:paraId="11EA9B73" w14:textId="497AA583"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0.66</w:t>
            </w:r>
          </w:p>
        </w:tc>
      </w:tr>
      <w:tr w:rsidR="00822426" w:rsidRPr="00B72345" w14:paraId="11EA9B7E" w14:textId="77777777" w:rsidTr="0039660C">
        <w:trPr>
          <w:trHeight w:hRule="exact" w:val="255"/>
        </w:trPr>
        <w:tc>
          <w:tcPr>
            <w:tcW w:w="771" w:type="dxa"/>
            <w:vMerge/>
            <w:tcBorders>
              <w:left w:val="single" w:sz="4" w:space="0" w:color="auto"/>
              <w:right w:val="single" w:sz="4" w:space="0" w:color="auto"/>
            </w:tcBorders>
            <w:vAlign w:val="center"/>
            <w:hideMark/>
          </w:tcPr>
          <w:p w14:paraId="11EA9B75" w14:textId="77777777" w:rsidR="00822426" w:rsidRPr="00D41D10" w:rsidRDefault="00822426" w:rsidP="002C5D29">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B76" w14:textId="77777777" w:rsidR="00822426" w:rsidRPr="00D41D10" w:rsidRDefault="00822426" w:rsidP="002C5D29">
            <w:pPr>
              <w:spacing w:after="0"/>
              <w:jc w:val="left"/>
              <w:rPr>
                <w:rFonts w:ascii="Arial Narrow" w:hAnsi="Arial Narrow"/>
                <w:color w:val="000000"/>
                <w:sz w:val="20"/>
                <w:lang w:val="en-AU" w:eastAsia="en-AU"/>
              </w:rPr>
            </w:pPr>
            <w:r>
              <w:rPr>
                <w:rFonts w:ascii="Arial Narrow" w:hAnsi="Arial Narrow"/>
                <w:color w:val="000000"/>
                <w:sz w:val="20"/>
                <w:lang w:val="en-AU" w:eastAsia="en-AU"/>
              </w:rPr>
              <w:t>Shute Harbour</w:t>
            </w:r>
          </w:p>
        </w:tc>
        <w:tc>
          <w:tcPr>
            <w:tcW w:w="284" w:type="dxa"/>
            <w:tcBorders>
              <w:top w:val="nil"/>
              <w:left w:val="nil"/>
              <w:bottom w:val="single" w:sz="4" w:space="0" w:color="auto"/>
              <w:right w:val="single" w:sz="4" w:space="0" w:color="auto"/>
            </w:tcBorders>
            <w:shd w:val="clear" w:color="auto" w:fill="auto"/>
            <w:noWrap/>
            <w:vAlign w:val="center"/>
            <w:hideMark/>
          </w:tcPr>
          <w:p w14:paraId="11EA9B77"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B78" w14:textId="1E34C18F"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79" w14:textId="35455FBD"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hideMark/>
          </w:tcPr>
          <w:p w14:paraId="11EA9B7A" w14:textId="0134B34E"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11EA9B7B" w14:textId="79CE58E5"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0.69</w:t>
            </w:r>
          </w:p>
        </w:tc>
        <w:tc>
          <w:tcPr>
            <w:tcW w:w="1221" w:type="dxa"/>
            <w:tcBorders>
              <w:top w:val="nil"/>
              <w:left w:val="nil"/>
              <w:bottom w:val="single" w:sz="4" w:space="0" w:color="auto"/>
              <w:right w:val="single" w:sz="4" w:space="0" w:color="auto"/>
            </w:tcBorders>
            <w:shd w:val="clear" w:color="auto" w:fill="auto"/>
            <w:noWrap/>
            <w:vAlign w:val="bottom"/>
            <w:hideMark/>
          </w:tcPr>
          <w:p w14:paraId="11EA9B7C" w14:textId="236FF7E3"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w:t>
            </w:r>
          </w:p>
        </w:tc>
        <w:tc>
          <w:tcPr>
            <w:tcW w:w="1117" w:type="dxa"/>
            <w:tcBorders>
              <w:top w:val="nil"/>
              <w:left w:val="nil"/>
              <w:bottom w:val="single" w:sz="4" w:space="0" w:color="auto"/>
              <w:right w:val="single" w:sz="4" w:space="0" w:color="auto"/>
            </w:tcBorders>
            <w:shd w:val="clear" w:color="auto" w:fill="00B050"/>
            <w:noWrap/>
            <w:vAlign w:val="bottom"/>
            <w:hideMark/>
          </w:tcPr>
          <w:p w14:paraId="11EA9B7D" w14:textId="34AA9EC5"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0.94</w:t>
            </w:r>
          </w:p>
        </w:tc>
      </w:tr>
      <w:tr w:rsidR="00822426" w:rsidRPr="00B72345" w14:paraId="11EA9B88" w14:textId="77777777" w:rsidTr="0039660C">
        <w:trPr>
          <w:trHeight w:hRule="exact" w:val="255"/>
        </w:trPr>
        <w:tc>
          <w:tcPr>
            <w:tcW w:w="771" w:type="dxa"/>
            <w:vMerge/>
            <w:tcBorders>
              <w:left w:val="single" w:sz="4" w:space="0" w:color="auto"/>
              <w:right w:val="single" w:sz="4" w:space="0" w:color="auto"/>
            </w:tcBorders>
            <w:vAlign w:val="center"/>
            <w:hideMark/>
          </w:tcPr>
          <w:p w14:paraId="11EA9B7F" w14:textId="77777777" w:rsidR="00822426" w:rsidRPr="00D41D10" w:rsidRDefault="00822426" w:rsidP="002C5D29">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B80" w14:textId="77777777" w:rsidR="00822426" w:rsidRPr="00D41D10" w:rsidRDefault="00822426" w:rsidP="002C5D29">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B81"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B82" w14:textId="72F55DF4"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83" w14:textId="23AC7BE8"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0.67</w:t>
            </w:r>
          </w:p>
        </w:tc>
        <w:tc>
          <w:tcPr>
            <w:tcW w:w="1134" w:type="dxa"/>
            <w:tcBorders>
              <w:top w:val="nil"/>
              <w:left w:val="nil"/>
              <w:bottom w:val="single" w:sz="4" w:space="0" w:color="auto"/>
              <w:right w:val="single" w:sz="4" w:space="0" w:color="auto"/>
            </w:tcBorders>
            <w:shd w:val="clear" w:color="auto" w:fill="auto"/>
            <w:noWrap/>
            <w:vAlign w:val="bottom"/>
            <w:hideMark/>
          </w:tcPr>
          <w:p w14:paraId="11EA9B84" w14:textId="27CEB54F"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11EA9B85" w14:textId="05576A9C"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0.50</w:t>
            </w:r>
          </w:p>
        </w:tc>
        <w:tc>
          <w:tcPr>
            <w:tcW w:w="1221" w:type="dxa"/>
            <w:tcBorders>
              <w:top w:val="nil"/>
              <w:left w:val="nil"/>
              <w:bottom w:val="single" w:sz="4" w:space="0" w:color="auto"/>
              <w:right w:val="single" w:sz="4" w:space="0" w:color="auto"/>
            </w:tcBorders>
            <w:shd w:val="clear" w:color="auto" w:fill="auto"/>
            <w:noWrap/>
            <w:vAlign w:val="bottom"/>
            <w:hideMark/>
          </w:tcPr>
          <w:p w14:paraId="11EA9B86" w14:textId="23F896BF"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92D050"/>
            <w:noWrap/>
            <w:vAlign w:val="bottom"/>
            <w:hideMark/>
          </w:tcPr>
          <w:p w14:paraId="11EA9B87" w14:textId="4AB2DB2C"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0.64</w:t>
            </w:r>
          </w:p>
        </w:tc>
      </w:tr>
      <w:tr w:rsidR="00822426" w:rsidRPr="00B72345" w14:paraId="11EA9B92" w14:textId="77777777" w:rsidTr="0039660C">
        <w:trPr>
          <w:trHeight w:hRule="exact" w:val="255"/>
        </w:trPr>
        <w:tc>
          <w:tcPr>
            <w:tcW w:w="771" w:type="dxa"/>
            <w:vMerge/>
            <w:tcBorders>
              <w:left w:val="single" w:sz="4" w:space="0" w:color="auto"/>
              <w:right w:val="single" w:sz="4" w:space="0" w:color="auto"/>
            </w:tcBorders>
            <w:vAlign w:val="center"/>
            <w:hideMark/>
          </w:tcPr>
          <w:p w14:paraId="11EA9B89" w14:textId="77777777" w:rsidR="00822426" w:rsidRPr="00D41D10" w:rsidRDefault="00822426" w:rsidP="002C5D29">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B8A" w14:textId="77777777" w:rsidR="00822426" w:rsidRPr="00D41D10" w:rsidRDefault="00822426" w:rsidP="002C5D29">
            <w:pPr>
              <w:spacing w:after="0"/>
              <w:jc w:val="left"/>
              <w:rPr>
                <w:rFonts w:ascii="Arial Narrow" w:hAnsi="Arial Narrow"/>
                <w:color w:val="000000"/>
                <w:sz w:val="20"/>
                <w:lang w:val="en-AU" w:eastAsia="en-AU"/>
              </w:rPr>
            </w:pPr>
            <w:r>
              <w:rPr>
                <w:rFonts w:ascii="Arial Narrow" w:hAnsi="Arial Narrow"/>
                <w:color w:val="000000"/>
                <w:sz w:val="20"/>
                <w:lang w:val="en-AU" w:eastAsia="en-AU"/>
              </w:rPr>
              <w:t>Daydream</w:t>
            </w:r>
          </w:p>
        </w:tc>
        <w:tc>
          <w:tcPr>
            <w:tcW w:w="284" w:type="dxa"/>
            <w:tcBorders>
              <w:top w:val="nil"/>
              <w:left w:val="nil"/>
              <w:bottom w:val="single" w:sz="4" w:space="0" w:color="auto"/>
              <w:right w:val="single" w:sz="4" w:space="0" w:color="auto"/>
            </w:tcBorders>
            <w:shd w:val="clear" w:color="auto" w:fill="auto"/>
            <w:noWrap/>
            <w:vAlign w:val="center"/>
            <w:hideMark/>
          </w:tcPr>
          <w:p w14:paraId="11EA9B8B"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B8C" w14:textId="6B338F6B"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0.66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8D" w14:textId="2C9C4924"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0.72</w:t>
            </w:r>
          </w:p>
        </w:tc>
        <w:tc>
          <w:tcPr>
            <w:tcW w:w="1134" w:type="dxa"/>
            <w:tcBorders>
              <w:top w:val="nil"/>
              <w:left w:val="nil"/>
              <w:bottom w:val="single" w:sz="4" w:space="0" w:color="auto"/>
              <w:right w:val="single" w:sz="4" w:space="0" w:color="auto"/>
            </w:tcBorders>
            <w:shd w:val="clear" w:color="auto" w:fill="auto"/>
            <w:noWrap/>
            <w:vAlign w:val="bottom"/>
            <w:hideMark/>
          </w:tcPr>
          <w:p w14:paraId="11EA9B8E" w14:textId="059080B2"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11EA9B8F" w14:textId="5ADA2D2B"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0.62</w:t>
            </w:r>
          </w:p>
        </w:tc>
        <w:tc>
          <w:tcPr>
            <w:tcW w:w="1221" w:type="dxa"/>
            <w:tcBorders>
              <w:top w:val="nil"/>
              <w:left w:val="nil"/>
              <w:bottom w:val="single" w:sz="4" w:space="0" w:color="auto"/>
              <w:right w:val="single" w:sz="4" w:space="0" w:color="auto"/>
            </w:tcBorders>
            <w:shd w:val="clear" w:color="auto" w:fill="auto"/>
            <w:noWrap/>
            <w:vAlign w:val="bottom"/>
            <w:hideMark/>
          </w:tcPr>
          <w:p w14:paraId="11EA9B90" w14:textId="4C6B262D"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92D050"/>
            <w:noWrap/>
            <w:vAlign w:val="bottom"/>
            <w:hideMark/>
          </w:tcPr>
          <w:p w14:paraId="11EA9B91" w14:textId="4D47A440"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0.70</w:t>
            </w:r>
          </w:p>
        </w:tc>
      </w:tr>
      <w:tr w:rsidR="00822426" w:rsidRPr="00B72345" w14:paraId="11EA9B9C" w14:textId="77777777" w:rsidTr="0039660C">
        <w:trPr>
          <w:trHeight w:hRule="exact" w:val="255"/>
        </w:trPr>
        <w:tc>
          <w:tcPr>
            <w:tcW w:w="771" w:type="dxa"/>
            <w:vMerge/>
            <w:tcBorders>
              <w:left w:val="single" w:sz="4" w:space="0" w:color="auto"/>
              <w:right w:val="single" w:sz="4" w:space="0" w:color="auto"/>
            </w:tcBorders>
            <w:vAlign w:val="center"/>
            <w:hideMark/>
          </w:tcPr>
          <w:p w14:paraId="11EA9B93" w14:textId="77777777" w:rsidR="00822426" w:rsidRPr="00D41D10" w:rsidRDefault="00822426" w:rsidP="002C5D29">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B94" w14:textId="77777777" w:rsidR="00822426" w:rsidRPr="00D41D10" w:rsidRDefault="00822426" w:rsidP="002C5D29">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B95"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B96" w14:textId="33AA5C87"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0.60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97" w14:textId="5B1B214A"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134" w:type="dxa"/>
            <w:tcBorders>
              <w:top w:val="nil"/>
              <w:left w:val="nil"/>
              <w:bottom w:val="single" w:sz="4" w:space="0" w:color="auto"/>
              <w:right w:val="single" w:sz="4" w:space="0" w:color="auto"/>
            </w:tcBorders>
            <w:shd w:val="clear" w:color="auto" w:fill="auto"/>
            <w:noWrap/>
            <w:vAlign w:val="bottom"/>
            <w:hideMark/>
          </w:tcPr>
          <w:p w14:paraId="11EA9B98" w14:textId="2EE566BA"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11EA9B99" w14:textId="490E83C1"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0.46</w:t>
            </w:r>
          </w:p>
        </w:tc>
        <w:tc>
          <w:tcPr>
            <w:tcW w:w="1221" w:type="dxa"/>
            <w:tcBorders>
              <w:top w:val="nil"/>
              <w:left w:val="nil"/>
              <w:bottom w:val="single" w:sz="4" w:space="0" w:color="auto"/>
              <w:right w:val="single" w:sz="4" w:space="0" w:color="auto"/>
            </w:tcBorders>
            <w:shd w:val="clear" w:color="auto" w:fill="auto"/>
            <w:noWrap/>
            <w:vAlign w:val="bottom"/>
            <w:hideMark/>
          </w:tcPr>
          <w:p w14:paraId="11EA9B9A" w14:textId="7AB82554"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92D050"/>
            <w:noWrap/>
            <w:vAlign w:val="bottom"/>
            <w:hideMark/>
          </w:tcPr>
          <w:p w14:paraId="11EA9B9B" w14:textId="293EE85A"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0.71</w:t>
            </w:r>
          </w:p>
        </w:tc>
      </w:tr>
      <w:tr w:rsidR="00822426" w:rsidRPr="00B72345" w14:paraId="11EA9BA6" w14:textId="77777777" w:rsidTr="0039660C">
        <w:trPr>
          <w:trHeight w:hRule="exact" w:val="255"/>
        </w:trPr>
        <w:tc>
          <w:tcPr>
            <w:tcW w:w="771" w:type="dxa"/>
            <w:vMerge/>
            <w:tcBorders>
              <w:left w:val="single" w:sz="4" w:space="0" w:color="auto"/>
              <w:right w:val="single" w:sz="4" w:space="0" w:color="auto"/>
            </w:tcBorders>
            <w:vAlign w:val="center"/>
            <w:hideMark/>
          </w:tcPr>
          <w:p w14:paraId="11EA9B9D" w14:textId="77777777" w:rsidR="00822426" w:rsidRPr="00D41D10" w:rsidRDefault="00822426" w:rsidP="002C5D29">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B9E" w14:textId="77777777" w:rsidR="00822426" w:rsidRPr="00D41D10" w:rsidRDefault="00822426" w:rsidP="002C5D29">
            <w:pPr>
              <w:spacing w:after="0"/>
              <w:jc w:val="left"/>
              <w:rPr>
                <w:rFonts w:ascii="Arial Narrow" w:hAnsi="Arial Narrow"/>
                <w:color w:val="000000"/>
                <w:sz w:val="20"/>
                <w:lang w:val="en-AU" w:eastAsia="en-AU"/>
              </w:rPr>
            </w:pPr>
            <w:r>
              <w:rPr>
                <w:rFonts w:ascii="Arial Narrow" w:hAnsi="Arial Narrow"/>
                <w:color w:val="000000"/>
                <w:sz w:val="20"/>
                <w:lang w:val="en-AU" w:eastAsia="en-AU"/>
              </w:rPr>
              <w:t>Pine</w:t>
            </w:r>
          </w:p>
        </w:tc>
        <w:tc>
          <w:tcPr>
            <w:tcW w:w="284" w:type="dxa"/>
            <w:tcBorders>
              <w:top w:val="nil"/>
              <w:left w:val="nil"/>
              <w:bottom w:val="single" w:sz="4" w:space="0" w:color="auto"/>
              <w:right w:val="single" w:sz="4" w:space="0" w:color="auto"/>
            </w:tcBorders>
            <w:shd w:val="clear" w:color="auto" w:fill="auto"/>
            <w:noWrap/>
            <w:vAlign w:val="center"/>
            <w:hideMark/>
          </w:tcPr>
          <w:p w14:paraId="11EA9B9F"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BA0" w14:textId="43461771"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0.68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A1" w14:textId="17D9945A"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0.42</w:t>
            </w:r>
          </w:p>
        </w:tc>
        <w:tc>
          <w:tcPr>
            <w:tcW w:w="1134" w:type="dxa"/>
            <w:tcBorders>
              <w:top w:val="nil"/>
              <w:left w:val="nil"/>
              <w:bottom w:val="single" w:sz="4" w:space="0" w:color="auto"/>
              <w:right w:val="single" w:sz="4" w:space="0" w:color="auto"/>
            </w:tcBorders>
            <w:shd w:val="clear" w:color="auto" w:fill="auto"/>
            <w:noWrap/>
            <w:vAlign w:val="bottom"/>
            <w:hideMark/>
          </w:tcPr>
          <w:p w14:paraId="11EA9BA2" w14:textId="20627B8E"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BA3" w14:textId="68803CD8"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0.55</w:t>
            </w:r>
          </w:p>
        </w:tc>
        <w:tc>
          <w:tcPr>
            <w:tcW w:w="1221" w:type="dxa"/>
            <w:tcBorders>
              <w:top w:val="nil"/>
              <w:left w:val="nil"/>
              <w:bottom w:val="single" w:sz="4" w:space="0" w:color="auto"/>
              <w:right w:val="single" w:sz="4" w:space="0" w:color="auto"/>
            </w:tcBorders>
            <w:shd w:val="clear" w:color="auto" w:fill="auto"/>
            <w:noWrap/>
            <w:vAlign w:val="bottom"/>
            <w:hideMark/>
          </w:tcPr>
          <w:p w14:paraId="11EA9BA4" w14:textId="324EE8A4"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FFFF00"/>
            <w:noWrap/>
            <w:vAlign w:val="bottom"/>
            <w:hideMark/>
          </w:tcPr>
          <w:p w14:paraId="11EA9BA5" w14:textId="5F3C5A40"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0.43</w:t>
            </w:r>
          </w:p>
        </w:tc>
      </w:tr>
      <w:tr w:rsidR="00822426" w:rsidRPr="00B72345" w14:paraId="11EA9BB0" w14:textId="77777777" w:rsidTr="0039660C">
        <w:trPr>
          <w:trHeight w:hRule="exact" w:val="255"/>
        </w:trPr>
        <w:tc>
          <w:tcPr>
            <w:tcW w:w="771" w:type="dxa"/>
            <w:vMerge/>
            <w:tcBorders>
              <w:left w:val="single" w:sz="4" w:space="0" w:color="auto"/>
              <w:bottom w:val="single" w:sz="4" w:space="0" w:color="auto"/>
              <w:right w:val="single" w:sz="4" w:space="0" w:color="auto"/>
            </w:tcBorders>
            <w:vAlign w:val="center"/>
            <w:hideMark/>
          </w:tcPr>
          <w:p w14:paraId="11EA9BA7" w14:textId="77777777" w:rsidR="00822426" w:rsidRPr="00D41D10" w:rsidRDefault="00822426" w:rsidP="002C5D29">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BA8" w14:textId="77777777" w:rsidR="00822426" w:rsidRPr="00D41D10" w:rsidRDefault="00822426" w:rsidP="002C5D29">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BA9"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BAA" w14:textId="415380B8"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0.59</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AB" w14:textId="674A1A20"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0.37</w:t>
            </w:r>
          </w:p>
        </w:tc>
        <w:tc>
          <w:tcPr>
            <w:tcW w:w="1134" w:type="dxa"/>
            <w:tcBorders>
              <w:top w:val="nil"/>
              <w:left w:val="nil"/>
              <w:bottom w:val="single" w:sz="4" w:space="0" w:color="auto"/>
              <w:right w:val="single" w:sz="4" w:space="0" w:color="auto"/>
            </w:tcBorders>
            <w:shd w:val="clear" w:color="auto" w:fill="auto"/>
            <w:noWrap/>
            <w:vAlign w:val="bottom"/>
            <w:hideMark/>
          </w:tcPr>
          <w:p w14:paraId="11EA9BAC" w14:textId="4742D56A"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BAD" w14:textId="6E606EAC"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0.34</w:t>
            </w:r>
          </w:p>
        </w:tc>
        <w:tc>
          <w:tcPr>
            <w:tcW w:w="1221" w:type="dxa"/>
            <w:tcBorders>
              <w:top w:val="nil"/>
              <w:left w:val="nil"/>
              <w:bottom w:val="single" w:sz="4" w:space="0" w:color="auto"/>
              <w:right w:val="single" w:sz="4" w:space="0" w:color="auto"/>
            </w:tcBorders>
            <w:shd w:val="clear" w:color="auto" w:fill="auto"/>
            <w:noWrap/>
            <w:vAlign w:val="bottom"/>
            <w:hideMark/>
          </w:tcPr>
          <w:p w14:paraId="11EA9BAE" w14:textId="26DDFA11"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FFC000"/>
            <w:noWrap/>
            <w:vAlign w:val="bottom"/>
            <w:hideMark/>
          </w:tcPr>
          <w:p w14:paraId="11EA9BAF" w14:textId="1FD39A9C" w:rsidR="00822426" w:rsidRPr="00334C06" w:rsidRDefault="00822426" w:rsidP="00C75680">
            <w:pPr>
              <w:jc w:val="center"/>
              <w:rPr>
                <w:rFonts w:ascii="Arial Narrow" w:hAnsi="Arial Narrow"/>
                <w:color w:val="000000"/>
                <w:sz w:val="20"/>
              </w:rPr>
            </w:pPr>
            <w:r w:rsidRPr="00334C06">
              <w:rPr>
                <w:rFonts w:ascii="Arial Narrow" w:hAnsi="Arial Narrow"/>
                <w:color w:val="000000"/>
                <w:sz w:val="20"/>
              </w:rPr>
              <w:t>0.36</w:t>
            </w:r>
          </w:p>
        </w:tc>
      </w:tr>
      <w:tr w:rsidR="00822426" w:rsidRPr="00B72345" w14:paraId="11EA9BBA" w14:textId="77777777" w:rsidTr="00822426">
        <w:trPr>
          <w:cantSplit/>
          <w:trHeight w:hRule="exact" w:val="255"/>
        </w:trPr>
        <w:tc>
          <w:tcPr>
            <w:tcW w:w="2631" w:type="dxa"/>
            <w:gridSpan w:val="3"/>
            <w:tcBorders>
              <w:top w:val="nil"/>
              <w:left w:val="single" w:sz="4" w:space="0" w:color="auto"/>
              <w:bottom w:val="single" w:sz="4" w:space="0" w:color="auto"/>
              <w:right w:val="single" w:sz="4" w:space="0" w:color="auto"/>
            </w:tcBorders>
            <w:shd w:val="clear" w:color="auto" w:fill="auto"/>
            <w:noWrap/>
            <w:vAlign w:val="center"/>
            <w:hideMark/>
          </w:tcPr>
          <w:p w14:paraId="11EA9BB1" w14:textId="77777777" w:rsidR="00822426" w:rsidRPr="00D41D10" w:rsidRDefault="00822426" w:rsidP="002C5D29">
            <w:pPr>
              <w:shd w:val="clear" w:color="auto" w:fill="92D050"/>
              <w:spacing w:after="0"/>
              <w:jc w:val="center"/>
              <w:rPr>
                <w:rFonts w:ascii="Arial Narrow" w:hAnsi="Arial Narrow"/>
                <w:color w:val="000000"/>
                <w:szCs w:val="22"/>
                <w:lang w:val="en-AU" w:eastAsia="en-AU"/>
              </w:rPr>
            </w:pPr>
            <w:r w:rsidRPr="00D41D10">
              <w:rPr>
                <w:rFonts w:ascii="Arial Narrow" w:hAnsi="Arial Narrow"/>
                <w:color w:val="000000"/>
                <w:szCs w:val="22"/>
                <w:lang w:val="en-AU" w:eastAsia="en-AU"/>
              </w:rPr>
              <w:t> </w:t>
            </w:r>
            <w:r w:rsidRPr="00D41D10">
              <w:rPr>
                <w:rFonts w:ascii="Arial Narrow" w:hAnsi="Arial Narrow"/>
                <w:color w:val="000000"/>
                <w:sz w:val="20"/>
                <w:lang w:val="en-AU" w:eastAsia="en-AU"/>
              </w:rPr>
              <w:t>Report Card Score – Good</w:t>
            </w:r>
          </w:p>
          <w:p w14:paraId="11EA9BB2" w14:textId="77777777" w:rsidR="00822426" w:rsidRPr="00D41D10" w:rsidRDefault="00822426" w:rsidP="002C5D29">
            <w:pPr>
              <w:spacing w:after="0"/>
              <w:jc w:val="left"/>
              <w:rPr>
                <w:rFonts w:ascii="Arial Narrow" w:hAnsi="Arial Narrow"/>
                <w:color w:val="000000"/>
                <w:sz w:val="20"/>
                <w:lang w:val="en-AU" w:eastAsia="en-AU"/>
              </w:rPr>
            </w:pPr>
            <w:r w:rsidRPr="00D41D10">
              <w:rPr>
                <w:rFonts w:ascii="Arial Narrow" w:hAnsi="Arial Narrow"/>
                <w:color w:val="000000"/>
                <w:sz w:val="20"/>
                <w:lang w:val="en-AU" w:eastAsia="en-AU"/>
              </w:rPr>
              <w:t> </w:t>
            </w:r>
          </w:p>
          <w:p w14:paraId="11EA9BB3" w14:textId="77777777" w:rsidR="00822426" w:rsidRPr="00D41D10" w:rsidRDefault="00822426" w:rsidP="002C5D29">
            <w:pPr>
              <w:spacing w:after="0"/>
              <w:jc w:val="center"/>
              <w:rPr>
                <w:rFonts w:ascii="Arial Narrow" w:hAnsi="Arial Narrow"/>
                <w:color w:val="000000"/>
                <w:szCs w:val="22"/>
                <w:lang w:val="en-AU" w:eastAsia="en-AU"/>
              </w:rPr>
            </w:pPr>
            <w:r w:rsidRPr="00D41D10">
              <w:rPr>
                <w:rFonts w:ascii="Arial Narrow" w:hAnsi="Arial Narrow"/>
                <w:color w:val="000000"/>
                <w:szCs w:val="22"/>
                <w:lang w:val="en-AU" w:eastAsia="en-AU"/>
              </w:rPr>
              <w:t> </w:t>
            </w:r>
          </w:p>
        </w:tc>
        <w:tc>
          <w:tcPr>
            <w:tcW w:w="1134" w:type="dxa"/>
            <w:tcBorders>
              <w:top w:val="nil"/>
              <w:left w:val="nil"/>
              <w:bottom w:val="single" w:sz="4" w:space="0" w:color="auto"/>
              <w:right w:val="single" w:sz="4" w:space="0" w:color="auto"/>
            </w:tcBorders>
            <w:shd w:val="clear" w:color="000000" w:fill="92D050"/>
            <w:noWrap/>
            <w:vAlign w:val="center"/>
            <w:hideMark/>
          </w:tcPr>
          <w:p w14:paraId="11EA9BB4"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0.68</w:t>
            </w:r>
          </w:p>
        </w:tc>
        <w:tc>
          <w:tcPr>
            <w:tcW w:w="1134" w:type="dxa"/>
            <w:tcBorders>
              <w:top w:val="nil"/>
              <w:left w:val="nil"/>
              <w:bottom w:val="single" w:sz="4" w:space="0" w:color="auto"/>
              <w:right w:val="single" w:sz="4" w:space="0" w:color="auto"/>
            </w:tcBorders>
            <w:shd w:val="clear" w:color="000000" w:fill="92D050"/>
            <w:noWrap/>
            <w:tcMar>
              <w:left w:w="0" w:type="dxa"/>
              <w:right w:w="0" w:type="dxa"/>
            </w:tcMar>
            <w:vAlign w:val="center"/>
            <w:hideMark/>
          </w:tcPr>
          <w:p w14:paraId="11EA9BB5" w14:textId="77777777" w:rsidR="00822426" w:rsidRPr="00334C06" w:rsidRDefault="0082242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0.62</w:t>
            </w:r>
          </w:p>
        </w:tc>
        <w:tc>
          <w:tcPr>
            <w:tcW w:w="1134" w:type="dxa"/>
            <w:tcBorders>
              <w:top w:val="nil"/>
              <w:left w:val="nil"/>
              <w:bottom w:val="single" w:sz="4" w:space="0" w:color="auto"/>
              <w:right w:val="single" w:sz="4" w:space="0" w:color="auto"/>
            </w:tcBorders>
            <w:shd w:val="clear" w:color="000000" w:fill="92D050"/>
            <w:noWrap/>
            <w:vAlign w:val="bottom"/>
            <w:hideMark/>
          </w:tcPr>
          <w:p w14:paraId="11EA9BB6" w14:textId="5937D445" w:rsidR="00822426" w:rsidRPr="00334C06" w:rsidRDefault="00822426" w:rsidP="00334C06">
            <w:pPr>
              <w:spacing w:after="0"/>
              <w:jc w:val="center"/>
              <w:rPr>
                <w:rFonts w:ascii="Arial Narrow" w:hAnsi="Arial Narrow"/>
                <w:color w:val="000000"/>
                <w:sz w:val="20"/>
                <w:lang w:val="en-AU" w:eastAsia="en-AU"/>
              </w:rPr>
            </w:pPr>
            <w:r w:rsidRPr="00334C06">
              <w:rPr>
                <w:rFonts w:ascii="Arial Narrow" w:hAnsi="Arial Narrow"/>
                <w:color w:val="000000"/>
                <w:sz w:val="20"/>
              </w:rPr>
              <w:t>0.</w:t>
            </w:r>
            <w:r w:rsidR="00334C06" w:rsidRPr="00334C06">
              <w:rPr>
                <w:rFonts w:ascii="Arial Narrow" w:hAnsi="Arial Narrow"/>
                <w:color w:val="000000"/>
                <w:sz w:val="20"/>
              </w:rPr>
              <w:t>76</w:t>
            </w:r>
          </w:p>
        </w:tc>
        <w:tc>
          <w:tcPr>
            <w:tcW w:w="1047" w:type="dxa"/>
            <w:tcBorders>
              <w:top w:val="nil"/>
              <w:left w:val="nil"/>
              <w:bottom w:val="single" w:sz="4" w:space="0" w:color="auto"/>
              <w:right w:val="single" w:sz="4" w:space="0" w:color="auto"/>
            </w:tcBorders>
            <w:shd w:val="clear" w:color="000000" w:fill="FFFF00"/>
            <w:noWrap/>
            <w:vAlign w:val="bottom"/>
            <w:hideMark/>
          </w:tcPr>
          <w:p w14:paraId="11EA9BB7" w14:textId="6AB8226B" w:rsidR="00822426" w:rsidRPr="00334C06" w:rsidRDefault="00822426" w:rsidP="00334C06">
            <w:pPr>
              <w:spacing w:after="0"/>
              <w:jc w:val="center"/>
              <w:rPr>
                <w:rFonts w:ascii="Arial Narrow" w:hAnsi="Arial Narrow"/>
                <w:color w:val="000000"/>
                <w:sz w:val="20"/>
                <w:lang w:val="en-AU" w:eastAsia="en-AU"/>
              </w:rPr>
            </w:pPr>
            <w:r w:rsidRPr="00334C06">
              <w:rPr>
                <w:rFonts w:ascii="Arial Narrow" w:hAnsi="Arial Narrow"/>
                <w:color w:val="000000"/>
                <w:sz w:val="20"/>
              </w:rPr>
              <w:t>0.</w:t>
            </w:r>
            <w:r w:rsidR="00334C06" w:rsidRPr="00334C06">
              <w:rPr>
                <w:rFonts w:ascii="Arial Narrow" w:hAnsi="Arial Narrow"/>
                <w:color w:val="000000"/>
                <w:sz w:val="20"/>
              </w:rPr>
              <w:t>40</w:t>
            </w:r>
          </w:p>
        </w:tc>
        <w:tc>
          <w:tcPr>
            <w:tcW w:w="1221" w:type="dxa"/>
            <w:tcBorders>
              <w:top w:val="nil"/>
              <w:left w:val="nil"/>
              <w:bottom w:val="single" w:sz="4" w:space="0" w:color="auto"/>
              <w:right w:val="single" w:sz="4" w:space="0" w:color="auto"/>
            </w:tcBorders>
            <w:shd w:val="clear" w:color="000000" w:fill="FFFF00"/>
            <w:noWrap/>
            <w:vAlign w:val="bottom"/>
            <w:hideMark/>
          </w:tcPr>
          <w:p w14:paraId="11EA9BB8" w14:textId="4B5B3815" w:rsidR="00822426" w:rsidRPr="00334C06" w:rsidRDefault="00822426" w:rsidP="00334C06">
            <w:pPr>
              <w:spacing w:after="0"/>
              <w:jc w:val="center"/>
              <w:rPr>
                <w:rFonts w:ascii="Arial Narrow" w:hAnsi="Arial Narrow"/>
                <w:color w:val="000000"/>
                <w:sz w:val="20"/>
                <w:lang w:val="en-AU" w:eastAsia="en-AU"/>
              </w:rPr>
            </w:pPr>
            <w:r w:rsidRPr="00334C06">
              <w:rPr>
                <w:rFonts w:ascii="Arial Narrow" w:hAnsi="Arial Narrow"/>
                <w:color w:val="000000"/>
                <w:sz w:val="20"/>
              </w:rPr>
              <w:t>0.</w:t>
            </w:r>
            <w:r w:rsidR="00334C06" w:rsidRPr="00334C06">
              <w:rPr>
                <w:rFonts w:ascii="Arial Narrow" w:hAnsi="Arial Narrow"/>
                <w:color w:val="000000"/>
                <w:sz w:val="20"/>
              </w:rPr>
              <w:t>59</w:t>
            </w:r>
          </w:p>
        </w:tc>
        <w:tc>
          <w:tcPr>
            <w:tcW w:w="1117" w:type="dxa"/>
            <w:tcBorders>
              <w:top w:val="nil"/>
              <w:left w:val="nil"/>
              <w:bottom w:val="single" w:sz="4" w:space="0" w:color="auto"/>
              <w:right w:val="single" w:sz="4" w:space="0" w:color="auto"/>
            </w:tcBorders>
            <w:shd w:val="clear" w:color="000000" w:fill="92D050"/>
            <w:noWrap/>
            <w:vAlign w:val="bottom"/>
            <w:hideMark/>
          </w:tcPr>
          <w:p w14:paraId="11EA9BB9" w14:textId="1D7CC8B6" w:rsidR="00822426" w:rsidRPr="00334C06" w:rsidRDefault="00822426" w:rsidP="00334C06">
            <w:pPr>
              <w:spacing w:after="0"/>
              <w:jc w:val="center"/>
              <w:rPr>
                <w:rFonts w:ascii="Arial Narrow" w:hAnsi="Arial Narrow"/>
                <w:color w:val="000000"/>
                <w:sz w:val="20"/>
                <w:lang w:val="en-AU" w:eastAsia="en-AU"/>
              </w:rPr>
            </w:pPr>
            <w:r w:rsidRPr="00334C06">
              <w:rPr>
                <w:rFonts w:ascii="Arial Narrow" w:hAnsi="Arial Narrow"/>
                <w:color w:val="000000"/>
                <w:sz w:val="20"/>
              </w:rPr>
              <w:t>0.</w:t>
            </w:r>
            <w:r w:rsidR="00334C06" w:rsidRPr="00334C06">
              <w:rPr>
                <w:rFonts w:ascii="Arial Narrow" w:hAnsi="Arial Narrow"/>
                <w:color w:val="000000"/>
                <w:sz w:val="20"/>
              </w:rPr>
              <w:t>61</w:t>
            </w:r>
          </w:p>
        </w:tc>
      </w:tr>
      <w:tr w:rsidR="00334C06" w:rsidRPr="00B72345" w14:paraId="11EA9BC4" w14:textId="77777777" w:rsidTr="00E06C8B">
        <w:trPr>
          <w:trHeight w:hRule="exact" w:val="255"/>
        </w:trPr>
        <w:tc>
          <w:tcPr>
            <w:tcW w:w="771"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9BBB" w14:textId="77777777" w:rsidR="00334C06" w:rsidRPr="00D41D10" w:rsidRDefault="00334C06" w:rsidP="002C5D29">
            <w:pPr>
              <w:spacing w:after="0"/>
              <w:jc w:val="center"/>
              <w:rPr>
                <w:rFonts w:cs="Arial"/>
                <w:color w:val="000000"/>
                <w:szCs w:val="22"/>
                <w:lang w:val="en-AU" w:eastAsia="en-AU"/>
              </w:rPr>
            </w:pPr>
            <w:r w:rsidRPr="00D41D10">
              <w:rPr>
                <w:rFonts w:cs="Arial"/>
                <w:color w:val="000000"/>
                <w:szCs w:val="22"/>
                <w:lang w:val="en-AU" w:eastAsia="en-AU"/>
              </w:rPr>
              <w:t>Fitzroy</w:t>
            </w: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BBC" w14:textId="77777777" w:rsidR="00334C06" w:rsidRPr="00D41D10" w:rsidRDefault="00334C06" w:rsidP="002C5D29">
            <w:pPr>
              <w:spacing w:after="0"/>
              <w:jc w:val="left"/>
              <w:rPr>
                <w:rFonts w:ascii="Arial Narrow" w:hAnsi="Arial Narrow"/>
                <w:color w:val="000000"/>
                <w:sz w:val="20"/>
                <w:lang w:val="en-AU" w:eastAsia="en-AU"/>
              </w:rPr>
            </w:pPr>
            <w:r w:rsidRPr="00D41D10">
              <w:rPr>
                <w:rFonts w:ascii="Arial Narrow" w:hAnsi="Arial Narrow"/>
                <w:color w:val="000000"/>
                <w:sz w:val="20"/>
                <w:lang w:val="en-AU" w:eastAsia="en-AU"/>
              </w:rPr>
              <w:t>Barren</w:t>
            </w:r>
          </w:p>
        </w:tc>
        <w:tc>
          <w:tcPr>
            <w:tcW w:w="284" w:type="dxa"/>
            <w:tcBorders>
              <w:top w:val="nil"/>
              <w:left w:val="nil"/>
              <w:bottom w:val="single" w:sz="4" w:space="0" w:color="auto"/>
              <w:right w:val="single" w:sz="4" w:space="0" w:color="auto"/>
            </w:tcBorders>
            <w:shd w:val="clear" w:color="auto" w:fill="auto"/>
            <w:noWrap/>
            <w:vAlign w:val="center"/>
            <w:hideMark/>
          </w:tcPr>
          <w:p w14:paraId="11EA9BBD" w14:textId="77777777" w:rsidR="00334C06" w:rsidRPr="00334C06" w:rsidRDefault="00334C0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BBE" w14:textId="6018EEBF"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0.24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BF" w14:textId="10AFBB5D"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0.70</w:t>
            </w:r>
          </w:p>
        </w:tc>
        <w:tc>
          <w:tcPr>
            <w:tcW w:w="1134" w:type="dxa"/>
            <w:tcBorders>
              <w:top w:val="nil"/>
              <w:left w:val="nil"/>
              <w:bottom w:val="single" w:sz="4" w:space="0" w:color="auto"/>
              <w:right w:val="single" w:sz="4" w:space="0" w:color="auto"/>
            </w:tcBorders>
            <w:shd w:val="clear" w:color="auto" w:fill="auto"/>
            <w:noWrap/>
            <w:vAlign w:val="bottom"/>
            <w:hideMark/>
          </w:tcPr>
          <w:p w14:paraId="11EA9BC0" w14:textId="446C2119"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11EA9BC1" w14:textId="5C3E33B6" w:rsidR="00334C06" w:rsidRPr="00334C06" w:rsidRDefault="00CB2C50" w:rsidP="002C5D29">
            <w:pPr>
              <w:jc w:val="center"/>
              <w:rPr>
                <w:rFonts w:ascii="Arial Narrow" w:hAnsi="Arial Narrow"/>
                <w:color w:val="000000"/>
                <w:sz w:val="20"/>
              </w:rPr>
            </w:pPr>
            <w:r>
              <w:rPr>
                <w:rFonts w:ascii="Arial Narrow" w:hAnsi="Arial Narrow"/>
                <w:color w:val="000000"/>
                <w:sz w:val="20"/>
              </w:rPr>
              <w:t>NA</w:t>
            </w:r>
          </w:p>
        </w:tc>
        <w:tc>
          <w:tcPr>
            <w:tcW w:w="1221" w:type="dxa"/>
            <w:tcBorders>
              <w:top w:val="nil"/>
              <w:left w:val="nil"/>
              <w:bottom w:val="single" w:sz="4" w:space="0" w:color="auto"/>
              <w:right w:val="single" w:sz="4" w:space="0" w:color="auto"/>
            </w:tcBorders>
            <w:shd w:val="clear" w:color="auto" w:fill="auto"/>
            <w:noWrap/>
            <w:vAlign w:val="bottom"/>
            <w:hideMark/>
          </w:tcPr>
          <w:p w14:paraId="11EA9BC2" w14:textId="4EBB967B"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w:t>
            </w:r>
          </w:p>
        </w:tc>
        <w:tc>
          <w:tcPr>
            <w:tcW w:w="1117" w:type="dxa"/>
            <w:tcBorders>
              <w:top w:val="nil"/>
              <w:left w:val="nil"/>
              <w:bottom w:val="single" w:sz="4" w:space="0" w:color="auto"/>
              <w:right w:val="single" w:sz="4" w:space="0" w:color="auto"/>
            </w:tcBorders>
            <w:shd w:val="clear" w:color="auto" w:fill="FFFF00"/>
            <w:noWrap/>
            <w:vAlign w:val="bottom"/>
            <w:hideMark/>
          </w:tcPr>
          <w:p w14:paraId="11EA9BC3" w14:textId="3B788326" w:rsidR="00334C06" w:rsidRPr="00334C06" w:rsidRDefault="00E06C8B" w:rsidP="002C5D29">
            <w:pPr>
              <w:jc w:val="center"/>
              <w:rPr>
                <w:rFonts w:ascii="Arial Narrow" w:hAnsi="Arial Narrow"/>
                <w:color w:val="000000"/>
                <w:sz w:val="20"/>
              </w:rPr>
            </w:pPr>
            <w:r>
              <w:rPr>
                <w:rFonts w:ascii="Arial Narrow" w:hAnsi="Arial Narrow"/>
                <w:color w:val="000000"/>
                <w:sz w:val="20"/>
              </w:rPr>
              <w:t>0.48</w:t>
            </w:r>
          </w:p>
        </w:tc>
      </w:tr>
      <w:tr w:rsidR="00334C06" w:rsidRPr="00B72345" w14:paraId="11EA9BCE"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BC5" w14:textId="77777777" w:rsidR="00334C06" w:rsidRPr="00D41D10" w:rsidRDefault="00334C06" w:rsidP="002C5D29">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BC6" w14:textId="77777777" w:rsidR="00334C06" w:rsidRPr="00D41D10" w:rsidRDefault="00334C06" w:rsidP="002C5D29">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BC7" w14:textId="77777777" w:rsidR="00334C06" w:rsidRPr="00334C06" w:rsidRDefault="00334C0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BC8" w14:textId="104827BE"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0.47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C9" w14:textId="3B81C182"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0.08</w:t>
            </w:r>
          </w:p>
        </w:tc>
        <w:tc>
          <w:tcPr>
            <w:tcW w:w="1134" w:type="dxa"/>
            <w:tcBorders>
              <w:top w:val="nil"/>
              <w:left w:val="nil"/>
              <w:bottom w:val="single" w:sz="4" w:space="0" w:color="auto"/>
              <w:right w:val="single" w:sz="4" w:space="0" w:color="auto"/>
            </w:tcBorders>
            <w:shd w:val="clear" w:color="auto" w:fill="auto"/>
            <w:noWrap/>
            <w:vAlign w:val="bottom"/>
            <w:hideMark/>
          </w:tcPr>
          <w:p w14:paraId="11EA9BCA" w14:textId="473C972A"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BCB" w14:textId="57C11E4A" w:rsidR="00334C06" w:rsidRPr="00334C06" w:rsidRDefault="00CB2C50" w:rsidP="002C5D29">
            <w:pPr>
              <w:jc w:val="center"/>
              <w:rPr>
                <w:rFonts w:ascii="Arial Narrow" w:hAnsi="Arial Narrow"/>
                <w:color w:val="000000"/>
                <w:sz w:val="20"/>
              </w:rPr>
            </w:pPr>
            <w:r>
              <w:rPr>
                <w:rFonts w:ascii="Arial Narrow" w:hAnsi="Arial Narrow"/>
                <w:color w:val="000000"/>
                <w:sz w:val="20"/>
              </w:rPr>
              <w:t>NA</w:t>
            </w:r>
          </w:p>
        </w:tc>
        <w:tc>
          <w:tcPr>
            <w:tcW w:w="1221" w:type="dxa"/>
            <w:tcBorders>
              <w:top w:val="nil"/>
              <w:left w:val="nil"/>
              <w:bottom w:val="single" w:sz="4" w:space="0" w:color="auto"/>
              <w:right w:val="single" w:sz="4" w:space="0" w:color="auto"/>
            </w:tcBorders>
            <w:shd w:val="clear" w:color="auto" w:fill="auto"/>
            <w:noWrap/>
            <w:vAlign w:val="bottom"/>
            <w:hideMark/>
          </w:tcPr>
          <w:p w14:paraId="11EA9BCC" w14:textId="5BA6D19E"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FFC000"/>
            <w:noWrap/>
            <w:vAlign w:val="bottom"/>
            <w:hideMark/>
          </w:tcPr>
          <w:p w14:paraId="11EA9BCD" w14:textId="1AD0EEFC"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0.2</w:t>
            </w:r>
            <w:r w:rsidR="00E06C8B">
              <w:rPr>
                <w:rFonts w:ascii="Arial Narrow" w:hAnsi="Arial Narrow"/>
                <w:color w:val="000000"/>
                <w:sz w:val="20"/>
              </w:rPr>
              <w:t>6</w:t>
            </w:r>
          </w:p>
        </w:tc>
      </w:tr>
      <w:tr w:rsidR="00334C06" w:rsidRPr="00B72345" w14:paraId="11EA9BD8"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BCF" w14:textId="77777777" w:rsidR="00334C06" w:rsidRPr="00D41D10" w:rsidRDefault="00334C06" w:rsidP="002C5D29">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BD0" w14:textId="77777777" w:rsidR="00334C06" w:rsidRPr="00D41D10" w:rsidRDefault="00334C06" w:rsidP="002C5D29">
            <w:pPr>
              <w:spacing w:after="0"/>
              <w:jc w:val="left"/>
              <w:rPr>
                <w:rFonts w:ascii="Arial Narrow" w:hAnsi="Arial Narrow"/>
                <w:color w:val="000000"/>
                <w:sz w:val="20"/>
                <w:lang w:val="en-AU" w:eastAsia="en-AU"/>
              </w:rPr>
            </w:pPr>
            <w:r w:rsidRPr="00D41D10">
              <w:rPr>
                <w:rFonts w:ascii="Arial Narrow" w:hAnsi="Arial Narrow"/>
                <w:color w:val="000000"/>
                <w:sz w:val="20"/>
                <w:lang w:val="en-AU" w:eastAsia="en-AU"/>
              </w:rPr>
              <w:t>Keppels South</w:t>
            </w:r>
          </w:p>
        </w:tc>
        <w:tc>
          <w:tcPr>
            <w:tcW w:w="284" w:type="dxa"/>
            <w:tcBorders>
              <w:top w:val="nil"/>
              <w:left w:val="nil"/>
              <w:bottom w:val="single" w:sz="4" w:space="0" w:color="auto"/>
              <w:right w:val="single" w:sz="4" w:space="0" w:color="auto"/>
            </w:tcBorders>
            <w:shd w:val="clear" w:color="auto" w:fill="auto"/>
            <w:noWrap/>
            <w:vAlign w:val="center"/>
            <w:hideMark/>
          </w:tcPr>
          <w:p w14:paraId="11EA9BD1" w14:textId="77777777" w:rsidR="00334C06" w:rsidRPr="00334C06" w:rsidRDefault="00334C0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BD2" w14:textId="74EE5B1D"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0.18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D3" w14:textId="2E484D19"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0.29</w:t>
            </w:r>
          </w:p>
        </w:tc>
        <w:tc>
          <w:tcPr>
            <w:tcW w:w="1134" w:type="dxa"/>
            <w:tcBorders>
              <w:top w:val="nil"/>
              <w:left w:val="nil"/>
              <w:bottom w:val="single" w:sz="4" w:space="0" w:color="auto"/>
              <w:right w:val="single" w:sz="4" w:space="0" w:color="auto"/>
            </w:tcBorders>
            <w:shd w:val="clear" w:color="auto" w:fill="auto"/>
            <w:noWrap/>
            <w:vAlign w:val="bottom"/>
            <w:hideMark/>
          </w:tcPr>
          <w:p w14:paraId="11EA9BD4" w14:textId="111FDF83"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BD5" w14:textId="2056F058"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0.30</w:t>
            </w:r>
          </w:p>
        </w:tc>
        <w:tc>
          <w:tcPr>
            <w:tcW w:w="1221" w:type="dxa"/>
            <w:tcBorders>
              <w:top w:val="nil"/>
              <w:left w:val="nil"/>
              <w:bottom w:val="single" w:sz="4" w:space="0" w:color="auto"/>
              <w:right w:val="single" w:sz="4" w:space="0" w:color="auto"/>
            </w:tcBorders>
            <w:shd w:val="clear" w:color="auto" w:fill="auto"/>
            <w:noWrap/>
            <w:vAlign w:val="bottom"/>
            <w:hideMark/>
          </w:tcPr>
          <w:p w14:paraId="11EA9BD6" w14:textId="737816BB"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w:t>
            </w:r>
          </w:p>
        </w:tc>
        <w:tc>
          <w:tcPr>
            <w:tcW w:w="1117" w:type="dxa"/>
            <w:tcBorders>
              <w:top w:val="nil"/>
              <w:left w:val="nil"/>
              <w:bottom w:val="single" w:sz="4" w:space="0" w:color="auto"/>
              <w:right w:val="single" w:sz="4" w:space="0" w:color="auto"/>
            </w:tcBorders>
            <w:shd w:val="clear" w:color="000000" w:fill="FF0000"/>
            <w:noWrap/>
            <w:vAlign w:val="bottom"/>
            <w:hideMark/>
          </w:tcPr>
          <w:p w14:paraId="11EA9BD7" w14:textId="4B75C3AF"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0.15</w:t>
            </w:r>
          </w:p>
        </w:tc>
      </w:tr>
      <w:tr w:rsidR="00334C06" w:rsidRPr="00B72345" w14:paraId="11EA9BE2"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BD9" w14:textId="77777777" w:rsidR="00334C06" w:rsidRPr="00D41D10" w:rsidRDefault="00334C06" w:rsidP="002C5D29">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BDA" w14:textId="77777777" w:rsidR="00334C06" w:rsidRPr="00D41D10" w:rsidRDefault="00334C06" w:rsidP="002C5D29">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BDB" w14:textId="77777777" w:rsidR="00334C06" w:rsidRPr="00334C06" w:rsidRDefault="00334C0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BDC" w14:textId="7592F363"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0.47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DD" w14:textId="3145C629"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0.17</w:t>
            </w:r>
          </w:p>
        </w:tc>
        <w:tc>
          <w:tcPr>
            <w:tcW w:w="1134" w:type="dxa"/>
            <w:tcBorders>
              <w:top w:val="nil"/>
              <w:left w:val="nil"/>
              <w:bottom w:val="single" w:sz="4" w:space="0" w:color="auto"/>
              <w:right w:val="single" w:sz="4" w:space="0" w:color="auto"/>
            </w:tcBorders>
            <w:shd w:val="clear" w:color="auto" w:fill="auto"/>
            <w:noWrap/>
            <w:vAlign w:val="bottom"/>
            <w:hideMark/>
          </w:tcPr>
          <w:p w14:paraId="11EA9BDE" w14:textId="2FCDD911"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BDF" w14:textId="1D39ECB2"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0.30</w:t>
            </w:r>
          </w:p>
        </w:tc>
        <w:tc>
          <w:tcPr>
            <w:tcW w:w="1221" w:type="dxa"/>
            <w:tcBorders>
              <w:top w:val="nil"/>
              <w:left w:val="nil"/>
              <w:bottom w:val="single" w:sz="4" w:space="0" w:color="auto"/>
              <w:right w:val="single" w:sz="4" w:space="0" w:color="auto"/>
            </w:tcBorders>
            <w:shd w:val="clear" w:color="auto" w:fill="auto"/>
            <w:noWrap/>
            <w:vAlign w:val="bottom"/>
            <w:hideMark/>
          </w:tcPr>
          <w:p w14:paraId="11EA9BE0" w14:textId="1A480366"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FFC000"/>
            <w:noWrap/>
            <w:vAlign w:val="bottom"/>
            <w:hideMark/>
          </w:tcPr>
          <w:p w14:paraId="11EA9BE1" w14:textId="287A574B"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0.29</w:t>
            </w:r>
          </w:p>
        </w:tc>
      </w:tr>
      <w:tr w:rsidR="00334C06" w:rsidRPr="00B72345" w14:paraId="11EA9BEC" w14:textId="77777777" w:rsidTr="0039660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BE3" w14:textId="77777777" w:rsidR="00334C06" w:rsidRPr="00D41D10" w:rsidRDefault="00334C06" w:rsidP="002C5D29">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BE4" w14:textId="77777777" w:rsidR="00334C06" w:rsidRPr="00D41D10" w:rsidRDefault="00334C06" w:rsidP="002C5D29">
            <w:pPr>
              <w:spacing w:after="0"/>
              <w:jc w:val="left"/>
              <w:rPr>
                <w:rFonts w:ascii="Arial Narrow" w:hAnsi="Arial Narrow"/>
                <w:color w:val="000000"/>
                <w:sz w:val="20"/>
                <w:lang w:val="en-AU" w:eastAsia="en-AU"/>
              </w:rPr>
            </w:pPr>
            <w:r>
              <w:rPr>
                <w:rFonts w:ascii="Arial Narrow" w:hAnsi="Arial Narrow"/>
                <w:color w:val="000000"/>
                <w:sz w:val="20"/>
                <w:lang w:val="en-AU" w:eastAsia="en-AU"/>
              </w:rPr>
              <w:t>North Keppel</w:t>
            </w:r>
          </w:p>
        </w:tc>
        <w:tc>
          <w:tcPr>
            <w:tcW w:w="284" w:type="dxa"/>
            <w:tcBorders>
              <w:top w:val="nil"/>
              <w:left w:val="nil"/>
              <w:bottom w:val="single" w:sz="4" w:space="0" w:color="auto"/>
              <w:right w:val="single" w:sz="4" w:space="0" w:color="auto"/>
            </w:tcBorders>
            <w:shd w:val="clear" w:color="auto" w:fill="auto"/>
            <w:noWrap/>
            <w:vAlign w:val="center"/>
            <w:hideMark/>
          </w:tcPr>
          <w:p w14:paraId="11EA9BE5" w14:textId="77777777" w:rsidR="00334C06" w:rsidRPr="00334C06" w:rsidRDefault="00334C0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BE6" w14:textId="044B23CE"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0.39</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E7" w14:textId="6618179D"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0.11</w:t>
            </w:r>
          </w:p>
        </w:tc>
        <w:tc>
          <w:tcPr>
            <w:tcW w:w="1134" w:type="dxa"/>
            <w:tcBorders>
              <w:top w:val="nil"/>
              <w:left w:val="nil"/>
              <w:bottom w:val="single" w:sz="4" w:space="0" w:color="auto"/>
              <w:right w:val="single" w:sz="4" w:space="0" w:color="auto"/>
            </w:tcBorders>
            <w:shd w:val="clear" w:color="auto" w:fill="auto"/>
            <w:noWrap/>
            <w:vAlign w:val="bottom"/>
            <w:hideMark/>
          </w:tcPr>
          <w:p w14:paraId="11EA9BE8" w14:textId="79C0C414"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BE9" w14:textId="714FBCF2"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0.24</w:t>
            </w:r>
          </w:p>
        </w:tc>
        <w:tc>
          <w:tcPr>
            <w:tcW w:w="1221" w:type="dxa"/>
            <w:tcBorders>
              <w:top w:val="nil"/>
              <w:left w:val="nil"/>
              <w:bottom w:val="single" w:sz="4" w:space="0" w:color="auto"/>
              <w:right w:val="single" w:sz="4" w:space="0" w:color="auto"/>
            </w:tcBorders>
            <w:shd w:val="clear" w:color="auto" w:fill="auto"/>
            <w:noWrap/>
            <w:vAlign w:val="bottom"/>
            <w:hideMark/>
          </w:tcPr>
          <w:p w14:paraId="11EA9BEA" w14:textId="64E5E71C"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FFC000"/>
            <w:noWrap/>
            <w:vAlign w:val="bottom"/>
            <w:hideMark/>
          </w:tcPr>
          <w:p w14:paraId="11EA9BEB" w14:textId="48303BF0"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0.25</w:t>
            </w:r>
          </w:p>
        </w:tc>
      </w:tr>
      <w:tr w:rsidR="00334C06" w:rsidRPr="00B72345" w14:paraId="11EA9BF6"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BED" w14:textId="77777777" w:rsidR="00334C06" w:rsidRPr="00D41D10" w:rsidRDefault="00334C06" w:rsidP="002C5D29">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BEE" w14:textId="77777777" w:rsidR="00334C06" w:rsidRPr="00D41D10" w:rsidRDefault="00334C06" w:rsidP="002C5D29">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BEF" w14:textId="77777777" w:rsidR="00334C06" w:rsidRPr="00334C06" w:rsidRDefault="00334C0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BF0" w14:textId="0A932ED4"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0.14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F1" w14:textId="5DCD1BBC"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0.09</w:t>
            </w:r>
          </w:p>
        </w:tc>
        <w:tc>
          <w:tcPr>
            <w:tcW w:w="1134" w:type="dxa"/>
            <w:tcBorders>
              <w:top w:val="nil"/>
              <w:left w:val="nil"/>
              <w:bottom w:val="single" w:sz="4" w:space="0" w:color="auto"/>
              <w:right w:val="single" w:sz="4" w:space="0" w:color="auto"/>
            </w:tcBorders>
            <w:shd w:val="clear" w:color="auto" w:fill="auto"/>
            <w:noWrap/>
            <w:vAlign w:val="bottom"/>
            <w:hideMark/>
          </w:tcPr>
          <w:p w14:paraId="11EA9BF2" w14:textId="4B4BC98E"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BF3" w14:textId="0FBF3BBD"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0.20</w:t>
            </w:r>
          </w:p>
        </w:tc>
        <w:tc>
          <w:tcPr>
            <w:tcW w:w="1221" w:type="dxa"/>
            <w:tcBorders>
              <w:top w:val="nil"/>
              <w:left w:val="nil"/>
              <w:bottom w:val="single" w:sz="4" w:space="0" w:color="auto"/>
              <w:right w:val="single" w:sz="4" w:space="0" w:color="auto"/>
            </w:tcBorders>
            <w:shd w:val="clear" w:color="auto" w:fill="auto"/>
            <w:noWrap/>
            <w:vAlign w:val="bottom"/>
            <w:hideMark/>
          </w:tcPr>
          <w:p w14:paraId="11EA9BF4" w14:textId="22A27998"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000000" w:fill="FF0000"/>
            <w:noWrap/>
            <w:vAlign w:val="bottom"/>
            <w:hideMark/>
          </w:tcPr>
          <w:p w14:paraId="11EA9BF5" w14:textId="28548298"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0.19</w:t>
            </w:r>
          </w:p>
        </w:tc>
      </w:tr>
      <w:tr w:rsidR="00334C06" w:rsidRPr="00B72345" w14:paraId="11EA9C00" w14:textId="77777777" w:rsidTr="0039660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BF7" w14:textId="77777777" w:rsidR="00334C06" w:rsidRPr="00D41D10" w:rsidRDefault="00334C06" w:rsidP="002C5D29">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BF8" w14:textId="77777777" w:rsidR="00334C06" w:rsidRPr="00D41D10" w:rsidRDefault="00334C06" w:rsidP="002C5D29">
            <w:pPr>
              <w:spacing w:after="0"/>
              <w:jc w:val="left"/>
              <w:rPr>
                <w:rFonts w:ascii="Arial Narrow" w:hAnsi="Arial Narrow"/>
                <w:color w:val="000000"/>
                <w:sz w:val="20"/>
                <w:lang w:val="en-AU" w:eastAsia="en-AU"/>
              </w:rPr>
            </w:pPr>
            <w:r>
              <w:rPr>
                <w:rFonts w:ascii="Arial Narrow" w:hAnsi="Arial Narrow"/>
                <w:color w:val="000000"/>
                <w:sz w:val="20"/>
                <w:lang w:val="en-AU" w:eastAsia="en-AU"/>
              </w:rPr>
              <w:t>Middle</w:t>
            </w:r>
          </w:p>
        </w:tc>
        <w:tc>
          <w:tcPr>
            <w:tcW w:w="284" w:type="dxa"/>
            <w:tcBorders>
              <w:top w:val="nil"/>
              <w:left w:val="nil"/>
              <w:bottom w:val="single" w:sz="4" w:space="0" w:color="auto"/>
              <w:right w:val="single" w:sz="4" w:space="0" w:color="auto"/>
            </w:tcBorders>
            <w:shd w:val="clear" w:color="auto" w:fill="auto"/>
            <w:noWrap/>
            <w:vAlign w:val="center"/>
            <w:hideMark/>
          </w:tcPr>
          <w:p w14:paraId="11EA9BF9" w14:textId="77777777" w:rsidR="00334C06" w:rsidRPr="00334C06" w:rsidRDefault="00334C0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BFA" w14:textId="4BBF3131"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0.35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BFB" w14:textId="2102E021"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0.23</w:t>
            </w:r>
          </w:p>
        </w:tc>
        <w:tc>
          <w:tcPr>
            <w:tcW w:w="1134" w:type="dxa"/>
            <w:tcBorders>
              <w:top w:val="nil"/>
              <w:left w:val="nil"/>
              <w:bottom w:val="single" w:sz="4" w:space="0" w:color="auto"/>
              <w:right w:val="single" w:sz="4" w:space="0" w:color="auto"/>
            </w:tcBorders>
            <w:shd w:val="clear" w:color="auto" w:fill="auto"/>
            <w:noWrap/>
            <w:vAlign w:val="bottom"/>
            <w:hideMark/>
          </w:tcPr>
          <w:p w14:paraId="11EA9BFC" w14:textId="3DF751BE"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BFD" w14:textId="49091B0A"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0.22</w:t>
            </w:r>
          </w:p>
        </w:tc>
        <w:tc>
          <w:tcPr>
            <w:tcW w:w="1221" w:type="dxa"/>
            <w:tcBorders>
              <w:top w:val="nil"/>
              <w:left w:val="nil"/>
              <w:bottom w:val="single" w:sz="4" w:space="0" w:color="auto"/>
              <w:right w:val="single" w:sz="4" w:space="0" w:color="auto"/>
            </w:tcBorders>
            <w:shd w:val="clear" w:color="auto" w:fill="auto"/>
            <w:noWrap/>
            <w:vAlign w:val="bottom"/>
            <w:hideMark/>
          </w:tcPr>
          <w:p w14:paraId="11EA9BFE" w14:textId="49581C55"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w:t>
            </w:r>
          </w:p>
        </w:tc>
        <w:tc>
          <w:tcPr>
            <w:tcW w:w="1117" w:type="dxa"/>
            <w:tcBorders>
              <w:top w:val="nil"/>
              <w:left w:val="nil"/>
              <w:bottom w:val="single" w:sz="4" w:space="0" w:color="auto"/>
              <w:right w:val="single" w:sz="4" w:space="0" w:color="auto"/>
            </w:tcBorders>
            <w:shd w:val="clear" w:color="auto" w:fill="FF0000"/>
            <w:noWrap/>
            <w:vAlign w:val="bottom"/>
            <w:hideMark/>
          </w:tcPr>
          <w:p w14:paraId="11EA9BFF" w14:textId="46865F08"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0.16</w:t>
            </w:r>
          </w:p>
        </w:tc>
      </w:tr>
      <w:tr w:rsidR="00334C06" w:rsidRPr="00B72345" w14:paraId="11EA9C0A"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C01" w14:textId="77777777" w:rsidR="00334C06" w:rsidRPr="00D41D10" w:rsidRDefault="00334C06" w:rsidP="002C5D29">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C02" w14:textId="77777777" w:rsidR="00334C06" w:rsidRPr="00D41D10" w:rsidRDefault="00334C06" w:rsidP="002C5D29">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C03" w14:textId="77777777" w:rsidR="00334C06" w:rsidRPr="00334C06" w:rsidRDefault="00334C0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C04" w14:textId="7C168861"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0.20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C05" w14:textId="128D4DCD"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0.44</w:t>
            </w:r>
          </w:p>
        </w:tc>
        <w:tc>
          <w:tcPr>
            <w:tcW w:w="1134" w:type="dxa"/>
            <w:tcBorders>
              <w:top w:val="nil"/>
              <w:left w:val="nil"/>
              <w:bottom w:val="single" w:sz="4" w:space="0" w:color="auto"/>
              <w:right w:val="single" w:sz="4" w:space="0" w:color="auto"/>
            </w:tcBorders>
            <w:shd w:val="clear" w:color="auto" w:fill="auto"/>
            <w:noWrap/>
            <w:vAlign w:val="bottom"/>
            <w:hideMark/>
          </w:tcPr>
          <w:p w14:paraId="11EA9C06" w14:textId="429DA4B3"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C07" w14:textId="65EB4DFC"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0.20</w:t>
            </w:r>
          </w:p>
        </w:tc>
        <w:tc>
          <w:tcPr>
            <w:tcW w:w="1221" w:type="dxa"/>
            <w:tcBorders>
              <w:top w:val="nil"/>
              <w:left w:val="nil"/>
              <w:bottom w:val="single" w:sz="4" w:space="0" w:color="auto"/>
              <w:right w:val="single" w:sz="4" w:space="0" w:color="auto"/>
            </w:tcBorders>
            <w:shd w:val="clear" w:color="auto" w:fill="auto"/>
            <w:noWrap/>
            <w:vAlign w:val="bottom"/>
            <w:hideMark/>
          </w:tcPr>
          <w:p w14:paraId="11EA9C08" w14:textId="341C9AD5"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w:t>
            </w:r>
          </w:p>
        </w:tc>
        <w:tc>
          <w:tcPr>
            <w:tcW w:w="1117" w:type="dxa"/>
            <w:tcBorders>
              <w:top w:val="nil"/>
              <w:left w:val="nil"/>
              <w:bottom w:val="single" w:sz="4" w:space="0" w:color="auto"/>
              <w:right w:val="single" w:sz="4" w:space="0" w:color="auto"/>
            </w:tcBorders>
            <w:shd w:val="clear" w:color="000000" w:fill="FF0000"/>
            <w:noWrap/>
            <w:vAlign w:val="bottom"/>
            <w:hideMark/>
          </w:tcPr>
          <w:p w14:paraId="11EA9C09" w14:textId="0A7936A7"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0.17</w:t>
            </w:r>
          </w:p>
        </w:tc>
      </w:tr>
      <w:tr w:rsidR="00334C06" w:rsidRPr="00B72345" w14:paraId="11EA9C14" w14:textId="77777777" w:rsidTr="0039660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C0B" w14:textId="77777777" w:rsidR="00334C06" w:rsidRPr="00D41D10" w:rsidRDefault="00334C06" w:rsidP="002C5D29">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C0C" w14:textId="77777777" w:rsidR="00334C06" w:rsidRPr="00D41D10" w:rsidRDefault="00334C06" w:rsidP="002C5D29">
            <w:pPr>
              <w:spacing w:after="0"/>
              <w:jc w:val="left"/>
              <w:rPr>
                <w:rFonts w:ascii="Arial Narrow" w:hAnsi="Arial Narrow"/>
                <w:color w:val="000000"/>
                <w:sz w:val="20"/>
                <w:lang w:val="en-AU" w:eastAsia="en-AU"/>
              </w:rPr>
            </w:pPr>
            <w:r>
              <w:rPr>
                <w:rFonts w:ascii="Arial Narrow" w:hAnsi="Arial Narrow"/>
                <w:color w:val="000000"/>
                <w:sz w:val="20"/>
                <w:lang w:val="en-AU" w:eastAsia="en-AU"/>
              </w:rPr>
              <w:t>Pelican</w:t>
            </w:r>
          </w:p>
        </w:tc>
        <w:tc>
          <w:tcPr>
            <w:tcW w:w="284" w:type="dxa"/>
            <w:tcBorders>
              <w:top w:val="nil"/>
              <w:left w:val="nil"/>
              <w:bottom w:val="single" w:sz="4" w:space="0" w:color="auto"/>
              <w:right w:val="single" w:sz="4" w:space="0" w:color="auto"/>
            </w:tcBorders>
            <w:shd w:val="clear" w:color="auto" w:fill="auto"/>
            <w:noWrap/>
            <w:vAlign w:val="center"/>
            <w:hideMark/>
          </w:tcPr>
          <w:p w14:paraId="11EA9C0D" w14:textId="77777777" w:rsidR="00334C06" w:rsidRPr="00334C06" w:rsidRDefault="00334C0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C0E" w14:textId="12D964B1"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0.02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C0F" w14:textId="3460A613"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0.04</w:t>
            </w:r>
          </w:p>
        </w:tc>
        <w:tc>
          <w:tcPr>
            <w:tcW w:w="1134" w:type="dxa"/>
            <w:tcBorders>
              <w:top w:val="nil"/>
              <w:left w:val="nil"/>
              <w:bottom w:val="single" w:sz="4" w:space="0" w:color="auto"/>
              <w:right w:val="single" w:sz="4" w:space="0" w:color="auto"/>
            </w:tcBorders>
            <w:shd w:val="clear" w:color="auto" w:fill="auto"/>
            <w:noWrap/>
            <w:vAlign w:val="bottom"/>
            <w:hideMark/>
          </w:tcPr>
          <w:p w14:paraId="11EA9C10" w14:textId="1893EC61"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C11" w14:textId="168E7C8C"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0.50</w:t>
            </w:r>
          </w:p>
        </w:tc>
        <w:tc>
          <w:tcPr>
            <w:tcW w:w="1221" w:type="dxa"/>
            <w:tcBorders>
              <w:top w:val="nil"/>
              <w:left w:val="nil"/>
              <w:bottom w:val="single" w:sz="4" w:space="0" w:color="auto"/>
              <w:right w:val="single" w:sz="4" w:space="0" w:color="auto"/>
            </w:tcBorders>
            <w:shd w:val="clear" w:color="auto" w:fill="auto"/>
            <w:noWrap/>
            <w:vAlign w:val="bottom"/>
            <w:hideMark/>
          </w:tcPr>
          <w:p w14:paraId="11EA9C12" w14:textId="65B71752"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w:t>
            </w:r>
          </w:p>
        </w:tc>
        <w:tc>
          <w:tcPr>
            <w:tcW w:w="1117" w:type="dxa"/>
            <w:tcBorders>
              <w:top w:val="nil"/>
              <w:left w:val="nil"/>
              <w:bottom w:val="single" w:sz="4" w:space="0" w:color="auto"/>
              <w:right w:val="single" w:sz="4" w:space="0" w:color="auto"/>
            </w:tcBorders>
            <w:shd w:val="clear" w:color="auto" w:fill="FF0000"/>
            <w:noWrap/>
            <w:vAlign w:val="bottom"/>
            <w:hideMark/>
          </w:tcPr>
          <w:p w14:paraId="11EA9C13" w14:textId="62DB19A3"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0.11</w:t>
            </w:r>
          </w:p>
        </w:tc>
      </w:tr>
      <w:tr w:rsidR="00334C06" w:rsidRPr="00B72345" w14:paraId="11EA9C1E"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C15" w14:textId="77777777" w:rsidR="00334C06" w:rsidRPr="00D41D10" w:rsidRDefault="00334C06" w:rsidP="002C5D29">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C16" w14:textId="77777777" w:rsidR="00334C06" w:rsidRPr="00D41D10" w:rsidRDefault="00334C06" w:rsidP="002C5D29">
            <w:pPr>
              <w:spacing w:after="0"/>
              <w:jc w:val="left"/>
              <w:rPr>
                <w:rFonts w:ascii="Arial Narrow" w:hAnsi="Arial Narrow"/>
                <w:color w:val="000000"/>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C17" w14:textId="77777777" w:rsidR="00334C06" w:rsidRPr="00334C06" w:rsidRDefault="00334C0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C18" w14:textId="0A486C9A"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0.26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C19" w14:textId="651119F9"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0.12</w:t>
            </w:r>
          </w:p>
        </w:tc>
        <w:tc>
          <w:tcPr>
            <w:tcW w:w="1134" w:type="dxa"/>
            <w:tcBorders>
              <w:top w:val="nil"/>
              <w:left w:val="nil"/>
              <w:bottom w:val="single" w:sz="4" w:space="0" w:color="auto"/>
              <w:right w:val="single" w:sz="4" w:space="0" w:color="auto"/>
            </w:tcBorders>
            <w:shd w:val="clear" w:color="auto" w:fill="auto"/>
            <w:noWrap/>
            <w:vAlign w:val="bottom"/>
            <w:hideMark/>
          </w:tcPr>
          <w:p w14:paraId="11EA9C1A" w14:textId="137FA978"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C1B" w14:textId="29C5417D"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0.67</w:t>
            </w:r>
          </w:p>
        </w:tc>
        <w:tc>
          <w:tcPr>
            <w:tcW w:w="1221" w:type="dxa"/>
            <w:tcBorders>
              <w:top w:val="nil"/>
              <w:left w:val="nil"/>
              <w:bottom w:val="single" w:sz="4" w:space="0" w:color="auto"/>
              <w:right w:val="single" w:sz="4" w:space="0" w:color="auto"/>
            </w:tcBorders>
            <w:shd w:val="clear" w:color="auto" w:fill="auto"/>
            <w:noWrap/>
            <w:vAlign w:val="bottom"/>
            <w:hideMark/>
          </w:tcPr>
          <w:p w14:paraId="11EA9C1C" w14:textId="0E1AFA80"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w:t>
            </w:r>
          </w:p>
        </w:tc>
        <w:tc>
          <w:tcPr>
            <w:tcW w:w="1117" w:type="dxa"/>
            <w:tcBorders>
              <w:top w:val="nil"/>
              <w:left w:val="nil"/>
              <w:bottom w:val="single" w:sz="4" w:space="0" w:color="auto"/>
              <w:right w:val="single" w:sz="4" w:space="0" w:color="auto"/>
            </w:tcBorders>
            <w:shd w:val="clear" w:color="auto" w:fill="FFC000"/>
            <w:noWrap/>
            <w:vAlign w:val="bottom"/>
            <w:hideMark/>
          </w:tcPr>
          <w:p w14:paraId="11EA9C1D" w14:textId="341E58CE"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0.21</w:t>
            </w:r>
          </w:p>
        </w:tc>
      </w:tr>
      <w:tr w:rsidR="00334C06" w:rsidRPr="00B72345" w14:paraId="11EA9C28" w14:textId="77777777" w:rsidTr="0039660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C1F" w14:textId="77777777" w:rsidR="00334C06" w:rsidRPr="00D41D10" w:rsidRDefault="00334C06" w:rsidP="002C5D29">
            <w:pPr>
              <w:spacing w:after="0"/>
              <w:jc w:val="left"/>
              <w:rPr>
                <w:rFonts w:ascii="Arial Narrow" w:hAnsi="Arial Narrow"/>
                <w:color w:val="000000"/>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C20" w14:textId="77777777" w:rsidR="00334C06" w:rsidRPr="00D41D10" w:rsidRDefault="00334C06" w:rsidP="002C5D29">
            <w:pPr>
              <w:spacing w:after="0"/>
              <w:jc w:val="left"/>
              <w:rPr>
                <w:rFonts w:ascii="Arial Narrow" w:hAnsi="Arial Narrow"/>
                <w:color w:val="000000"/>
                <w:sz w:val="20"/>
                <w:lang w:val="en-AU" w:eastAsia="en-AU"/>
              </w:rPr>
            </w:pPr>
            <w:r>
              <w:rPr>
                <w:rFonts w:ascii="Arial Narrow" w:hAnsi="Arial Narrow"/>
                <w:color w:val="000000"/>
                <w:sz w:val="20"/>
                <w:lang w:val="en-AU" w:eastAsia="en-AU"/>
              </w:rPr>
              <w:t>Peak</w:t>
            </w:r>
          </w:p>
        </w:tc>
        <w:tc>
          <w:tcPr>
            <w:tcW w:w="284" w:type="dxa"/>
            <w:tcBorders>
              <w:top w:val="nil"/>
              <w:left w:val="nil"/>
              <w:bottom w:val="single" w:sz="4" w:space="0" w:color="auto"/>
              <w:right w:val="single" w:sz="4" w:space="0" w:color="auto"/>
            </w:tcBorders>
            <w:shd w:val="clear" w:color="auto" w:fill="auto"/>
            <w:noWrap/>
            <w:vAlign w:val="center"/>
            <w:hideMark/>
          </w:tcPr>
          <w:p w14:paraId="11EA9C21" w14:textId="77777777" w:rsidR="00334C06" w:rsidRPr="00334C06" w:rsidRDefault="00334C0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1EA9C22" w14:textId="708B80E2"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0.12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C23" w14:textId="46BF5A43"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0.08</w:t>
            </w:r>
          </w:p>
        </w:tc>
        <w:tc>
          <w:tcPr>
            <w:tcW w:w="1134" w:type="dxa"/>
            <w:tcBorders>
              <w:top w:val="nil"/>
              <w:left w:val="nil"/>
              <w:bottom w:val="single" w:sz="4" w:space="0" w:color="auto"/>
              <w:right w:val="single" w:sz="4" w:space="0" w:color="auto"/>
            </w:tcBorders>
            <w:shd w:val="clear" w:color="auto" w:fill="auto"/>
            <w:noWrap/>
            <w:vAlign w:val="bottom"/>
            <w:hideMark/>
          </w:tcPr>
          <w:p w14:paraId="11EA9C24" w14:textId="4F0EDE57"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C25" w14:textId="7B47FAE2"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0.47</w:t>
            </w:r>
          </w:p>
        </w:tc>
        <w:tc>
          <w:tcPr>
            <w:tcW w:w="1221" w:type="dxa"/>
            <w:tcBorders>
              <w:top w:val="nil"/>
              <w:left w:val="nil"/>
              <w:bottom w:val="single" w:sz="4" w:space="0" w:color="auto"/>
              <w:right w:val="single" w:sz="4" w:space="0" w:color="auto"/>
            </w:tcBorders>
            <w:shd w:val="clear" w:color="auto" w:fill="auto"/>
            <w:noWrap/>
            <w:vAlign w:val="bottom"/>
            <w:hideMark/>
          </w:tcPr>
          <w:p w14:paraId="11EA9C26" w14:textId="6370A5F1"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FFC000"/>
            <w:noWrap/>
            <w:vAlign w:val="bottom"/>
            <w:hideMark/>
          </w:tcPr>
          <w:p w14:paraId="11EA9C27" w14:textId="1D5881E2"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0.23</w:t>
            </w:r>
          </w:p>
        </w:tc>
      </w:tr>
      <w:tr w:rsidR="00334C06" w:rsidRPr="00B72345" w14:paraId="11EA9C32" w14:textId="77777777" w:rsidTr="002C5D2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EA9C29" w14:textId="77777777" w:rsidR="00334C06" w:rsidRPr="00D41D10" w:rsidRDefault="00334C06" w:rsidP="002C5D29">
            <w:pPr>
              <w:spacing w:after="0"/>
              <w:jc w:val="left"/>
              <w:rPr>
                <w:rFonts w:ascii="Arial Narrow" w:hAnsi="Arial Narrow"/>
                <w:color w:val="000000"/>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1EA9C2A" w14:textId="77777777" w:rsidR="00334C06" w:rsidRPr="00D41D10" w:rsidRDefault="00334C06" w:rsidP="002C5D29">
            <w:pPr>
              <w:spacing w:after="0"/>
              <w:jc w:val="left"/>
              <w:rPr>
                <w:rFonts w:ascii="Arial Narrow" w:hAnsi="Arial Narrow"/>
                <w:color w:val="000000"/>
                <w:szCs w:val="22"/>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EA9C2B" w14:textId="77777777" w:rsidR="00334C06" w:rsidRPr="00334C06" w:rsidRDefault="00334C06" w:rsidP="002C5D29">
            <w:pPr>
              <w:spacing w:after="0"/>
              <w:jc w:val="center"/>
              <w:rPr>
                <w:rFonts w:ascii="Arial Narrow" w:hAnsi="Arial Narrow"/>
                <w:color w:val="000000"/>
                <w:sz w:val="20"/>
                <w:lang w:val="en-AU" w:eastAsia="en-AU"/>
              </w:rPr>
            </w:pPr>
            <w:r w:rsidRPr="00334C06">
              <w:rPr>
                <w:rFonts w:ascii="Arial Narrow" w:hAnsi="Arial Narrow"/>
                <w:color w:val="000000"/>
                <w:sz w:val="20"/>
                <w:lang w:val="en-AU"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1EA9C2C" w14:textId="09530724"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0.33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1EA9C2D" w14:textId="7AAE2D14"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0.35</w:t>
            </w:r>
          </w:p>
        </w:tc>
        <w:tc>
          <w:tcPr>
            <w:tcW w:w="1134" w:type="dxa"/>
            <w:tcBorders>
              <w:top w:val="nil"/>
              <w:left w:val="nil"/>
              <w:bottom w:val="single" w:sz="4" w:space="0" w:color="auto"/>
              <w:right w:val="single" w:sz="4" w:space="0" w:color="auto"/>
            </w:tcBorders>
            <w:shd w:val="clear" w:color="auto" w:fill="auto"/>
            <w:noWrap/>
            <w:vAlign w:val="bottom"/>
            <w:hideMark/>
          </w:tcPr>
          <w:p w14:paraId="11EA9C2E" w14:textId="4B6F949A"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1EA9C2F" w14:textId="526227E8"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0.18</w:t>
            </w:r>
          </w:p>
        </w:tc>
        <w:tc>
          <w:tcPr>
            <w:tcW w:w="1221" w:type="dxa"/>
            <w:tcBorders>
              <w:top w:val="nil"/>
              <w:left w:val="nil"/>
              <w:bottom w:val="single" w:sz="4" w:space="0" w:color="auto"/>
              <w:right w:val="single" w:sz="4" w:space="0" w:color="auto"/>
            </w:tcBorders>
            <w:shd w:val="clear" w:color="auto" w:fill="auto"/>
            <w:noWrap/>
            <w:vAlign w:val="bottom"/>
            <w:hideMark/>
          </w:tcPr>
          <w:p w14:paraId="11EA9C30" w14:textId="4E67FC82"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FFC000"/>
            <w:noWrap/>
            <w:vAlign w:val="bottom"/>
            <w:hideMark/>
          </w:tcPr>
          <w:p w14:paraId="11EA9C31" w14:textId="1A73827B" w:rsidR="00334C06" w:rsidRPr="00334C06" w:rsidRDefault="00334C06" w:rsidP="002C5D29">
            <w:pPr>
              <w:jc w:val="center"/>
              <w:rPr>
                <w:rFonts w:ascii="Arial Narrow" w:hAnsi="Arial Narrow"/>
                <w:color w:val="000000"/>
                <w:sz w:val="20"/>
              </w:rPr>
            </w:pPr>
            <w:r w:rsidRPr="00334C06">
              <w:rPr>
                <w:rFonts w:ascii="Arial Narrow" w:hAnsi="Arial Narrow"/>
                <w:color w:val="000000"/>
                <w:sz w:val="20"/>
              </w:rPr>
              <w:t>0.27</w:t>
            </w:r>
          </w:p>
        </w:tc>
      </w:tr>
      <w:tr w:rsidR="00C75680" w:rsidRPr="00B72345" w14:paraId="11EA9C3A" w14:textId="77777777" w:rsidTr="002C5D29">
        <w:trPr>
          <w:trHeight w:hRule="exact" w:val="255"/>
        </w:trPr>
        <w:tc>
          <w:tcPr>
            <w:tcW w:w="2631" w:type="dxa"/>
            <w:gridSpan w:val="3"/>
            <w:tcBorders>
              <w:top w:val="single" w:sz="4" w:space="0" w:color="auto"/>
              <w:left w:val="single" w:sz="4" w:space="0" w:color="auto"/>
              <w:bottom w:val="single" w:sz="4" w:space="0" w:color="auto"/>
              <w:right w:val="single" w:sz="4" w:space="0" w:color="auto"/>
            </w:tcBorders>
            <w:shd w:val="clear" w:color="auto" w:fill="FFC000"/>
            <w:vAlign w:val="center"/>
            <w:hideMark/>
          </w:tcPr>
          <w:p w14:paraId="11EA9C33" w14:textId="77777777" w:rsidR="00C75680" w:rsidRPr="00D41D10" w:rsidRDefault="00C75680" w:rsidP="002C5D29">
            <w:pPr>
              <w:spacing w:after="0"/>
              <w:jc w:val="left"/>
              <w:rPr>
                <w:rFonts w:ascii="Arial Narrow" w:hAnsi="Arial Narrow"/>
                <w:color w:val="000000"/>
                <w:szCs w:val="22"/>
                <w:lang w:val="en-AU" w:eastAsia="en-AU"/>
              </w:rPr>
            </w:pPr>
            <w:r w:rsidRPr="00D41D10">
              <w:rPr>
                <w:rFonts w:ascii="Arial Narrow" w:hAnsi="Arial Narrow"/>
                <w:color w:val="000000"/>
                <w:sz w:val="20"/>
                <w:lang w:val="en-AU" w:eastAsia="en-AU"/>
              </w:rPr>
              <w:t>Report Card Score – Poor</w:t>
            </w:r>
            <w:r w:rsidRPr="00D41D10">
              <w:rPr>
                <w:rFonts w:ascii="Arial Narrow" w:hAnsi="Arial Narrow"/>
                <w:color w:val="000000"/>
                <w:szCs w:val="22"/>
                <w:lang w:val="en-AU" w:eastAsia="en-AU"/>
              </w:rPr>
              <w:t> </w:t>
            </w:r>
          </w:p>
        </w:tc>
        <w:tc>
          <w:tcPr>
            <w:tcW w:w="1134" w:type="dxa"/>
            <w:tcBorders>
              <w:top w:val="nil"/>
              <w:left w:val="nil"/>
              <w:bottom w:val="single" w:sz="4" w:space="0" w:color="auto"/>
              <w:right w:val="single" w:sz="4" w:space="0" w:color="auto"/>
            </w:tcBorders>
            <w:shd w:val="clear" w:color="auto" w:fill="FFC000"/>
            <w:noWrap/>
            <w:vAlign w:val="center"/>
            <w:hideMark/>
          </w:tcPr>
          <w:p w14:paraId="11EA9C34" w14:textId="77777777" w:rsidR="00C75680" w:rsidRPr="00D41D10" w:rsidRDefault="00C75680" w:rsidP="002C5D29">
            <w:pPr>
              <w:spacing w:after="0"/>
              <w:jc w:val="center"/>
              <w:rPr>
                <w:rFonts w:ascii="Arial Narrow" w:hAnsi="Arial Narrow"/>
                <w:color w:val="000000"/>
                <w:sz w:val="20"/>
                <w:lang w:val="en-AU" w:eastAsia="en-AU"/>
              </w:rPr>
            </w:pPr>
            <w:r w:rsidRPr="00D41D10">
              <w:rPr>
                <w:rFonts w:ascii="Arial Narrow" w:hAnsi="Arial Narrow"/>
                <w:color w:val="000000"/>
                <w:sz w:val="20"/>
                <w:lang w:val="en-AU" w:eastAsia="en-AU"/>
              </w:rPr>
              <w:t>0.26</w:t>
            </w:r>
          </w:p>
        </w:tc>
        <w:tc>
          <w:tcPr>
            <w:tcW w:w="1134" w:type="dxa"/>
            <w:tcBorders>
              <w:top w:val="nil"/>
              <w:left w:val="nil"/>
              <w:bottom w:val="single" w:sz="4" w:space="0" w:color="auto"/>
              <w:right w:val="single" w:sz="4" w:space="0" w:color="auto"/>
            </w:tcBorders>
            <w:shd w:val="clear" w:color="auto" w:fill="FFC000"/>
            <w:noWrap/>
            <w:tcMar>
              <w:left w:w="0" w:type="dxa"/>
              <w:right w:w="0" w:type="dxa"/>
            </w:tcMar>
            <w:vAlign w:val="center"/>
            <w:hideMark/>
          </w:tcPr>
          <w:p w14:paraId="11EA9C35" w14:textId="77777777" w:rsidR="00C75680" w:rsidRPr="00D41D10" w:rsidRDefault="00CE239F" w:rsidP="002C5D29">
            <w:pPr>
              <w:spacing w:after="0"/>
              <w:jc w:val="center"/>
              <w:rPr>
                <w:rFonts w:ascii="Arial Narrow" w:hAnsi="Arial Narrow"/>
                <w:color w:val="000000"/>
                <w:sz w:val="20"/>
                <w:lang w:val="en-AU" w:eastAsia="en-AU"/>
              </w:rPr>
            </w:pPr>
            <w:r>
              <w:rPr>
                <w:rFonts w:ascii="Arial Narrow" w:hAnsi="Arial Narrow"/>
                <w:color w:val="000000"/>
                <w:sz w:val="20"/>
                <w:lang w:val="en-AU" w:eastAsia="en-AU"/>
              </w:rPr>
              <w:t>0.22</w:t>
            </w:r>
          </w:p>
        </w:tc>
        <w:tc>
          <w:tcPr>
            <w:tcW w:w="1134" w:type="dxa"/>
            <w:tcBorders>
              <w:top w:val="nil"/>
              <w:left w:val="nil"/>
              <w:bottom w:val="single" w:sz="4" w:space="0" w:color="auto"/>
              <w:right w:val="single" w:sz="4" w:space="0" w:color="auto"/>
            </w:tcBorders>
            <w:shd w:val="clear" w:color="000000" w:fill="FF0000"/>
            <w:noWrap/>
            <w:vAlign w:val="center"/>
            <w:hideMark/>
          </w:tcPr>
          <w:p w14:paraId="11EA9C36" w14:textId="77777777" w:rsidR="00C75680" w:rsidRPr="00D41D10" w:rsidRDefault="00C75680" w:rsidP="002C5D29">
            <w:pPr>
              <w:spacing w:after="0"/>
              <w:jc w:val="center"/>
              <w:rPr>
                <w:rFonts w:ascii="Arial Narrow" w:hAnsi="Arial Narrow"/>
                <w:color w:val="000000"/>
                <w:sz w:val="20"/>
                <w:lang w:val="en-AU" w:eastAsia="en-AU"/>
              </w:rPr>
            </w:pPr>
            <w:r w:rsidRPr="00D41D10">
              <w:rPr>
                <w:rFonts w:ascii="Arial Narrow" w:hAnsi="Arial Narrow"/>
                <w:color w:val="000000"/>
                <w:sz w:val="20"/>
                <w:lang w:val="en-AU" w:eastAsia="en-AU"/>
              </w:rPr>
              <w:t>0.08</w:t>
            </w:r>
          </w:p>
        </w:tc>
        <w:tc>
          <w:tcPr>
            <w:tcW w:w="1047" w:type="dxa"/>
            <w:tcBorders>
              <w:top w:val="nil"/>
              <w:left w:val="nil"/>
              <w:bottom w:val="single" w:sz="4" w:space="0" w:color="auto"/>
              <w:right w:val="single" w:sz="4" w:space="0" w:color="auto"/>
            </w:tcBorders>
            <w:shd w:val="clear" w:color="auto" w:fill="FFC000"/>
            <w:noWrap/>
            <w:vAlign w:val="center"/>
            <w:hideMark/>
          </w:tcPr>
          <w:p w14:paraId="11EA9C37" w14:textId="1F50D564" w:rsidR="00C75680" w:rsidRPr="00D41D10" w:rsidRDefault="00C75680" w:rsidP="00334C06">
            <w:pPr>
              <w:spacing w:after="0"/>
              <w:jc w:val="center"/>
              <w:rPr>
                <w:rFonts w:ascii="Arial Narrow" w:hAnsi="Arial Narrow"/>
                <w:color w:val="000000"/>
                <w:sz w:val="20"/>
                <w:lang w:val="en-AU" w:eastAsia="en-AU"/>
              </w:rPr>
            </w:pPr>
            <w:r w:rsidRPr="00D41D10">
              <w:rPr>
                <w:rFonts w:ascii="Arial Narrow" w:hAnsi="Arial Narrow"/>
                <w:color w:val="000000"/>
                <w:sz w:val="20"/>
                <w:lang w:val="en-AU" w:eastAsia="en-AU"/>
              </w:rPr>
              <w:t>0.</w:t>
            </w:r>
            <w:r w:rsidR="00E06C8B">
              <w:rPr>
                <w:rFonts w:ascii="Arial Narrow" w:hAnsi="Arial Narrow"/>
                <w:color w:val="000000"/>
                <w:sz w:val="20"/>
                <w:lang w:val="en-AU" w:eastAsia="en-AU"/>
              </w:rPr>
              <w:t>33</w:t>
            </w:r>
          </w:p>
        </w:tc>
        <w:tc>
          <w:tcPr>
            <w:tcW w:w="1221" w:type="dxa"/>
            <w:tcBorders>
              <w:top w:val="nil"/>
              <w:left w:val="nil"/>
              <w:bottom w:val="single" w:sz="4" w:space="0" w:color="auto"/>
              <w:right w:val="single" w:sz="4" w:space="0" w:color="auto"/>
            </w:tcBorders>
            <w:shd w:val="clear" w:color="auto" w:fill="FFC000"/>
            <w:noWrap/>
            <w:vAlign w:val="center"/>
            <w:hideMark/>
          </w:tcPr>
          <w:p w14:paraId="11EA9C38" w14:textId="77777777" w:rsidR="00C75680" w:rsidRPr="00D41D10" w:rsidRDefault="00C75680" w:rsidP="002C5D29">
            <w:pPr>
              <w:spacing w:after="0"/>
              <w:jc w:val="center"/>
              <w:rPr>
                <w:rFonts w:ascii="Arial Narrow" w:hAnsi="Arial Narrow"/>
                <w:color w:val="000000"/>
                <w:sz w:val="20"/>
                <w:lang w:val="en-AU" w:eastAsia="en-AU"/>
              </w:rPr>
            </w:pPr>
            <w:r w:rsidRPr="00D41D10">
              <w:rPr>
                <w:rFonts w:ascii="Arial Narrow" w:hAnsi="Arial Narrow"/>
                <w:color w:val="000000"/>
                <w:sz w:val="20"/>
                <w:lang w:val="en-AU" w:eastAsia="en-AU"/>
              </w:rPr>
              <w:t>0.25</w:t>
            </w:r>
          </w:p>
        </w:tc>
        <w:tc>
          <w:tcPr>
            <w:tcW w:w="1117" w:type="dxa"/>
            <w:tcBorders>
              <w:top w:val="nil"/>
              <w:left w:val="nil"/>
              <w:bottom w:val="single" w:sz="4" w:space="0" w:color="auto"/>
              <w:right w:val="single" w:sz="4" w:space="0" w:color="auto"/>
            </w:tcBorders>
            <w:shd w:val="clear" w:color="auto" w:fill="FFC000"/>
            <w:noWrap/>
            <w:vAlign w:val="center"/>
            <w:hideMark/>
          </w:tcPr>
          <w:p w14:paraId="11EA9C39" w14:textId="5AE4A44E" w:rsidR="00C75680" w:rsidRPr="00D41D10" w:rsidRDefault="00C75680" w:rsidP="00334C06">
            <w:pPr>
              <w:spacing w:after="0"/>
              <w:jc w:val="center"/>
              <w:rPr>
                <w:rFonts w:ascii="Arial Narrow" w:hAnsi="Arial Narrow"/>
                <w:color w:val="000000"/>
                <w:sz w:val="20"/>
                <w:lang w:val="en-AU" w:eastAsia="en-AU"/>
              </w:rPr>
            </w:pPr>
            <w:r w:rsidRPr="00D41D10">
              <w:rPr>
                <w:rFonts w:ascii="Arial Narrow" w:hAnsi="Arial Narrow"/>
                <w:color w:val="000000"/>
                <w:sz w:val="20"/>
                <w:lang w:val="en-AU" w:eastAsia="en-AU"/>
              </w:rPr>
              <w:t>0.2</w:t>
            </w:r>
            <w:r w:rsidR="00E06C8B">
              <w:rPr>
                <w:rFonts w:ascii="Arial Narrow" w:hAnsi="Arial Narrow"/>
                <w:color w:val="000000"/>
                <w:sz w:val="20"/>
                <w:lang w:val="en-AU" w:eastAsia="en-AU"/>
              </w:rPr>
              <w:t>3</w:t>
            </w:r>
          </w:p>
        </w:tc>
      </w:tr>
    </w:tbl>
    <w:p w14:paraId="11EA9C3B" w14:textId="77777777" w:rsidR="00C75680" w:rsidRDefault="00C75680">
      <w:pPr>
        <w:jc w:val="left"/>
        <w:rPr>
          <w:color w:val="4F81BD" w:themeColor="accent1"/>
          <w:lang w:val="en-AU"/>
        </w:rPr>
      </w:pPr>
    </w:p>
    <w:p w14:paraId="11EA9C3C" w14:textId="77777777" w:rsidR="00C75680" w:rsidRDefault="00C75680">
      <w:pPr>
        <w:jc w:val="left"/>
        <w:rPr>
          <w:color w:val="4F81BD" w:themeColor="accent1"/>
          <w:lang w:val="en-AU"/>
        </w:rPr>
      </w:pPr>
      <w:r>
        <w:rPr>
          <w:color w:val="4F81BD" w:themeColor="accent1"/>
          <w:lang w:val="en-AU"/>
        </w:rPr>
        <w:br w:type="page"/>
      </w:r>
    </w:p>
    <w:p w14:paraId="11EA9C3E" w14:textId="77F2E8A8" w:rsidR="003D0F72" w:rsidRPr="00F76D49" w:rsidRDefault="00817833" w:rsidP="00F872DF">
      <w:pPr>
        <w:pStyle w:val="Caption"/>
        <w:rPr>
          <w:lang w:val="en-AU"/>
        </w:rPr>
      </w:pPr>
      <w:bookmarkStart w:id="378" w:name="_Ref491177799"/>
      <w:r>
        <w:t xml:space="preserve">Table A1. </w:t>
      </w:r>
      <w:r>
        <w:fldChar w:fldCharType="begin"/>
      </w:r>
      <w:r>
        <w:instrText xml:space="preserve"> SEQ Table_A1. \* ARABIC </w:instrText>
      </w:r>
      <w:r>
        <w:fldChar w:fldCharType="separate"/>
      </w:r>
      <w:r w:rsidR="00D806F2">
        <w:rPr>
          <w:noProof/>
        </w:rPr>
        <w:t>6</w:t>
      </w:r>
      <w:r>
        <w:fldChar w:fldCharType="end"/>
      </w:r>
      <w:bookmarkEnd w:id="378"/>
      <w:r>
        <w:t xml:space="preserve"> </w:t>
      </w:r>
      <w:r w:rsidRPr="00E04D5E">
        <w:t>Environmental</w:t>
      </w:r>
      <w:r>
        <w:t xml:space="preserve"> covariates for coral locations. </w:t>
      </w:r>
      <w:bookmarkStart w:id="379" w:name="_Toc471373382"/>
      <w:r w:rsidR="00F76D49" w:rsidRPr="00F76D49">
        <w:rPr>
          <w:rStyle w:val="IntenseReference"/>
          <w:rFonts w:eastAsia="SimSun"/>
        </w:rPr>
        <w:t xml:space="preserve">or </w:t>
      </w:r>
      <w:r w:rsidR="00BE785A">
        <w:rPr>
          <w:rStyle w:val="IntenseReference"/>
          <w:rFonts w:eastAsia="SimSun"/>
        </w:rPr>
        <w:t>c</w:t>
      </w:r>
      <w:r w:rsidR="00AC42FA" w:rsidRPr="00F76D49">
        <w:rPr>
          <w:rStyle w:val="IntenseReference"/>
          <w:rFonts w:eastAsia="SimSun"/>
        </w:rPr>
        <w:t xml:space="preserve">hlorophyll </w:t>
      </w:r>
      <w:r w:rsidR="00AC42FA" w:rsidRPr="00F76D49">
        <w:rPr>
          <w:rStyle w:val="IntenseReference"/>
          <w:rFonts w:eastAsia="SimSun"/>
          <w:i/>
        </w:rPr>
        <w:t>a</w:t>
      </w:r>
      <w:r w:rsidR="00F76D49" w:rsidRPr="00F76D49">
        <w:rPr>
          <w:rStyle w:val="IntenseReference"/>
          <w:rFonts w:eastAsia="SimSun"/>
        </w:rPr>
        <w:t xml:space="preserve"> (C</w:t>
      </w:r>
      <w:r w:rsidR="00AC42FA" w:rsidRPr="00F76D49">
        <w:rPr>
          <w:rStyle w:val="IntenseReference"/>
          <w:rFonts w:eastAsia="SimSun"/>
        </w:rPr>
        <w:t>h</w:t>
      </w:r>
      <w:r w:rsidR="00F76D49" w:rsidRPr="00F76D49">
        <w:rPr>
          <w:rStyle w:val="IntenseReference"/>
          <w:rFonts w:eastAsia="SimSun"/>
        </w:rPr>
        <w:t xml:space="preserve">l </w:t>
      </w:r>
      <w:r w:rsidR="00F76D49" w:rsidRPr="00F76D49">
        <w:rPr>
          <w:rStyle w:val="IntenseReference"/>
          <w:rFonts w:eastAsia="SimSun"/>
          <w:i/>
        </w:rPr>
        <w:t>a</w:t>
      </w:r>
      <w:r w:rsidR="00F76D49" w:rsidRPr="00F76D49">
        <w:rPr>
          <w:rStyle w:val="IntenseReference"/>
          <w:rFonts w:eastAsia="SimSun"/>
        </w:rPr>
        <w:t>) and Non algal particulates (N</w:t>
      </w:r>
      <w:r w:rsidR="00AC42FA" w:rsidRPr="00F76D49">
        <w:rPr>
          <w:rStyle w:val="IntenseReference"/>
          <w:rFonts w:eastAsia="SimSun"/>
        </w:rPr>
        <w:t xml:space="preserve">ap) a square of nine 1km square pixels was selected adjacent to each reef location. From these pixels the mean </w:t>
      </w:r>
      <w:r w:rsidR="00F76D49" w:rsidRPr="00F76D49">
        <w:rPr>
          <w:rStyle w:val="IntenseReference"/>
          <w:rFonts w:eastAsia="SimSun"/>
        </w:rPr>
        <w:t xml:space="preserve">concentrations </w:t>
      </w:r>
      <w:r w:rsidR="00AC42FA" w:rsidRPr="00F76D49">
        <w:rPr>
          <w:rStyle w:val="IntenseReference"/>
          <w:rFonts w:eastAsia="SimSun"/>
        </w:rPr>
        <w:t>over the period 2005-201</w:t>
      </w:r>
      <w:r w:rsidR="00F76D49" w:rsidRPr="00F76D49">
        <w:rPr>
          <w:rStyle w:val="IntenseReference"/>
          <w:rFonts w:eastAsia="SimSun"/>
        </w:rPr>
        <w:t>6 were</w:t>
      </w:r>
      <w:r w:rsidR="00234F71" w:rsidRPr="00F76D49">
        <w:rPr>
          <w:rStyle w:val="IntenseReference"/>
          <w:rFonts w:eastAsia="SimSun"/>
        </w:rPr>
        <w:t xml:space="preserve"> </w:t>
      </w:r>
      <w:r w:rsidR="00AC42FA" w:rsidRPr="00F76D49">
        <w:rPr>
          <w:rStyle w:val="IntenseReference"/>
          <w:rFonts w:eastAsia="SimSun"/>
        </w:rPr>
        <w:t>downloaded from the Bureau of Meteorology, Marine Water Quality Dashboard. Clay and silt is the mean proportion of sediments from reef sites with grainsize &lt; 63um.</w:t>
      </w:r>
      <w:r w:rsidR="00E75F5C">
        <w:rPr>
          <w:rStyle w:val="IntenseReference"/>
          <w:rFonts w:eastAsia="SimSun"/>
        </w:rPr>
        <w:t xml:space="preserve"> </w:t>
      </w:r>
      <w:r w:rsidR="00AC42FA" w:rsidRPr="00F76D49">
        <w:rPr>
          <w:rStyle w:val="IntenseReference"/>
          <w:rFonts w:eastAsia="SimSun"/>
        </w:rPr>
        <w:t xml:space="preserve"> </w:t>
      </w:r>
      <w:r w:rsidR="00F76D49" w:rsidRPr="00F76D49">
        <w:rPr>
          <w:rStyle w:val="IntenseReference"/>
          <w:rFonts w:eastAsia="SimSun"/>
        </w:rPr>
        <w:t>Within (sub)Region r</w:t>
      </w:r>
      <w:r w:rsidR="007D4B16" w:rsidRPr="00F76D49">
        <w:rPr>
          <w:rStyle w:val="IntenseReference"/>
          <w:rFonts w:eastAsia="SimSun"/>
        </w:rPr>
        <w:t xml:space="preserve">eefs are ordered by </w:t>
      </w:r>
      <w:r w:rsidR="00F76D49" w:rsidRPr="00F76D49">
        <w:rPr>
          <w:rStyle w:val="IntenseReference"/>
          <w:rFonts w:eastAsia="SimSun"/>
        </w:rPr>
        <w:t>C</w:t>
      </w:r>
      <w:r w:rsidR="009109BA" w:rsidRPr="00F76D49">
        <w:rPr>
          <w:rStyle w:val="IntenseReference"/>
          <w:rFonts w:eastAsia="SimSun"/>
        </w:rPr>
        <w:t xml:space="preserve">hl </w:t>
      </w:r>
      <w:r w:rsidR="007D4B16" w:rsidRPr="00F76D49">
        <w:rPr>
          <w:rStyle w:val="IntenseReference"/>
          <w:rFonts w:eastAsia="SimSun"/>
          <w:i/>
        </w:rPr>
        <w:t>a</w:t>
      </w:r>
      <w:r w:rsidR="007D4B16" w:rsidRPr="00F76D49">
        <w:rPr>
          <w:rStyle w:val="IntenseReference"/>
          <w:rFonts w:eastAsia="SimSun"/>
        </w:rPr>
        <w:t xml:space="preserve"> concentration</w:t>
      </w:r>
      <w:bookmarkEnd w:id="379"/>
      <w:r w:rsidR="00C863A5">
        <w:rPr>
          <w:rStyle w:val="IntenseReference"/>
          <w:rFonts w:eastAsia="SimSun"/>
        </w:rPr>
        <w:t xml:space="preserve">. Shading highlights where Chl a means are above </w:t>
      </w:r>
      <w:r w:rsidR="001D5EAA">
        <w:rPr>
          <w:rStyle w:val="IntenseReference"/>
          <w:rFonts w:eastAsia="SimSun"/>
        </w:rPr>
        <w:t>guideline value</w:t>
      </w:r>
      <w:r w:rsidR="00C863A5">
        <w:rPr>
          <w:rStyle w:val="IntenseReference"/>
          <w:rFonts w:eastAsia="SimSun"/>
        </w:rPr>
        <w:t>s</w:t>
      </w:r>
    </w:p>
    <w:tbl>
      <w:tblPr>
        <w:tblW w:w="7528" w:type="dxa"/>
        <w:tblInd w:w="93" w:type="dxa"/>
        <w:tblLook w:val="04A0" w:firstRow="1" w:lastRow="0" w:firstColumn="1" w:lastColumn="0" w:noHBand="0" w:noVBand="1"/>
      </w:tblPr>
      <w:tblGrid>
        <w:gridCol w:w="2709"/>
        <w:gridCol w:w="1583"/>
        <w:gridCol w:w="826"/>
        <w:gridCol w:w="1134"/>
        <w:gridCol w:w="1276"/>
      </w:tblGrid>
      <w:tr w:rsidR="00F76D49" w:rsidRPr="00F42DD3" w14:paraId="11EA9C46" w14:textId="77777777" w:rsidTr="005B52B1">
        <w:trPr>
          <w:trHeight w:val="843"/>
        </w:trPr>
        <w:tc>
          <w:tcPr>
            <w:tcW w:w="270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1EA9C3F" w14:textId="77777777" w:rsidR="00F76D49" w:rsidRPr="00F42DD3" w:rsidRDefault="00F76D49" w:rsidP="00F42DD3">
            <w:pPr>
              <w:spacing w:after="0"/>
              <w:jc w:val="center"/>
              <w:rPr>
                <w:rFonts w:ascii="Arial Narrow" w:hAnsi="Arial Narrow"/>
                <w:b/>
                <w:bCs/>
                <w:sz w:val="20"/>
                <w:lang w:val="en-AU" w:eastAsia="en-AU"/>
              </w:rPr>
            </w:pPr>
            <w:r w:rsidRPr="00F42DD3">
              <w:rPr>
                <w:rFonts w:ascii="Arial Narrow" w:hAnsi="Arial Narrow"/>
                <w:b/>
                <w:bCs/>
                <w:sz w:val="20"/>
                <w:lang w:val="en-AU" w:eastAsia="en-AU"/>
              </w:rPr>
              <w:t>(sub) Region</w:t>
            </w:r>
          </w:p>
        </w:tc>
        <w:tc>
          <w:tcPr>
            <w:tcW w:w="158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1EA9C40" w14:textId="77777777" w:rsidR="00F76D49" w:rsidRPr="00F42DD3" w:rsidRDefault="00F76D49" w:rsidP="00F42DD3">
            <w:pPr>
              <w:spacing w:after="0"/>
              <w:jc w:val="center"/>
              <w:rPr>
                <w:rFonts w:ascii="Arial Narrow" w:hAnsi="Arial Narrow"/>
                <w:b/>
                <w:bCs/>
                <w:sz w:val="20"/>
                <w:lang w:val="en-AU" w:eastAsia="en-AU"/>
              </w:rPr>
            </w:pPr>
            <w:r w:rsidRPr="00F42DD3">
              <w:rPr>
                <w:rFonts w:ascii="Arial Narrow" w:hAnsi="Arial Narrow"/>
                <w:b/>
                <w:bCs/>
                <w:sz w:val="20"/>
                <w:lang w:val="en-AU" w:eastAsia="en-AU"/>
              </w:rPr>
              <w:t>Reef</w:t>
            </w:r>
          </w:p>
        </w:tc>
        <w:tc>
          <w:tcPr>
            <w:tcW w:w="826" w:type="dxa"/>
            <w:tcBorders>
              <w:top w:val="single" w:sz="8" w:space="0" w:color="auto"/>
              <w:left w:val="nil"/>
              <w:bottom w:val="single" w:sz="8" w:space="0" w:color="auto"/>
              <w:right w:val="single" w:sz="8" w:space="0" w:color="auto"/>
            </w:tcBorders>
            <w:shd w:val="clear" w:color="auto" w:fill="auto"/>
            <w:noWrap/>
            <w:vAlign w:val="center"/>
            <w:hideMark/>
          </w:tcPr>
          <w:p w14:paraId="11EA9C41" w14:textId="77777777" w:rsidR="00F76D49" w:rsidRPr="00F42DD3" w:rsidRDefault="00F76D49" w:rsidP="00F42DD3">
            <w:pPr>
              <w:spacing w:after="0"/>
              <w:jc w:val="center"/>
              <w:rPr>
                <w:rFonts w:ascii="Arial Narrow" w:hAnsi="Arial Narrow"/>
                <w:sz w:val="20"/>
                <w:lang w:val="en-AU" w:eastAsia="en-AU"/>
              </w:rPr>
            </w:pPr>
            <w:r w:rsidRPr="00F42DD3">
              <w:rPr>
                <w:rFonts w:ascii="Arial Narrow" w:hAnsi="Arial Narrow"/>
                <w:sz w:val="20"/>
                <w:lang w:val="en-AU" w:eastAsia="en-AU"/>
              </w:rPr>
              <w:t>Chl a</w:t>
            </w:r>
          </w:p>
          <w:p w14:paraId="11EA9C42" w14:textId="77777777" w:rsidR="00F76D49" w:rsidRPr="00F42DD3" w:rsidRDefault="00F76D49" w:rsidP="00F42DD3">
            <w:pPr>
              <w:spacing w:after="0"/>
              <w:jc w:val="center"/>
              <w:rPr>
                <w:rFonts w:ascii="Arial Narrow" w:hAnsi="Arial Narrow"/>
                <w:sz w:val="20"/>
                <w:lang w:val="en-AU" w:eastAsia="en-AU"/>
              </w:rPr>
            </w:pPr>
            <w:r w:rsidRPr="00F42DD3">
              <w:rPr>
                <w:rFonts w:ascii="Arial Narrow" w:hAnsi="Arial Narrow" w:cs="Arial"/>
                <w:sz w:val="20"/>
                <w:lang w:val="en-AU" w:eastAsia="en-AU"/>
              </w:rPr>
              <w:t>(µgL</w:t>
            </w:r>
            <w:r w:rsidRPr="00F42DD3">
              <w:rPr>
                <w:rFonts w:ascii="Arial Narrow" w:hAnsi="Arial Narrow" w:cs="Arial"/>
                <w:sz w:val="20"/>
                <w:vertAlign w:val="superscript"/>
                <w:lang w:val="en-AU" w:eastAsia="en-AU"/>
              </w:rPr>
              <w:t>-1</w:t>
            </w:r>
            <w:r w:rsidRPr="00F42DD3">
              <w:rPr>
                <w:rFonts w:ascii="Arial Narrow" w:hAnsi="Arial Narrow" w:cs="Arial"/>
                <w:sz w:val="20"/>
                <w:lang w:val="en-AU" w:eastAsia="en-AU"/>
              </w:rPr>
              <w:t>)</w:t>
            </w: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11EA9C43" w14:textId="77777777" w:rsidR="00F76D49" w:rsidRPr="00F42DD3" w:rsidRDefault="00F76D49" w:rsidP="00F42DD3">
            <w:pPr>
              <w:spacing w:after="0"/>
              <w:jc w:val="center"/>
              <w:rPr>
                <w:rFonts w:ascii="Arial Narrow" w:hAnsi="Arial Narrow"/>
                <w:sz w:val="20"/>
                <w:lang w:val="en-AU" w:eastAsia="en-AU"/>
              </w:rPr>
            </w:pPr>
            <w:r w:rsidRPr="00F42DD3">
              <w:rPr>
                <w:rFonts w:ascii="Arial Narrow" w:hAnsi="Arial Narrow"/>
                <w:sz w:val="20"/>
                <w:lang w:val="en-AU" w:eastAsia="en-AU"/>
              </w:rPr>
              <w:t>Nap</w:t>
            </w:r>
          </w:p>
          <w:p w14:paraId="11EA9C44" w14:textId="77777777" w:rsidR="00F76D49" w:rsidRPr="00F42DD3" w:rsidRDefault="00F76D49" w:rsidP="00F42DD3">
            <w:pPr>
              <w:spacing w:after="0"/>
              <w:jc w:val="center"/>
              <w:rPr>
                <w:rFonts w:ascii="Arial Narrow" w:hAnsi="Arial Narrow"/>
                <w:sz w:val="20"/>
                <w:lang w:val="en-AU" w:eastAsia="en-AU"/>
              </w:rPr>
            </w:pPr>
            <w:r w:rsidRPr="00F42DD3">
              <w:rPr>
                <w:rFonts w:ascii="Arial Narrow" w:hAnsi="Arial Narrow" w:cs="Arial"/>
                <w:sz w:val="20"/>
                <w:lang w:val="en-AU" w:eastAsia="en-AU"/>
              </w:rPr>
              <w:t>(mgL</w:t>
            </w:r>
            <w:r w:rsidRPr="00F42DD3">
              <w:rPr>
                <w:rFonts w:ascii="Arial Narrow" w:hAnsi="Arial Narrow" w:cs="Arial"/>
                <w:sz w:val="20"/>
                <w:vertAlign w:val="superscript"/>
                <w:lang w:val="en-AU" w:eastAsia="en-AU"/>
              </w:rPr>
              <w:t>-1</w:t>
            </w:r>
            <w:r w:rsidRPr="00F42DD3">
              <w:rPr>
                <w:rFonts w:ascii="Arial Narrow" w:hAnsi="Arial Narrow" w:cs="Arial"/>
                <w:sz w:val="20"/>
                <w:lang w:val="en-AU" w:eastAsia="en-AU"/>
              </w:rPr>
              <w:t>)</w:t>
            </w:r>
          </w:p>
        </w:tc>
        <w:tc>
          <w:tcPr>
            <w:tcW w:w="127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1EA9C45" w14:textId="77777777" w:rsidR="00F76D49" w:rsidRPr="00F42DD3" w:rsidRDefault="00F76D49" w:rsidP="00F42DD3">
            <w:pPr>
              <w:spacing w:after="0"/>
              <w:jc w:val="center"/>
              <w:rPr>
                <w:rFonts w:ascii="Arial Narrow" w:hAnsi="Arial Narrow"/>
                <w:sz w:val="20"/>
                <w:lang w:val="en-AU" w:eastAsia="en-AU"/>
              </w:rPr>
            </w:pPr>
            <w:r>
              <w:rPr>
                <w:rFonts w:ascii="Arial Narrow" w:hAnsi="Arial Narrow"/>
                <w:sz w:val="20"/>
                <w:lang w:val="en-AU" w:eastAsia="en-AU"/>
              </w:rPr>
              <w:t>C</w:t>
            </w:r>
            <w:r w:rsidRPr="00F42DD3">
              <w:rPr>
                <w:rFonts w:ascii="Arial Narrow" w:hAnsi="Arial Narrow"/>
                <w:sz w:val="20"/>
                <w:lang w:val="en-AU" w:eastAsia="en-AU"/>
              </w:rPr>
              <w:t>lay and silt (%)</w:t>
            </w:r>
          </w:p>
        </w:tc>
      </w:tr>
      <w:tr w:rsidR="004F6379" w:rsidRPr="00F42DD3" w14:paraId="11EA9C4C" w14:textId="77777777" w:rsidTr="005B52B1">
        <w:trPr>
          <w:trHeight w:hRule="exact" w:val="255"/>
        </w:trPr>
        <w:tc>
          <w:tcPr>
            <w:tcW w:w="27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11EA9C47"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Barron Daintree</w:t>
            </w:r>
          </w:p>
        </w:tc>
        <w:tc>
          <w:tcPr>
            <w:tcW w:w="1583" w:type="dxa"/>
            <w:tcBorders>
              <w:top w:val="nil"/>
              <w:left w:val="nil"/>
              <w:bottom w:val="single" w:sz="8" w:space="0" w:color="auto"/>
              <w:right w:val="single" w:sz="8" w:space="0" w:color="auto"/>
            </w:tcBorders>
            <w:shd w:val="clear" w:color="auto" w:fill="auto"/>
            <w:noWrap/>
            <w:vAlign w:val="bottom"/>
            <w:hideMark/>
          </w:tcPr>
          <w:p w14:paraId="11EA9C48"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Low Isles</w:t>
            </w:r>
          </w:p>
        </w:tc>
        <w:tc>
          <w:tcPr>
            <w:tcW w:w="826" w:type="dxa"/>
            <w:tcBorders>
              <w:top w:val="single" w:sz="8" w:space="0" w:color="auto"/>
              <w:left w:val="nil"/>
              <w:bottom w:val="single" w:sz="8" w:space="0" w:color="auto"/>
              <w:right w:val="single" w:sz="8" w:space="0" w:color="auto"/>
            </w:tcBorders>
            <w:shd w:val="clear" w:color="auto" w:fill="auto"/>
            <w:noWrap/>
            <w:vAlign w:val="bottom"/>
            <w:hideMark/>
          </w:tcPr>
          <w:p w14:paraId="11EA9C49"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0.340</w:t>
            </w:r>
          </w:p>
        </w:tc>
        <w:tc>
          <w:tcPr>
            <w:tcW w:w="1134" w:type="dxa"/>
            <w:tcBorders>
              <w:top w:val="single" w:sz="8" w:space="0" w:color="auto"/>
              <w:left w:val="nil"/>
              <w:bottom w:val="single" w:sz="8" w:space="0" w:color="auto"/>
              <w:right w:val="single" w:sz="8" w:space="0" w:color="auto"/>
            </w:tcBorders>
            <w:shd w:val="clear" w:color="auto" w:fill="auto"/>
            <w:noWrap/>
            <w:vAlign w:val="bottom"/>
            <w:hideMark/>
          </w:tcPr>
          <w:p w14:paraId="11EA9C4A"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0.864</w:t>
            </w:r>
          </w:p>
        </w:tc>
        <w:tc>
          <w:tcPr>
            <w:tcW w:w="1276" w:type="dxa"/>
            <w:tcBorders>
              <w:top w:val="nil"/>
              <w:left w:val="nil"/>
              <w:bottom w:val="single" w:sz="8" w:space="0" w:color="auto"/>
              <w:right w:val="single" w:sz="8" w:space="0" w:color="auto"/>
            </w:tcBorders>
            <w:shd w:val="clear" w:color="auto" w:fill="auto"/>
            <w:noWrap/>
            <w:vAlign w:val="center"/>
            <w:hideMark/>
          </w:tcPr>
          <w:p w14:paraId="11EA9C4B"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7.5</w:t>
            </w:r>
          </w:p>
        </w:tc>
      </w:tr>
      <w:tr w:rsidR="004F6379" w:rsidRPr="00F42DD3" w14:paraId="11EA9C52"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4D"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4E"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Snapper North</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C4F"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0.511</w:t>
            </w:r>
          </w:p>
        </w:tc>
        <w:tc>
          <w:tcPr>
            <w:tcW w:w="1134" w:type="dxa"/>
            <w:tcBorders>
              <w:top w:val="nil"/>
              <w:left w:val="nil"/>
              <w:bottom w:val="single" w:sz="8" w:space="0" w:color="auto"/>
              <w:right w:val="single" w:sz="8" w:space="0" w:color="auto"/>
            </w:tcBorders>
            <w:shd w:val="clear" w:color="auto" w:fill="auto"/>
            <w:noWrap/>
            <w:vAlign w:val="bottom"/>
            <w:hideMark/>
          </w:tcPr>
          <w:p w14:paraId="11EA9C50"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0.909</w:t>
            </w:r>
          </w:p>
        </w:tc>
        <w:tc>
          <w:tcPr>
            <w:tcW w:w="1276" w:type="dxa"/>
            <w:tcBorders>
              <w:top w:val="nil"/>
              <w:left w:val="nil"/>
              <w:bottom w:val="single" w:sz="8" w:space="0" w:color="auto"/>
              <w:right w:val="single" w:sz="8" w:space="0" w:color="auto"/>
            </w:tcBorders>
            <w:shd w:val="clear" w:color="auto" w:fill="auto"/>
            <w:noWrap/>
            <w:vAlign w:val="center"/>
            <w:hideMark/>
          </w:tcPr>
          <w:p w14:paraId="11EA9C51"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40.462</w:t>
            </w:r>
          </w:p>
        </w:tc>
      </w:tr>
      <w:tr w:rsidR="004F6379" w:rsidRPr="00F42DD3" w14:paraId="11EA9C58"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53"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54"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Snapper South</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C55"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0.544</w:t>
            </w:r>
          </w:p>
        </w:tc>
        <w:tc>
          <w:tcPr>
            <w:tcW w:w="1134" w:type="dxa"/>
            <w:tcBorders>
              <w:top w:val="nil"/>
              <w:left w:val="nil"/>
              <w:bottom w:val="single" w:sz="8" w:space="0" w:color="auto"/>
              <w:right w:val="single" w:sz="8" w:space="0" w:color="auto"/>
            </w:tcBorders>
            <w:shd w:val="clear" w:color="auto" w:fill="auto"/>
            <w:noWrap/>
            <w:vAlign w:val="bottom"/>
            <w:hideMark/>
          </w:tcPr>
          <w:p w14:paraId="11EA9C56"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0.974</w:t>
            </w:r>
          </w:p>
        </w:tc>
        <w:tc>
          <w:tcPr>
            <w:tcW w:w="1276" w:type="dxa"/>
            <w:tcBorders>
              <w:top w:val="nil"/>
              <w:left w:val="nil"/>
              <w:bottom w:val="single" w:sz="8" w:space="0" w:color="auto"/>
              <w:right w:val="single" w:sz="8" w:space="0" w:color="auto"/>
            </w:tcBorders>
            <w:shd w:val="clear" w:color="auto" w:fill="auto"/>
            <w:noWrap/>
            <w:vAlign w:val="center"/>
            <w:hideMark/>
          </w:tcPr>
          <w:p w14:paraId="11EA9C57"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11.154</w:t>
            </w:r>
          </w:p>
        </w:tc>
      </w:tr>
      <w:tr w:rsidR="004F6379" w:rsidRPr="00F42DD3" w14:paraId="11EA9C5E" w14:textId="77777777" w:rsidTr="005B52B1">
        <w:trPr>
          <w:trHeight w:hRule="exact" w:val="255"/>
        </w:trPr>
        <w:tc>
          <w:tcPr>
            <w:tcW w:w="27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11EA9C59"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Johnstone Russell-Mulgrave</w:t>
            </w:r>
          </w:p>
        </w:tc>
        <w:tc>
          <w:tcPr>
            <w:tcW w:w="1583" w:type="dxa"/>
            <w:tcBorders>
              <w:top w:val="nil"/>
              <w:left w:val="nil"/>
              <w:bottom w:val="single" w:sz="8" w:space="0" w:color="auto"/>
              <w:right w:val="single" w:sz="8" w:space="0" w:color="auto"/>
            </w:tcBorders>
            <w:shd w:val="clear" w:color="auto" w:fill="auto"/>
            <w:noWrap/>
            <w:vAlign w:val="bottom"/>
            <w:hideMark/>
          </w:tcPr>
          <w:p w14:paraId="11EA9C5A"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Fitzroy East</w:t>
            </w:r>
          </w:p>
        </w:tc>
        <w:tc>
          <w:tcPr>
            <w:tcW w:w="826" w:type="dxa"/>
            <w:tcBorders>
              <w:top w:val="nil"/>
              <w:left w:val="nil"/>
              <w:bottom w:val="single" w:sz="8" w:space="0" w:color="auto"/>
              <w:right w:val="single" w:sz="8" w:space="0" w:color="auto"/>
            </w:tcBorders>
            <w:shd w:val="clear" w:color="auto" w:fill="auto"/>
            <w:noWrap/>
            <w:vAlign w:val="bottom"/>
            <w:hideMark/>
          </w:tcPr>
          <w:p w14:paraId="11EA9C5B"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0.300</w:t>
            </w:r>
          </w:p>
        </w:tc>
        <w:tc>
          <w:tcPr>
            <w:tcW w:w="1134" w:type="dxa"/>
            <w:tcBorders>
              <w:top w:val="nil"/>
              <w:left w:val="nil"/>
              <w:bottom w:val="single" w:sz="8" w:space="0" w:color="auto"/>
              <w:right w:val="single" w:sz="8" w:space="0" w:color="auto"/>
            </w:tcBorders>
            <w:shd w:val="clear" w:color="auto" w:fill="auto"/>
            <w:noWrap/>
            <w:vAlign w:val="bottom"/>
            <w:hideMark/>
          </w:tcPr>
          <w:p w14:paraId="11EA9C5C"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0.622</w:t>
            </w:r>
          </w:p>
        </w:tc>
        <w:tc>
          <w:tcPr>
            <w:tcW w:w="1276" w:type="dxa"/>
            <w:tcBorders>
              <w:top w:val="nil"/>
              <w:left w:val="nil"/>
              <w:bottom w:val="single" w:sz="8" w:space="0" w:color="auto"/>
              <w:right w:val="single" w:sz="8" w:space="0" w:color="auto"/>
            </w:tcBorders>
            <w:shd w:val="clear" w:color="auto" w:fill="auto"/>
            <w:noWrap/>
            <w:vAlign w:val="center"/>
            <w:hideMark/>
          </w:tcPr>
          <w:p w14:paraId="11EA9C5D"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1.653</w:t>
            </w:r>
          </w:p>
        </w:tc>
      </w:tr>
      <w:tr w:rsidR="004F6379" w:rsidRPr="00F42DD3" w14:paraId="11EA9C64"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5F"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60"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Franklands East</w:t>
            </w:r>
          </w:p>
        </w:tc>
        <w:tc>
          <w:tcPr>
            <w:tcW w:w="826" w:type="dxa"/>
            <w:tcBorders>
              <w:top w:val="nil"/>
              <w:left w:val="nil"/>
              <w:bottom w:val="single" w:sz="8" w:space="0" w:color="auto"/>
              <w:right w:val="single" w:sz="8" w:space="0" w:color="auto"/>
            </w:tcBorders>
            <w:shd w:val="clear" w:color="auto" w:fill="auto"/>
            <w:noWrap/>
            <w:vAlign w:val="bottom"/>
            <w:hideMark/>
          </w:tcPr>
          <w:p w14:paraId="11EA9C61"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0.317</w:t>
            </w:r>
          </w:p>
        </w:tc>
        <w:tc>
          <w:tcPr>
            <w:tcW w:w="1134" w:type="dxa"/>
            <w:tcBorders>
              <w:top w:val="nil"/>
              <w:left w:val="nil"/>
              <w:bottom w:val="single" w:sz="8" w:space="0" w:color="auto"/>
              <w:right w:val="single" w:sz="8" w:space="0" w:color="auto"/>
            </w:tcBorders>
            <w:shd w:val="clear" w:color="auto" w:fill="auto"/>
            <w:noWrap/>
            <w:vAlign w:val="bottom"/>
            <w:hideMark/>
          </w:tcPr>
          <w:p w14:paraId="11EA9C62"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0.652</w:t>
            </w:r>
          </w:p>
        </w:tc>
        <w:tc>
          <w:tcPr>
            <w:tcW w:w="1276" w:type="dxa"/>
            <w:tcBorders>
              <w:top w:val="nil"/>
              <w:left w:val="nil"/>
              <w:bottom w:val="single" w:sz="8" w:space="0" w:color="auto"/>
              <w:right w:val="single" w:sz="8" w:space="0" w:color="auto"/>
            </w:tcBorders>
            <w:shd w:val="clear" w:color="auto" w:fill="auto"/>
            <w:noWrap/>
            <w:vAlign w:val="center"/>
            <w:hideMark/>
          </w:tcPr>
          <w:p w14:paraId="11EA9C63"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3.236</w:t>
            </w:r>
          </w:p>
        </w:tc>
      </w:tr>
      <w:tr w:rsidR="004F6379" w:rsidRPr="00F42DD3" w14:paraId="11EA9C6A"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65"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66"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Green</w:t>
            </w:r>
          </w:p>
        </w:tc>
        <w:tc>
          <w:tcPr>
            <w:tcW w:w="826" w:type="dxa"/>
            <w:tcBorders>
              <w:top w:val="nil"/>
              <w:left w:val="nil"/>
              <w:bottom w:val="single" w:sz="8" w:space="0" w:color="auto"/>
              <w:right w:val="single" w:sz="8" w:space="0" w:color="auto"/>
            </w:tcBorders>
            <w:shd w:val="clear" w:color="auto" w:fill="auto"/>
            <w:noWrap/>
            <w:vAlign w:val="bottom"/>
            <w:hideMark/>
          </w:tcPr>
          <w:p w14:paraId="11EA9C67"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0.326</w:t>
            </w:r>
          </w:p>
        </w:tc>
        <w:tc>
          <w:tcPr>
            <w:tcW w:w="1134" w:type="dxa"/>
            <w:tcBorders>
              <w:top w:val="nil"/>
              <w:left w:val="nil"/>
              <w:bottom w:val="single" w:sz="8" w:space="0" w:color="auto"/>
              <w:right w:val="single" w:sz="8" w:space="0" w:color="auto"/>
            </w:tcBorders>
            <w:shd w:val="clear" w:color="auto" w:fill="auto"/>
            <w:noWrap/>
            <w:vAlign w:val="bottom"/>
            <w:hideMark/>
          </w:tcPr>
          <w:p w14:paraId="11EA9C68"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0.528</w:t>
            </w:r>
          </w:p>
        </w:tc>
        <w:tc>
          <w:tcPr>
            <w:tcW w:w="1276" w:type="dxa"/>
            <w:tcBorders>
              <w:top w:val="nil"/>
              <w:left w:val="nil"/>
              <w:bottom w:val="single" w:sz="8" w:space="0" w:color="auto"/>
              <w:right w:val="single" w:sz="8" w:space="0" w:color="auto"/>
            </w:tcBorders>
            <w:shd w:val="clear" w:color="auto" w:fill="auto"/>
            <w:noWrap/>
            <w:vAlign w:val="center"/>
            <w:hideMark/>
          </w:tcPr>
          <w:p w14:paraId="11EA9C69"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6.5</w:t>
            </w:r>
          </w:p>
        </w:tc>
      </w:tr>
      <w:tr w:rsidR="004F6379" w:rsidRPr="00F42DD3" w14:paraId="11EA9C70"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6B"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6C"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Franklands West</w:t>
            </w:r>
          </w:p>
        </w:tc>
        <w:tc>
          <w:tcPr>
            <w:tcW w:w="826" w:type="dxa"/>
            <w:tcBorders>
              <w:top w:val="nil"/>
              <w:left w:val="nil"/>
              <w:bottom w:val="single" w:sz="8" w:space="0" w:color="auto"/>
              <w:right w:val="single" w:sz="8" w:space="0" w:color="auto"/>
            </w:tcBorders>
            <w:shd w:val="clear" w:color="auto" w:fill="auto"/>
            <w:noWrap/>
            <w:vAlign w:val="bottom"/>
            <w:hideMark/>
          </w:tcPr>
          <w:p w14:paraId="11EA9C6D"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0.382</w:t>
            </w:r>
          </w:p>
        </w:tc>
        <w:tc>
          <w:tcPr>
            <w:tcW w:w="1134" w:type="dxa"/>
            <w:tcBorders>
              <w:top w:val="nil"/>
              <w:left w:val="nil"/>
              <w:bottom w:val="single" w:sz="8" w:space="0" w:color="auto"/>
              <w:right w:val="single" w:sz="8" w:space="0" w:color="auto"/>
            </w:tcBorders>
            <w:shd w:val="clear" w:color="auto" w:fill="auto"/>
            <w:noWrap/>
            <w:vAlign w:val="bottom"/>
            <w:hideMark/>
          </w:tcPr>
          <w:p w14:paraId="11EA9C6E"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0.683</w:t>
            </w:r>
          </w:p>
        </w:tc>
        <w:tc>
          <w:tcPr>
            <w:tcW w:w="1276" w:type="dxa"/>
            <w:tcBorders>
              <w:top w:val="nil"/>
              <w:left w:val="nil"/>
              <w:bottom w:val="single" w:sz="8" w:space="0" w:color="auto"/>
              <w:right w:val="single" w:sz="8" w:space="0" w:color="auto"/>
            </w:tcBorders>
            <w:shd w:val="clear" w:color="auto" w:fill="auto"/>
            <w:noWrap/>
            <w:vAlign w:val="center"/>
            <w:hideMark/>
          </w:tcPr>
          <w:p w14:paraId="11EA9C6F"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31.268</w:t>
            </w:r>
          </w:p>
        </w:tc>
      </w:tr>
      <w:tr w:rsidR="004F6379" w:rsidRPr="00F42DD3" w14:paraId="11EA9C76"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71"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72"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Fitzroy West</w:t>
            </w:r>
          </w:p>
        </w:tc>
        <w:tc>
          <w:tcPr>
            <w:tcW w:w="826" w:type="dxa"/>
            <w:tcBorders>
              <w:top w:val="nil"/>
              <w:left w:val="nil"/>
              <w:bottom w:val="single" w:sz="8" w:space="0" w:color="auto"/>
              <w:right w:val="single" w:sz="8" w:space="0" w:color="auto"/>
            </w:tcBorders>
            <w:shd w:val="clear" w:color="auto" w:fill="auto"/>
            <w:noWrap/>
            <w:vAlign w:val="bottom"/>
            <w:hideMark/>
          </w:tcPr>
          <w:p w14:paraId="11EA9C73"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0.393</w:t>
            </w:r>
          </w:p>
        </w:tc>
        <w:tc>
          <w:tcPr>
            <w:tcW w:w="1134" w:type="dxa"/>
            <w:tcBorders>
              <w:top w:val="nil"/>
              <w:left w:val="nil"/>
              <w:bottom w:val="single" w:sz="8" w:space="0" w:color="auto"/>
              <w:right w:val="single" w:sz="8" w:space="0" w:color="auto"/>
            </w:tcBorders>
            <w:shd w:val="clear" w:color="auto" w:fill="auto"/>
            <w:noWrap/>
            <w:vAlign w:val="bottom"/>
            <w:hideMark/>
          </w:tcPr>
          <w:p w14:paraId="11EA9C74"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0.680</w:t>
            </w:r>
          </w:p>
        </w:tc>
        <w:tc>
          <w:tcPr>
            <w:tcW w:w="1276" w:type="dxa"/>
            <w:tcBorders>
              <w:top w:val="nil"/>
              <w:left w:val="nil"/>
              <w:bottom w:val="single" w:sz="8" w:space="0" w:color="auto"/>
              <w:right w:val="single" w:sz="8" w:space="0" w:color="auto"/>
            </w:tcBorders>
            <w:shd w:val="clear" w:color="auto" w:fill="auto"/>
            <w:noWrap/>
            <w:vAlign w:val="center"/>
            <w:hideMark/>
          </w:tcPr>
          <w:p w14:paraId="11EA9C75"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9.302</w:t>
            </w:r>
          </w:p>
        </w:tc>
      </w:tr>
      <w:tr w:rsidR="004F6379" w:rsidRPr="00F42DD3" w14:paraId="11EA9C7C"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77"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78"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High East</w:t>
            </w:r>
          </w:p>
        </w:tc>
        <w:tc>
          <w:tcPr>
            <w:tcW w:w="826" w:type="dxa"/>
            <w:tcBorders>
              <w:top w:val="nil"/>
              <w:left w:val="nil"/>
              <w:bottom w:val="single" w:sz="8" w:space="0" w:color="auto"/>
              <w:right w:val="single" w:sz="8" w:space="0" w:color="auto"/>
            </w:tcBorders>
            <w:shd w:val="clear" w:color="auto" w:fill="auto"/>
            <w:noWrap/>
            <w:vAlign w:val="bottom"/>
            <w:hideMark/>
          </w:tcPr>
          <w:p w14:paraId="11EA9C79"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0.422</w:t>
            </w:r>
          </w:p>
        </w:tc>
        <w:tc>
          <w:tcPr>
            <w:tcW w:w="1134" w:type="dxa"/>
            <w:tcBorders>
              <w:top w:val="nil"/>
              <w:left w:val="nil"/>
              <w:bottom w:val="single" w:sz="8" w:space="0" w:color="auto"/>
              <w:right w:val="single" w:sz="8" w:space="0" w:color="auto"/>
            </w:tcBorders>
            <w:shd w:val="clear" w:color="auto" w:fill="auto"/>
            <w:noWrap/>
            <w:vAlign w:val="bottom"/>
            <w:hideMark/>
          </w:tcPr>
          <w:p w14:paraId="11EA9C7A"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0.719</w:t>
            </w:r>
          </w:p>
        </w:tc>
        <w:tc>
          <w:tcPr>
            <w:tcW w:w="1276" w:type="dxa"/>
            <w:tcBorders>
              <w:top w:val="nil"/>
              <w:left w:val="nil"/>
              <w:bottom w:val="single" w:sz="8" w:space="0" w:color="auto"/>
              <w:right w:val="single" w:sz="8" w:space="0" w:color="auto"/>
            </w:tcBorders>
            <w:shd w:val="clear" w:color="auto" w:fill="auto"/>
            <w:noWrap/>
            <w:vAlign w:val="center"/>
            <w:hideMark/>
          </w:tcPr>
          <w:p w14:paraId="11EA9C7B"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1.349</w:t>
            </w:r>
          </w:p>
        </w:tc>
      </w:tr>
      <w:tr w:rsidR="004F6379" w:rsidRPr="00F42DD3" w14:paraId="11EA9C82"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7D"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7E"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High West</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C7F"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0.583</w:t>
            </w:r>
          </w:p>
        </w:tc>
        <w:tc>
          <w:tcPr>
            <w:tcW w:w="1134" w:type="dxa"/>
            <w:tcBorders>
              <w:top w:val="nil"/>
              <w:left w:val="nil"/>
              <w:bottom w:val="single" w:sz="8" w:space="0" w:color="auto"/>
              <w:right w:val="single" w:sz="8" w:space="0" w:color="auto"/>
            </w:tcBorders>
            <w:shd w:val="clear" w:color="auto" w:fill="auto"/>
            <w:noWrap/>
            <w:vAlign w:val="bottom"/>
            <w:hideMark/>
          </w:tcPr>
          <w:p w14:paraId="11EA9C80"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0.888</w:t>
            </w:r>
          </w:p>
        </w:tc>
        <w:tc>
          <w:tcPr>
            <w:tcW w:w="1276" w:type="dxa"/>
            <w:tcBorders>
              <w:top w:val="nil"/>
              <w:left w:val="nil"/>
              <w:bottom w:val="single" w:sz="8" w:space="0" w:color="auto"/>
              <w:right w:val="single" w:sz="8" w:space="0" w:color="auto"/>
            </w:tcBorders>
            <w:shd w:val="clear" w:color="auto" w:fill="auto"/>
            <w:noWrap/>
            <w:vAlign w:val="center"/>
            <w:hideMark/>
          </w:tcPr>
          <w:p w14:paraId="11EA9C81"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12.758</w:t>
            </w:r>
          </w:p>
        </w:tc>
      </w:tr>
      <w:tr w:rsidR="004F6379" w:rsidRPr="00F42DD3" w14:paraId="11EA9C88" w14:textId="77777777" w:rsidTr="005B52B1">
        <w:trPr>
          <w:trHeight w:hRule="exact" w:val="255"/>
        </w:trPr>
        <w:tc>
          <w:tcPr>
            <w:tcW w:w="27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11EA9C83"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Herbert Tully</w:t>
            </w:r>
          </w:p>
        </w:tc>
        <w:tc>
          <w:tcPr>
            <w:tcW w:w="1583" w:type="dxa"/>
            <w:tcBorders>
              <w:top w:val="nil"/>
              <w:left w:val="nil"/>
              <w:bottom w:val="single" w:sz="8" w:space="0" w:color="auto"/>
              <w:right w:val="single" w:sz="8" w:space="0" w:color="auto"/>
            </w:tcBorders>
            <w:shd w:val="clear" w:color="auto" w:fill="auto"/>
            <w:noWrap/>
            <w:vAlign w:val="bottom"/>
            <w:hideMark/>
          </w:tcPr>
          <w:p w14:paraId="11EA9C84"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Barnards</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C85"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0.514</w:t>
            </w:r>
          </w:p>
        </w:tc>
        <w:tc>
          <w:tcPr>
            <w:tcW w:w="1134" w:type="dxa"/>
            <w:tcBorders>
              <w:top w:val="nil"/>
              <w:left w:val="nil"/>
              <w:bottom w:val="single" w:sz="8" w:space="0" w:color="auto"/>
              <w:right w:val="single" w:sz="8" w:space="0" w:color="auto"/>
            </w:tcBorders>
            <w:shd w:val="clear" w:color="auto" w:fill="auto"/>
            <w:noWrap/>
            <w:vAlign w:val="bottom"/>
            <w:hideMark/>
          </w:tcPr>
          <w:p w14:paraId="11EA9C86"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0.712</w:t>
            </w:r>
          </w:p>
        </w:tc>
        <w:tc>
          <w:tcPr>
            <w:tcW w:w="1276" w:type="dxa"/>
            <w:tcBorders>
              <w:top w:val="nil"/>
              <w:left w:val="nil"/>
              <w:bottom w:val="single" w:sz="8" w:space="0" w:color="auto"/>
              <w:right w:val="single" w:sz="8" w:space="0" w:color="auto"/>
            </w:tcBorders>
            <w:shd w:val="clear" w:color="auto" w:fill="auto"/>
            <w:noWrap/>
            <w:vAlign w:val="center"/>
            <w:hideMark/>
          </w:tcPr>
          <w:p w14:paraId="11EA9C87"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6.101</w:t>
            </w:r>
          </w:p>
        </w:tc>
      </w:tr>
      <w:tr w:rsidR="004F6379" w:rsidRPr="00F42DD3" w14:paraId="11EA9C8E"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89"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8A"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Dunk North</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C8B"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0.592</w:t>
            </w:r>
          </w:p>
        </w:tc>
        <w:tc>
          <w:tcPr>
            <w:tcW w:w="1134" w:type="dxa"/>
            <w:tcBorders>
              <w:top w:val="nil"/>
              <w:left w:val="nil"/>
              <w:bottom w:val="single" w:sz="8" w:space="0" w:color="auto"/>
              <w:right w:val="single" w:sz="8" w:space="0" w:color="auto"/>
            </w:tcBorders>
            <w:shd w:val="clear" w:color="auto" w:fill="auto"/>
            <w:noWrap/>
            <w:vAlign w:val="bottom"/>
            <w:hideMark/>
          </w:tcPr>
          <w:p w14:paraId="11EA9C8C"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0.881</w:t>
            </w:r>
          </w:p>
        </w:tc>
        <w:tc>
          <w:tcPr>
            <w:tcW w:w="1276" w:type="dxa"/>
            <w:tcBorders>
              <w:top w:val="nil"/>
              <w:left w:val="nil"/>
              <w:bottom w:val="single" w:sz="8" w:space="0" w:color="auto"/>
              <w:right w:val="single" w:sz="8" w:space="0" w:color="auto"/>
            </w:tcBorders>
            <w:shd w:val="clear" w:color="auto" w:fill="auto"/>
            <w:noWrap/>
            <w:vAlign w:val="center"/>
            <w:hideMark/>
          </w:tcPr>
          <w:p w14:paraId="11EA9C8D"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12.321</w:t>
            </w:r>
          </w:p>
        </w:tc>
      </w:tr>
      <w:tr w:rsidR="004F6379" w:rsidRPr="00F42DD3" w14:paraId="11EA9C94"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8F"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90"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Dunk South</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C91"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0.697</w:t>
            </w:r>
          </w:p>
        </w:tc>
        <w:tc>
          <w:tcPr>
            <w:tcW w:w="1134" w:type="dxa"/>
            <w:tcBorders>
              <w:top w:val="nil"/>
              <w:left w:val="nil"/>
              <w:bottom w:val="single" w:sz="8" w:space="0" w:color="auto"/>
              <w:right w:val="single" w:sz="8" w:space="0" w:color="auto"/>
            </w:tcBorders>
            <w:shd w:val="clear" w:color="auto" w:fill="auto"/>
            <w:noWrap/>
            <w:vAlign w:val="bottom"/>
            <w:hideMark/>
          </w:tcPr>
          <w:p w14:paraId="11EA9C92"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0.954</w:t>
            </w:r>
          </w:p>
        </w:tc>
        <w:tc>
          <w:tcPr>
            <w:tcW w:w="1276" w:type="dxa"/>
            <w:tcBorders>
              <w:top w:val="nil"/>
              <w:left w:val="nil"/>
              <w:bottom w:val="single" w:sz="8" w:space="0" w:color="auto"/>
              <w:right w:val="single" w:sz="8" w:space="0" w:color="auto"/>
            </w:tcBorders>
            <w:shd w:val="clear" w:color="auto" w:fill="auto"/>
            <w:noWrap/>
            <w:vAlign w:val="center"/>
            <w:hideMark/>
          </w:tcPr>
          <w:p w14:paraId="11EA9C93"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2.2</w:t>
            </w:r>
          </w:p>
        </w:tc>
      </w:tr>
      <w:tr w:rsidR="004F6379" w:rsidRPr="00F42DD3" w14:paraId="11EA9C9A"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95"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96"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Bedarra</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C97"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0.757</w:t>
            </w:r>
          </w:p>
        </w:tc>
        <w:tc>
          <w:tcPr>
            <w:tcW w:w="1134" w:type="dxa"/>
            <w:tcBorders>
              <w:top w:val="nil"/>
              <w:left w:val="nil"/>
              <w:bottom w:val="single" w:sz="8" w:space="0" w:color="auto"/>
              <w:right w:val="single" w:sz="8" w:space="0" w:color="auto"/>
            </w:tcBorders>
            <w:shd w:val="clear" w:color="auto" w:fill="auto"/>
            <w:noWrap/>
            <w:vAlign w:val="bottom"/>
            <w:hideMark/>
          </w:tcPr>
          <w:p w14:paraId="11EA9C98"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1.054</w:t>
            </w:r>
          </w:p>
        </w:tc>
        <w:tc>
          <w:tcPr>
            <w:tcW w:w="1276" w:type="dxa"/>
            <w:tcBorders>
              <w:top w:val="nil"/>
              <w:left w:val="nil"/>
              <w:bottom w:val="single" w:sz="8" w:space="0" w:color="auto"/>
              <w:right w:val="single" w:sz="8" w:space="0" w:color="auto"/>
            </w:tcBorders>
            <w:shd w:val="clear" w:color="auto" w:fill="auto"/>
            <w:noWrap/>
            <w:vAlign w:val="center"/>
            <w:hideMark/>
          </w:tcPr>
          <w:p w14:paraId="11EA9C99"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12.146</w:t>
            </w:r>
          </w:p>
        </w:tc>
      </w:tr>
      <w:tr w:rsidR="004F6379" w:rsidRPr="00F42DD3" w14:paraId="11EA9CA0" w14:textId="77777777" w:rsidTr="005B52B1">
        <w:trPr>
          <w:trHeight w:hRule="exact" w:val="255"/>
        </w:trPr>
        <w:tc>
          <w:tcPr>
            <w:tcW w:w="27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11EA9C9B"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Burdekin</w:t>
            </w:r>
          </w:p>
        </w:tc>
        <w:tc>
          <w:tcPr>
            <w:tcW w:w="1583" w:type="dxa"/>
            <w:tcBorders>
              <w:top w:val="nil"/>
              <w:left w:val="nil"/>
              <w:bottom w:val="single" w:sz="8" w:space="0" w:color="auto"/>
              <w:right w:val="single" w:sz="8" w:space="0" w:color="auto"/>
            </w:tcBorders>
            <w:shd w:val="clear" w:color="auto" w:fill="auto"/>
            <w:noWrap/>
            <w:vAlign w:val="bottom"/>
            <w:hideMark/>
          </w:tcPr>
          <w:p w14:paraId="11EA9C9C"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Palms East</w:t>
            </w:r>
          </w:p>
        </w:tc>
        <w:tc>
          <w:tcPr>
            <w:tcW w:w="826" w:type="dxa"/>
            <w:tcBorders>
              <w:top w:val="nil"/>
              <w:left w:val="nil"/>
              <w:bottom w:val="single" w:sz="8" w:space="0" w:color="auto"/>
              <w:right w:val="single" w:sz="8" w:space="0" w:color="auto"/>
            </w:tcBorders>
            <w:shd w:val="clear" w:color="auto" w:fill="auto"/>
            <w:noWrap/>
            <w:vAlign w:val="bottom"/>
            <w:hideMark/>
          </w:tcPr>
          <w:p w14:paraId="11EA9C9D"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0.300</w:t>
            </w:r>
          </w:p>
        </w:tc>
        <w:tc>
          <w:tcPr>
            <w:tcW w:w="1134" w:type="dxa"/>
            <w:tcBorders>
              <w:top w:val="nil"/>
              <w:left w:val="nil"/>
              <w:bottom w:val="single" w:sz="8" w:space="0" w:color="auto"/>
              <w:right w:val="single" w:sz="8" w:space="0" w:color="auto"/>
            </w:tcBorders>
            <w:shd w:val="clear" w:color="auto" w:fill="auto"/>
            <w:noWrap/>
            <w:vAlign w:val="bottom"/>
            <w:hideMark/>
          </w:tcPr>
          <w:p w14:paraId="11EA9C9E"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0.601</w:t>
            </w:r>
          </w:p>
        </w:tc>
        <w:tc>
          <w:tcPr>
            <w:tcW w:w="1276" w:type="dxa"/>
            <w:tcBorders>
              <w:top w:val="nil"/>
              <w:left w:val="nil"/>
              <w:bottom w:val="single" w:sz="8" w:space="0" w:color="auto"/>
              <w:right w:val="single" w:sz="8" w:space="0" w:color="auto"/>
            </w:tcBorders>
            <w:shd w:val="clear" w:color="auto" w:fill="auto"/>
            <w:noWrap/>
            <w:vAlign w:val="center"/>
            <w:hideMark/>
          </w:tcPr>
          <w:p w14:paraId="11EA9C9F"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0.48</w:t>
            </w:r>
          </w:p>
        </w:tc>
      </w:tr>
      <w:tr w:rsidR="004F6379" w:rsidRPr="00F42DD3" w14:paraId="11EA9CA6"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A1"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A2"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Havannah North</w:t>
            </w:r>
          </w:p>
        </w:tc>
        <w:tc>
          <w:tcPr>
            <w:tcW w:w="826" w:type="dxa"/>
            <w:tcBorders>
              <w:top w:val="nil"/>
              <w:left w:val="nil"/>
              <w:bottom w:val="single" w:sz="8" w:space="0" w:color="auto"/>
              <w:right w:val="single" w:sz="8" w:space="0" w:color="auto"/>
            </w:tcBorders>
            <w:shd w:val="clear" w:color="auto" w:fill="auto"/>
            <w:noWrap/>
            <w:vAlign w:val="bottom"/>
            <w:hideMark/>
          </w:tcPr>
          <w:p w14:paraId="11EA9CA3"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0.390</w:t>
            </w:r>
          </w:p>
        </w:tc>
        <w:tc>
          <w:tcPr>
            <w:tcW w:w="1134" w:type="dxa"/>
            <w:tcBorders>
              <w:top w:val="nil"/>
              <w:left w:val="nil"/>
              <w:bottom w:val="single" w:sz="8" w:space="0" w:color="auto"/>
              <w:right w:val="single" w:sz="8" w:space="0" w:color="auto"/>
            </w:tcBorders>
            <w:shd w:val="clear" w:color="auto" w:fill="auto"/>
            <w:noWrap/>
            <w:vAlign w:val="bottom"/>
            <w:hideMark/>
          </w:tcPr>
          <w:p w14:paraId="11EA9CA4"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0.694</w:t>
            </w:r>
          </w:p>
        </w:tc>
        <w:tc>
          <w:tcPr>
            <w:tcW w:w="1276" w:type="dxa"/>
            <w:tcBorders>
              <w:top w:val="nil"/>
              <w:left w:val="nil"/>
              <w:bottom w:val="single" w:sz="8" w:space="0" w:color="auto"/>
              <w:right w:val="single" w:sz="8" w:space="0" w:color="auto"/>
            </w:tcBorders>
            <w:shd w:val="clear" w:color="auto" w:fill="auto"/>
            <w:noWrap/>
            <w:vAlign w:val="center"/>
            <w:hideMark/>
          </w:tcPr>
          <w:p w14:paraId="11EA9CA5"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7.1</w:t>
            </w:r>
          </w:p>
        </w:tc>
      </w:tr>
      <w:tr w:rsidR="004F6379" w:rsidRPr="00F42DD3" w14:paraId="11EA9CAC"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A7"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A8"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Palms West</w:t>
            </w:r>
          </w:p>
        </w:tc>
        <w:tc>
          <w:tcPr>
            <w:tcW w:w="826" w:type="dxa"/>
            <w:tcBorders>
              <w:top w:val="nil"/>
              <w:left w:val="nil"/>
              <w:bottom w:val="single" w:sz="8" w:space="0" w:color="auto"/>
              <w:right w:val="single" w:sz="8" w:space="0" w:color="auto"/>
            </w:tcBorders>
            <w:shd w:val="clear" w:color="auto" w:fill="auto"/>
            <w:noWrap/>
            <w:vAlign w:val="bottom"/>
            <w:hideMark/>
          </w:tcPr>
          <w:p w14:paraId="11EA9CA9"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0.404</w:t>
            </w:r>
          </w:p>
        </w:tc>
        <w:tc>
          <w:tcPr>
            <w:tcW w:w="1134" w:type="dxa"/>
            <w:tcBorders>
              <w:top w:val="nil"/>
              <w:left w:val="nil"/>
              <w:bottom w:val="single" w:sz="8" w:space="0" w:color="auto"/>
              <w:right w:val="single" w:sz="8" w:space="0" w:color="auto"/>
            </w:tcBorders>
            <w:shd w:val="clear" w:color="auto" w:fill="auto"/>
            <w:noWrap/>
            <w:vAlign w:val="bottom"/>
            <w:hideMark/>
          </w:tcPr>
          <w:p w14:paraId="11EA9CAA"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0.667</w:t>
            </w:r>
          </w:p>
        </w:tc>
        <w:tc>
          <w:tcPr>
            <w:tcW w:w="1276" w:type="dxa"/>
            <w:tcBorders>
              <w:top w:val="nil"/>
              <w:left w:val="nil"/>
              <w:bottom w:val="single" w:sz="8" w:space="0" w:color="auto"/>
              <w:right w:val="single" w:sz="8" w:space="0" w:color="auto"/>
            </w:tcBorders>
            <w:shd w:val="clear" w:color="auto" w:fill="auto"/>
            <w:noWrap/>
            <w:vAlign w:val="center"/>
            <w:hideMark/>
          </w:tcPr>
          <w:p w14:paraId="11EA9CAB"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5.59</w:t>
            </w:r>
          </w:p>
        </w:tc>
      </w:tr>
      <w:tr w:rsidR="004F6379" w:rsidRPr="00F42DD3" w14:paraId="11EA9CB2"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AD"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AE"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Havannah</w:t>
            </w:r>
          </w:p>
        </w:tc>
        <w:tc>
          <w:tcPr>
            <w:tcW w:w="826" w:type="dxa"/>
            <w:tcBorders>
              <w:top w:val="nil"/>
              <w:left w:val="nil"/>
              <w:bottom w:val="single" w:sz="8" w:space="0" w:color="auto"/>
              <w:right w:val="single" w:sz="8" w:space="0" w:color="auto"/>
            </w:tcBorders>
            <w:shd w:val="clear" w:color="auto" w:fill="auto"/>
            <w:noWrap/>
            <w:vAlign w:val="bottom"/>
            <w:hideMark/>
          </w:tcPr>
          <w:p w14:paraId="11EA9CAF"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0.415</w:t>
            </w:r>
          </w:p>
        </w:tc>
        <w:tc>
          <w:tcPr>
            <w:tcW w:w="1134" w:type="dxa"/>
            <w:tcBorders>
              <w:top w:val="nil"/>
              <w:left w:val="nil"/>
              <w:bottom w:val="single" w:sz="8" w:space="0" w:color="auto"/>
              <w:right w:val="single" w:sz="8" w:space="0" w:color="auto"/>
            </w:tcBorders>
            <w:shd w:val="clear" w:color="auto" w:fill="auto"/>
            <w:noWrap/>
            <w:vAlign w:val="bottom"/>
            <w:hideMark/>
          </w:tcPr>
          <w:p w14:paraId="11EA9CB0"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0.700</w:t>
            </w:r>
          </w:p>
        </w:tc>
        <w:tc>
          <w:tcPr>
            <w:tcW w:w="1276" w:type="dxa"/>
            <w:tcBorders>
              <w:top w:val="nil"/>
              <w:left w:val="nil"/>
              <w:bottom w:val="single" w:sz="8" w:space="0" w:color="auto"/>
              <w:right w:val="single" w:sz="8" w:space="0" w:color="auto"/>
            </w:tcBorders>
            <w:shd w:val="clear" w:color="auto" w:fill="auto"/>
            <w:noWrap/>
            <w:vAlign w:val="center"/>
            <w:hideMark/>
          </w:tcPr>
          <w:p w14:paraId="11EA9CB1"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7.049</w:t>
            </w:r>
          </w:p>
        </w:tc>
      </w:tr>
      <w:tr w:rsidR="004F6379" w:rsidRPr="00F42DD3" w14:paraId="11EA9CB8"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B3"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B4" w14:textId="5C8D8D59" w:rsidR="004F6379" w:rsidRPr="00F42DD3" w:rsidRDefault="004F6379" w:rsidP="00F94921">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Pandora</w:t>
            </w:r>
            <w:r w:rsidR="00F94921">
              <w:rPr>
                <w:rFonts w:ascii="Arial Narrow" w:hAnsi="Arial Narrow"/>
                <w:color w:val="000000"/>
                <w:sz w:val="20"/>
                <w:lang w:val="en-AU" w:eastAsia="en-AU"/>
              </w:rPr>
              <w:t xml:space="preserve"> North</w:t>
            </w:r>
            <w:r w:rsidRPr="00F42DD3">
              <w:rPr>
                <w:rFonts w:ascii="Arial Narrow" w:hAnsi="Arial Narrow"/>
                <w:color w:val="000000"/>
                <w:sz w:val="20"/>
                <w:lang w:val="en-AU" w:eastAsia="en-AU"/>
              </w:rPr>
              <w:t xml:space="preserve"> North</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CB5"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0.492</w:t>
            </w:r>
          </w:p>
        </w:tc>
        <w:tc>
          <w:tcPr>
            <w:tcW w:w="1134" w:type="dxa"/>
            <w:tcBorders>
              <w:top w:val="nil"/>
              <w:left w:val="nil"/>
              <w:bottom w:val="single" w:sz="8" w:space="0" w:color="auto"/>
              <w:right w:val="single" w:sz="8" w:space="0" w:color="auto"/>
            </w:tcBorders>
            <w:shd w:val="clear" w:color="auto" w:fill="auto"/>
            <w:noWrap/>
            <w:vAlign w:val="bottom"/>
            <w:hideMark/>
          </w:tcPr>
          <w:p w14:paraId="11EA9CB6"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0.780</w:t>
            </w:r>
          </w:p>
        </w:tc>
        <w:tc>
          <w:tcPr>
            <w:tcW w:w="1276" w:type="dxa"/>
            <w:tcBorders>
              <w:top w:val="nil"/>
              <w:left w:val="nil"/>
              <w:bottom w:val="single" w:sz="8" w:space="0" w:color="auto"/>
              <w:right w:val="single" w:sz="8" w:space="0" w:color="auto"/>
            </w:tcBorders>
            <w:shd w:val="clear" w:color="auto" w:fill="auto"/>
            <w:noWrap/>
            <w:vAlign w:val="center"/>
            <w:hideMark/>
          </w:tcPr>
          <w:p w14:paraId="11EA9CB7"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46</w:t>
            </w:r>
          </w:p>
        </w:tc>
      </w:tr>
      <w:tr w:rsidR="004F6379" w:rsidRPr="00F42DD3" w14:paraId="11EA9CBE"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B9"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BA"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Pandora</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CBB"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0.507</w:t>
            </w:r>
          </w:p>
        </w:tc>
        <w:tc>
          <w:tcPr>
            <w:tcW w:w="1134" w:type="dxa"/>
            <w:tcBorders>
              <w:top w:val="nil"/>
              <w:left w:val="nil"/>
              <w:bottom w:val="single" w:sz="8" w:space="0" w:color="auto"/>
              <w:right w:val="single" w:sz="8" w:space="0" w:color="auto"/>
            </w:tcBorders>
            <w:shd w:val="clear" w:color="auto" w:fill="auto"/>
            <w:noWrap/>
            <w:vAlign w:val="bottom"/>
            <w:hideMark/>
          </w:tcPr>
          <w:p w14:paraId="11EA9CBC"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0.766</w:t>
            </w:r>
          </w:p>
        </w:tc>
        <w:tc>
          <w:tcPr>
            <w:tcW w:w="1276" w:type="dxa"/>
            <w:tcBorders>
              <w:top w:val="nil"/>
              <w:left w:val="nil"/>
              <w:bottom w:val="single" w:sz="8" w:space="0" w:color="auto"/>
              <w:right w:val="single" w:sz="8" w:space="0" w:color="auto"/>
            </w:tcBorders>
            <w:shd w:val="clear" w:color="auto" w:fill="auto"/>
            <w:noWrap/>
            <w:vAlign w:val="center"/>
            <w:hideMark/>
          </w:tcPr>
          <w:p w14:paraId="11EA9CBD"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4.141</w:t>
            </w:r>
          </w:p>
        </w:tc>
      </w:tr>
      <w:tr w:rsidR="004F6379" w:rsidRPr="00F42DD3" w14:paraId="11EA9CC4"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BF"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C0"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Lady Elliot</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CC1"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0.693</w:t>
            </w:r>
          </w:p>
        </w:tc>
        <w:tc>
          <w:tcPr>
            <w:tcW w:w="1134" w:type="dxa"/>
            <w:tcBorders>
              <w:top w:val="nil"/>
              <w:left w:val="nil"/>
              <w:bottom w:val="single" w:sz="8" w:space="0" w:color="auto"/>
              <w:right w:val="single" w:sz="8" w:space="0" w:color="auto"/>
            </w:tcBorders>
            <w:shd w:val="clear" w:color="auto" w:fill="auto"/>
            <w:noWrap/>
            <w:vAlign w:val="bottom"/>
            <w:hideMark/>
          </w:tcPr>
          <w:p w14:paraId="11EA9CC2"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1.171</w:t>
            </w:r>
          </w:p>
        </w:tc>
        <w:tc>
          <w:tcPr>
            <w:tcW w:w="1276" w:type="dxa"/>
            <w:tcBorders>
              <w:top w:val="nil"/>
              <w:left w:val="nil"/>
              <w:bottom w:val="single" w:sz="8" w:space="0" w:color="auto"/>
              <w:right w:val="single" w:sz="8" w:space="0" w:color="auto"/>
            </w:tcBorders>
            <w:shd w:val="clear" w:color="auto" w:fill="auto"/>
            <w:noWrap/>
            <w:vAlign w:val="center"/>
            <w:hideMark/>
          </w:tcPr>
          <w:p w14:paraId="11EA9CC3"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14.474</w:t>
            </w:r>
          </w:p>
        </w:tc>
      </w:tr>
      <w:tr w:rsidR="004F6379" w:rsidRPr="00F42DD3" w14:paraId="11EA9CCA"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C5"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C6"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Magnetic</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CC7"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0.781</w:t>
            </w:r>
          </w:p>
        </w:tc>
        <w:tc>
          <w:tcPr>
            <w:tcW w:w="1134" w:type="dxa"/>
            <w:tcBorders>
              <w:top w:val="nil"/>
              <w:left w:val="nil"/>
              <w:bottom w:val="single" w:sz="8" w:space="0" w:color="auto"/>
              <w:right w:val="single" w:sz="8" w:space="0" w:color="auto"/>
            </w:tcBorders>
            <w:shd w:val="clear" w:color="auto" w:fill="auto"/>
            <w:noWrap/>
            <w:vAlign w:val="bottom"/>
            <w:hideMark/>
          </w:tcPr>
          <w:p w14:paraId="11EA9CC8"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1.893</w:t>
            </w:r>
          </w:p>
        </w:tc>
        <w:tc>
          <w:tcPr>
            <w:tcW w:w="1276" w:type="dxa"/>
            <w:tcBorders>
              <w:top w:val="nil"/>
              <w:left w:val="nil"/>
              <w:bottom w:val="single" w:sz="8" w:space="0" w:color="auto"/>
              <w:right w:val="single" w:sz="8" w:space="0" w:color="auto"/>
            </w:tcBorders>
            <w:shd w:val="clear" w:color="auto" w:fill="auto"/>
            <w:noWrap/>
            <w:vAlign w:val="center"/>
            <w:hideMark/>
          </w:tcPr>
          <w:p w14:paraId="11EA9CC9"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9.963</w:t>
            </w:r>
          </w:p>
        </w:tc>
      </w:tr>
      <w:tr w:rsidR="004F6379" w:rsidRPr="00F42DD3" w14:paraId="11EA9CD0" w14:textId="77777777" w:rsidTr="005B52B1">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1EA9CCB"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CC"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Middle Rf</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CCD"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1.025</w:t>
            </w:r>
          </w:p>
        </w:tc>
        <w:tc>
          <w:tcPr>
            <w:tcW w:w="1134" w:type="dxa"/>
            <w:tcBorders>
              <w:top w:val="nil"/>
              <w:left w:val="nil"/>
              <w:bottom w:val="single" w:sz="8" w:space="0" w:color="auto"/>
              <w:right w:val="single" w:sz="8" w:space="0" w:color="auto"/>
            </w:tcBorders>
            <w:shd w:val="clear" w:color="auto" w:fill="auto"/>
            <w:noWrap/>
            <w:vAlign w:val="bottom"/>
            <w:hideMark/>
          </w:tcPr>
          <w:p w14:paraId="11EA9CCE"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3.361</w:t>
            </w:r>
          </w:p>
        </w:tc>
        <w:tc>
          <w:tcPr>
            <w:tcW w:w="1276" w:type="dxa"/>
            <w:tcBorders>
              <w:top w:val="nil"/>
              <w:left w:val="nil"/>
              <w:bottom w:val="single" w:sz="8" w:space="0" w:color="auto"/>
              <w:right w:val="single" w:sz="8" w:space="0" w:color="auto"/>
            </w:tcBorders>
            <w:shd w:val="clear" w:color="auto" w:fill="auto"/>
            <w:noWrap/>
            <w:vAlign w:val="center"/>
            <w:hideMark/>
          </w:tcPr>
          <w:p w14:paraId="11EA9CCF"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51.539</w:t>
            </w:r>
          </w:p>
        </w:tc>
      </w:tr>
      <w:tr w:rsidR="004F6379" w:rsidRPr="00F42DD3" w14:paraId="11EA9CD6" w14:textId="77777777" w:rsidTr="005B52B1">
        <w:trPr>
          <w:trHeight w:hRule="exact" w:val="255"/>
        </w:trPr>
        <w:tc>
          <w:tcPr>
            <w:tcW w:w="2709" w:type="dxa"/>
            <w:vMerge w:val="restart"/>
            <w:tcBorders>
              <w:top w:val="nil"/>
              <w:left w:val="single" w:sz="8" w:space="0" w:color="auto"/>
              <w:right w:val="single" w:sz="8" w:space="0" w:color="auto"/>
            </w:tcBorders>
            <w:shd w:val="clear" w:color="auto" w:fill="auto"/>
            <w:noWrap/>
            <w:vAlign w:val="center"/>
            <w:hideMark/>
          </w:tcPr>
          <w:p w14:paraId="11EA9CD1"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Mackay Whitsunday</w:t>
            </w:r>
          </w:p>
        </w:tc>
        <w:tc>
          <w:tcPr>
            <w:tcW w:w="1583" w:type="dxa"/>
            <w:tcBorders>
              <w:top w:val="nil"/>
              <w:left w:val="nil"/>
              <w:bottom w:val="single" w:sz="8" w:space="0" w:color="auto"/>
              <w:right w:val="single" w:sz="8" w:space="0" w:color="auto"/>
            </w:tcBorders>
            <w:shd w:val="clear" w:color="auto" w:fill="auto"/>
            <w:noWrap/>
            <w:vAlign w:val="bottom"/>
            <w:hideMark/>
          </w:tcPr>
          <w:p w14:paraId="11EA9CD2"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Hayman</w:t>
            </w:r>
          </w:p>
        </w:tc>
        <w:tc>
          <w:tcPr>
            <w:tcW w:w="826" w:type="dxa"/>
            <w:tcBorders>
              <w:top w:val="nil"/>
              <w:left w:val="nil"/>
              <w:bottom w:val="single" w:sz="8" w:space="0" w:color="auto"/>
              <w:right w:val="single" w:sz="8" w:space="0" w:color="auto"/>
            </w:tcBorders>
            <w:shd w:val="clear" w:color="auto" w:fill="auto"/>
            <w:noWrap/>
            <w:vAlign w:val="bottom"/>
            <w:hideMark/>
          </w:tcPr>
          <w:p w14:paraId="11EA9CD3"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0.305</w:t>
            </w:r>
          </w:p>
        </w:tc>
        <w:tc>
          <w:tcPr>
            <w:tcW w:w="1134" w:type="dxa"/>
            <w:tcBorders>
              <w:top w:val="nil"/>
              <w:left w:val="nil"/>
              <w:bottom w:val="single" w:sz="8" w:space="0" w:color="auto"/>
              <w:right w:val="single" w:sz="8" w:space="0" w:color="auto"/>
            </w:tcBorders>
            <w:shd w:val="clear" w:color="auto" w:fill="auto"/>
            <w:noWrap/>
            <w:vAlign w:val="bottom"/>
            <w:hideMark/>
          </w:tcPr>
          <w:p w14:paraId="11EA9CD4"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0.739</w:t>
            </w:r>
          </w:p>
        </w:tc>
        <w:tc>
          <w:tcPr>
            <w:tcW w:w="1276" w:type="dxa"/>
            <w:tcBorders>
              <w:top w:val="nil"/>
              <w:left w:val="nil"/>
              <w:bottom w:val="single" w:sz="8" w:space="0" w:color="auto"/>
              <w:right w:val="single" w:sz="8" w:space="0" w:color="auto"/>
            </w:tcBorders>
            <w:shd w:val="clear" w:color="auto" w:fill="auto"/>
            <w:noWrap/>
            <w:vAlign w:val="center"/>
            <w:hideMark/>
          </w:tcPr>
          <w:p w14:paraId="11EA9CD5"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8</w:t>
            </w:r>
          </w:p>
        </w:tc>
      </w:tr>
      <w:tr w:rsidR="004F6379" w:rsidRPr="00F42DD3" w14:paraId="11EA9CDC" w14:textId="77777777" w:rsidTr="005B52B1">
        <w:trPr>
          <w:trHeight w:hRule="exact" w:val="255"/>
        </w:trPr>
        <w:tc>
          <w:tcPr>
            <w:tcW w:w="2709" w:type="dxa"/>
            <w:vMerge/>
            <w:tcBorders>
              <w:left w:val="single" w:sz="8" w:space="0" w:color="auto"/>
              <w:right w:val="single" w:sz="8" w:space="0" w:color="auto"/>
            </w:tcBorders>
            <w:shd w:val="clear" w:color="auto" w:fill="auto"/>
            <w:vAlign w:val="center"/>
            <w:hideMark/>
          </w:tcPr>
          <w:p w14:paraId="11EA9CD7"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D8"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Langford</w:t>
            </w:r>
          </w:p>
        </w:tc>
        <w:tc>
          <w:tcPr>
            <w:tcW w:w="826" w:type="dxa"/>
            <w:tcBorders>
              <w:top w:val="nil"/>
              <w:left w:val="nil"/>
              <w:bottom w:val="single" w:sz="8" w:space="0" w:color="auto"/>
              <w:right w:val="single" w:sz="8" w:space="0" w:color="auto"/>
            </w:tcBorders>
            <w:shd w:val="clear" w:color="auto" w:fill="auto"/>
            <w:noWrap/>
            <w:vAlign w:val="bottom"/>
            <w:hideMark/>
          </w:tcPr>
          <w:p w14:paraId="11EA9CD9"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0.320</w:t>
            </w:r>
          </w:p>
        </w:tc>
        <w:tc>
          <w:tcPr>
            <w:tcW w:w="1134" w:type="dxa"/>
            <w:tcBorders>
              <w:top w:val="nil"/>
              <w:left w:val="nil"/>
              <w:bottom w:val="single" w:sz="8" w:space="0" w:color="auto"/>
              <w:right w:val="single" w:sz="8" w:space="0" w:color="auto"/>
            </w:tcBorders>
            <w:shd w:val="clear" w:color="auto" w:fill="auto"/>
            <w:noWrap/>
            <w:vAlign w:val="bottom"/>
            <w:hideMark/>
          </w:tcPr>
          <w:p w14:paraId="11EA9CDA"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0.860</w:t>
            </w:r>
          </w:p>
        </w:tc>
        <w:tc>
          <w:tcPr>
            <w:tcW w:w="1276" w:type="dxa"/>
            <w:tcBorders>
              <w:top w:val="nil"/>
              <w:left w:val="nil"/>
              <w:bottom w:val="single" w:sz="8" w:space="0" w:color="auto"/>
              <w:right w:val="single" w:sz="8" w:space="0" w:color="auto"/>
            </w:tcBorders>
            <w:shd w:val="clear" w:color="auto" w:fill="auto"/>
            <w:noWrap/>
            <w:vAlign w:val="center"/>
            <w:hideMark/>
          </w:tcPr>
          <w:p w14:paraId="11EA9CDB"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46</w:t>
            </w:r>
          </w:p>
        </w:tc>
      </w:tr>
      <w:tr w:rsidR="004F6379" w:rsidRPr="00F42DD3" w14:paraId="11EA9CE2" w14:textId="77777777" w:rsidTr="005B52B1">
        <w:trPr>
          <w:trHeight w:hRule="exact" w:val="255"/>
        </w:trPr>
        <w:tc>
          <w:tcPr>
            <w:tcW w:w="2709" w:type="dxa"/>
            <w:vMerge/>
            <w:tcBorders>
              <w:left w:val="single" w:sz="8" w:space="0" w:color="auto"/>
              <w:right w:val="single" w:sz="8" w:space="0" w:color="auto"/>
            </w:tcBorders>
            <w:shd w:val="clear" w:color="auto" w:fill="auto"/>
            <w:vAlign w:val="center"/>
            <w:hideMark/>
          </w:tcPr>
          <w:p w14:paraId="11EA9CDD"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DE"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Border</w:t>
            </w:r>
          </w:p>
        </w:tc>
        <w:tc>
          <w:tcPr>
            <w:tcW w:w="826" w:type="dxa"/>
            <w:tcBorders>
              <w:top w:val="nil"/>
              <w:left w:val="nil"/>
              <w:bottom w:val="single" w:sz="8" w:space="0" w:color="auto"/>
              <w:right w:val="single" w:sz="8" w:space="0" w:color="auto"/>
            </w:tcBorders>
            <w:shd w:val="clear" w:color="auto" w:fill="auto"/>
            <w:noWrap/>
            <w:vAlign w:val="bottom"/>
            <w:hideMark/>
          </w:tcPr>
          <w:p w14:paraId="11EA9CDF"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0.338</w:t>
            </w:r>
          </w:p>
        </w:tc>
        <w:tc>
          <w:tcPr>
            <w:tcW w:w="1134" w:type="dxa"/>
            <w:tcBorders>
              <w:top w:val="nil"/>
              <w:left w:val="nil"/>
              <w:bottom w:val="single" w:sz="8" w:space="0" w:color="auto"/>
              <w:right w:val="single" w:sz="8" w:space="0" w:color="auto"/>
            </w:tcBorders>
            <w:shd w:val="clear" w:color="auto" w:fill="auto"/>
            <w:noWrap/>
            <w:vAlign w:val="bottom"/>
            <w:hideMark/>
          </w:tcPr>
          <w:p w14:paraId="11EA9CE0"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0.980</w:t>
            </w:r>
          </w:p>
        </w:tc>
        <w:tc>
          <w:tcPr>
            <w:tcW w:w="1276" w:type="dxa"/>
            <w:tcBorders>
              <w:top w:val="nil"/>
              <w:left w:val="nil"/>
              <w:bottom w:val="single" w:sz="8" w:space="0" w:color="auto"/>
              <w:right w:val="single" w:sz="8" w:space="0" w:color="auto"/>
            </w:tcBorders>
            <w:shd w:val="clear" w:color="auto" w:fill="auto"/>
            <w:noWrap/>
            <w:vAlign w:val="center"/>
            <w:hideMark/>
          </w:tcPr>
          <w:p w14:paraId="11EA9CE1"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12.5</w:t>
            </w:r>
          </w:p>
        </w:tc>
      </w:tr>
      <w:tr w:rsidR="004F6379" w:rsidRPr="00F42DD3" w14:paraId="11EA9CE8" w14:textId="77777777" w:rsidTr="005B52B1">
        <w:trPr>
          <w:trHeight w:hRule="exact" w:val="255"/>
        </w:trPr>
        <w:tc>
          <w:tcPr>
            <w:tcW w:w="2709" w:type="dxa"/>
            <w:vMerge/>
            <w:tcBorders>
              <w:left w:val="single" w:sz="8" w:space="0" w:color="auto"/>
              <w:right w:val="single" w:sz="8" w:space="0" w:color="auto"/>
            </w:tcBorders>
            <w:shd w:val="clear" w:color="auto" w:fill="auto"/>
            <w:vAlign w:val="center"/>
            <w:hideMark/>
          </w:tcPr>
          <w:p w14:paraId="11EA9CE3"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E4"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Hook</w:t>
            </w:r>
          </w:p>
        </w:tc>
        <w:tc>
          <w:tcPr>
            <w:tcW w:w="826" w:type="dxa"/>
            <w:tcBorders>
              <w:top w:val="nil"/>
              <w:left w:val="nil"/>
              <w:bottom w:val="single" w:sz="8" w:space="0" w:color="auto"/>
              <w:right w:val="single" w:sz="8" w:space="0" w:color="auto"/>
            </w:tcBorders>
            <w:shd w:val="clear" w:color="auto" w:fill="auto"/>
            <w:noWrap/>
            <w:vAlign w:val="bottom"/>
            <w:hideMark/>
          </w:tcPr>
          <w:p w14:paraId="11EA9CE5"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0.343</w:t>
            </w:r>
          </w:p>
        </w:tc>
        <w:tc>
          <w:tcPr>
            <w:tcW w:w="1134" w:type="dxa"/>
            <w:tcBorders>
              <w:top w:val="nil"/>
              <w:left w:val="nil"/>
              <w:bottom w:val="single" w:sz="8" w:space="0" w:color="auto"/>
              <w:right w:val="single" w:sz="8" w:space="0" w:color="auto"/>
            </w:tcBorders>
            <w:shd w:val="clear" w:color="auto" w:fill="auto"/>
            <w:noWrap/>
            <w:vAlign w:val="bottom"/>
            <w:hideMark/>
          </w:tcPr>
          <w:p w14:paraId="11EA9CE6"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0.990</w:t>
            </w:r>
          </w:p>
        </w:tc>
        <w:tc>
          <w:tcPr>
            <w:tcW w:w="1276" w:type="dxa"/>
            <w:tcBorders>
              <w:top w:val="nil"/>
              <w:left w:val="nil"/>
              <w:bottom w:val="single" w:sz="8" w:space="0" w:color="auto"/>
              <w:right w:val="single" w:sz="8" w:space="0" w:color="auto"/>
            </w:tcBorders>
            <w:shd w:val="clear" w:color="auto" w:fill="auto"/>
            <w:noWrap/>
            <w:vAlign w:val="center"/>
            <w:hideMark/>
          </w:tcPr>
          <w:p w14:paraId="11EA9CE7"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35.636</w:t>
            </w:r>
          </w:p>
        </w:tc>
      </w:tr>
      <w:tr w:rsidR="004F6379" w:rsidRPr="00F42DD3" w14:paraId="11EA9CEE" w14:textId="77777777" w:rsidTr="005B52B1">
        <w:trPr>
          <w:trHeight w:hRule="exact" w:val="255"/>
        </w:trPr>
        <w:tc>
          <w:tcPr>
            <w:tcW w:w="2709" w:type="dxa"/>
            <w:vMerge/>
            <w:tcBorders>
              <w:left w:val="single" w:sz="8" w:space="0" w:color="auto"/>
              <w:right w:val="single" w:sz="8" w:space="0" w:color="auto"/>
            </w:tcBorders>
            <w:shd w:val="clear" w:color="auto" w:fill="auto"/>
            <w:vAlign w:val="center"/>
            <w:hideMark/>
          </w:tcPr>
          <w:p w14:paraId="11EA9CE9"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EA"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Double Cone</w:t>
            </w:r>
          </w:p>
        </w:tc>
        <w:tc>
          <w:tcPr>
            <w:tcW w:w="826" w:type="dxa"/>
            <w:tcBorders>
              <w:top w:val="nil"/>
              <w:left w:val="nil"/>
              <w:bottom w:val="single" w:sz="8" w:space="0" w:color="auto"/>
              <w:right w:val="single" w:sz="8" w:space="0" w:color="auto"/>
            </w:tcBorders>
            <w:shd w:val="clear" w:color="auto" w:fill="auto"/>
            <w:noWrap/>
            <w:vAlign w:val="bottom"/>
            <w:hideMark/>
          </w:tcPr>
          <w:p w14:paraId="11EA9CEB"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0.360</w:t>
            </w:r>
          </w:p>
        </w:tc>
        <w:tc>
          <w:tcPr>
            <w:tcW w:w="1134" w:type="dxa"/>
            <w:tcBorders>
              <w:top w:val="nil"/>
              <w:left w:val="nil"/>
              <w:bottom w:val="single" w:sz="8" w:space="0" w:color="auto"/>
              <w:right w:val="single" w:sz="8" w:space="0" w:color="auto"/>
            </w:tcBorders>
            <w:shd w:val="clear" w:color="auto" w:fill="auto"/>
            <w:noWrap/>
            <w:vAlign w:val="bottom"/>
            <w:hideMark/>
          </w:tcPr>
          <w:p w14:paraId="11EA9CEC"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1.127</w:t>
            </w:r>
          </w:p>
        </w:tc>
        <w:tc>
          <w:tcPr>
            <w:tcW w:w="1276" w:type="dxa"/>
            <w:tcBorders>
              <w:top w:val="nil"/>
              <w:left w:val="nil"/>
              <w:bottom w:val="single" w:sz="8" w:space="0" w:color="auto"/>
              <w:right w:val="single" w:sz="8" w:space="0" w:color="auto"/>
            </w:tcBorders>
            <w:shd w:val="clear" w:color="auto" w:fill="auto"/>
            <w:noWrap/>
            <w:vAlign w:val="center"/>
            <w:hideMark/>
          </w:tcPr>
          <w:p w14:paraId="11EA9CED"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36.103</w:t>
            </w:r>
          </w:p>
        </w:tc>
      </w:tr>
      <w:tr w:rsidR="004F6379" w:rsidRPr="00F42DD3" w14:paraId="11EA9CF4" w14:textId="77777777" w:rsidTr="005B52B1">
        <w:trPr>
          <w:trHeight w:hRule="exact" w:val="255"/>
        </w:trPr>
        <w:tc>
          <w:tcPr>
            <w:tcW w:w="2709" w:type="dxa"/>
            <w:vMerge/>
            <w:tcBorders>
              <w:left w:val="single" w:sz="8" w:space="0" w:color="auto"/>
              <w:right w:val="single" w:sz="8" w:space="0" w:color="auto"/>
            </w:tcBorders>
            <w:shd w:val="clear" w:color="auto" w:fill="auto"/>
            <w:vAlign w:val="center"/>
            <w:hideMark/>
          </w:tcPr>
          <w:p w14:paraId="11EA9CEF"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F0"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Seaforth</w:t>
            </w:r>
          </w:p>
        </w:tc>
        <w:tc>
          <w:tcPr>
            <w:tcW w:w="826" w:type="dxa"/>
            <w:tcBorders>
              <w:top w:val="nil"/>
              <w:left w:val="nil"/>
              <w:bottom w:val="single" w:sz="8" w:space="0" w:color="auto"/>
              <w:right w:val="single" w:sz="8" w:space="0" w:color="auto"/>
            </w:tcBorders>
            <w:shd w:val="clear" w:color="auto" w:fill="auto"/>
            <w:noWrap/>
            <w:vAlign w:val="bottom"/>
            <w:hideMark/>
          </w:tcPr>
          <w:p w14:paraId="11EA9CF1"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0.415</w:t>
            </w:r>
          </w:p>
        </w:tc>
        <w:tc>
          <w:tcPr>
            <w:tcW w:w="1134" w:type="dxa"/>
            <w:tcBorders>
              <w:top w:val="nil"/>
              <w:left w:val="nil"/>
              <w:bottom w:val="single" w:sz="8" w:space="0" w:color="auto"/>
              <w:right w:val="single" w:sz="8" w:space="0" w:color="auto"/>
            </w:tcBorders>
            <w:shd w:val="clear" w:color="auto" w:fill="auto"/>
            <w:noWrap/>
            <w:vAlign w:val="bottom"/>
            <w:hideMark/>
          </w:tcPr>
          <w:p w14:paraId="11EA9CF2"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1.146</w:t>
            </w:r>
          </w:p>
        </w:tc>
        <w:tc>
          <w:tcPr>
            <w:tcW w:w="1276" w:type="dxa"/>
            <w:tcBorders>
              <w:top w:val="nil"/>
              <w:left w:val="nil"/>
              <w:bottom w:val="single" w:sz="8" w:space="0" w:color="auto"/>
              <w:right w:val="single" w:sz="8" w:space="0" w:color="auto"/>
            </w:tcBorders>
            <w:shd w:val="clear" w:color="auto" w:fill="auto"/>
            <w:noWrap/>
            <w:vAlign w:val="center"/>
            <w:hideMark/>
          </w:tcPr>
          <w:p w14:paraId="11EA9CF3"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37.121</w:t>
            </w:r>
          </w:p>
        </w:tc>
      </w:tr>
      <w:tr w:rsidR="004F6379" w:rsidRPr="00F42DD3" w14:paraId="11EA9CFA" w14:textId="77777777" w:rsidTr="005B52B1">
        <w:trPr>
          <w:trHeight w:hRule="exact" w:val="255"/>
        </w:trPr>
        <w:tc>
          <w:tcPr>
            <w:tcW w:w="2709" w:type="dxa"/>
            <w:vMerge/>
            <w:tcBorders>
              <w:left w:val="single" w:sz="8" w:space="0" w:color="auto"/>
              <w:right w:val="single" w:sz="8" w:space="0" w:color="auto"/>
            </w:tcBorders>
            <w:shd w:val="clear" w:color="auto" w:fill="auto"/>
            <w:vAlign w:val="center"/>
            <w:hideMark/>
          </w:tcPr>
          <w:p w14:paraId="11EA9CF5"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F6"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Dent</w:t>
            </w:r>
          </w:p>
        </w:tc>
        <w:tc>
          <w:tcPr>
            <w:tcW w:w="826" w:type="dxa"/>
            <w:tcBorders>
              <w:top w:val="nil"/>
              <w:left w:val="nil"/>
              <w:bottom w:val="single" w:sz="8" w:space="0" w:color="auto"/>
              <w:right w:val="single" w:sz="8" w:space="0" w:color="auto"/>
            </w:tcBorders>
            <w:shd w:val="clear" w:color="auto" w:fill="auto"/>
            <w:noWrap/>
            <w:vAlign w:val="bottom"/>
            <w:hideMark/>
          </w:tcPr>
          <w:p w14:paraId="11EA9CF7"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0.444</w:t>
            </w:r>
          </w:p>
        </w:tc>
        <w:tc>
          <w:tcPr>
            <w:tcW w:w="1134" w:type="dxa"/>
            <w:tcBorders>
              <w:top w:val="nil"/>
              <w:left w:val="nil"/>
              <w:bottom w:val="single" w:sz="8" w:space="0" w:color="auto"/>
              <w:right w:val="single" w:sz="8" w:space="0" w:color="auto"/>
            </w:tcBorders>
            <w:shd w:val="clear" w:color="auto" w:fill="auto"/>
            <w:noWrap/>
            <w:vAlign w:val="bottom"/>
            <w:hideMark/>
          </w:tcPr>
          <w:p w14:paraId="11EA9CF8"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1.271</w:t>
            </w:r>
          </w:p>
        </w:tc>
        <w:tc>
          <w:tcPr>
            <w:tcW w:w="1276" w:type="dxa"/>
            <w:tcBorders>
              <w:top w:val="nil"/>
              <w:left w:val="nil"/>
              <w:bottom w:val="single" w:sz="8" w:space="0" w:color="auto"/>
              <w:right w:val="single" w:sz="8" w:space="0" w:color="auto"/>
            </w:tcBorders>
            <w:shd w:val="clear" w:color="auto" w:fill="auto"/>
            <w:noWrap/>
            <w:vAlign w:val="center"/>
            <w:hideMark/>
          </w:tcPr>
          <w:p w14:paraId="11EA9CF9"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53.768</w:t>
            </w:r>
          </w:p>
        </w:tc>
      </w:tr>
      <w:tr w:rsidR="004F6379" w:rsidRPr="00F42DD3" w14:paraId="11EA9D00" w14:textId="77777777" w:rsidTr="005B52B1">
        <w:trPr>
          <w:trHeight w:hRule="exact" w:val="255"/>
        </w:trPr>
        <w:tc>
          <w:tcPr>
            <w:tcW w:w="2709" w:type="dxa"/>
            <w:vMerge/>
            <w:tcBorders>
              <w:left w:val="single" w:sz="8" w:space="0" w:color="auto"/>
              <w:right w:val="single" w:sz="8" w:space="0" w:color="auto"/>
            </w:tcBorders>
            <w:shd w:val="clear" w:color="auto" w:fill="auto"/>
            <w:vAlign w:val="center"/>
            <w:hideMark/>
          </w:tcPr>
          <w:p w14:paraId="11EA9CFB"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CFC"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Daydream</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CFD"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0.461</w:t>
            </w:r>
          </w:p>
        </w:tc>
        <w:tc>
          <w:tcPr>
            <w:tcW w:w="1134" w:type="dxa"/>
            <w:tcBorders>
              <w:top w:val="nil"/>
              <w:left w:val="nil"/>
              <w:bottom w:val="single" w:sz="8" w:space="0" w:color="auto"/>
              <w:right w:val="single" w:sz="8" w:space="0" w:color="auto"/>
            </w:tcBorders>
            <w:shd w:val="clear" w:color="auto" w:fill="auto"/>
            <w:noWrap/>
            <w:vAlign w:val="bottom"/>
            <w:hideMark/>
          </w:tcPr>
          <w:p w14:paraId="11EA9CFE"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1.329</w:t>
            </w:r>
          </w:p>
        </w:tc>
        <w:tc>
          <w:tcPr>
            <w:tcW w:w="1276" w:type="dxa"/>
            <w:tcBorders>
              <w:top w:val="nil"/>
              <w:left w:val="nil"/>
              <w:bottom w:val="single" w:sz="8" w:space="0" w:color="auto"/>
              <w:right w:val="single" w:sz="8" w:space="0" w:color="auto"/>
            </w:tcBorders>
            <w:shd w:val="clear" w:color="auto" w:fill="auto"/>
            <w:noWrap/>
            <w:vAlign w:val="center"/>
            <w:hideMark/>
          </w:tcPr>
          <w:p w14:paraId="11EA9CFF"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72.426</w:t>
            </w:r>
          </w:p>
        </w:tc>
      </w:tr>
      <w:tr w:rsidR="004F6379" w:rsidRPr="00F42DD3" w14:paraId="11EA9D06" w14:textId="77777777" w:rsidTr="005B52B1">
        <w:trPr>
          <w:trHeight w:hRule="exact" w:val="255"/>
        </w:trPr>
        <w:tc>
          <w:tcPr>
            <w:tcW w:w="2709" w:type="dxa"/>
            <w:vMerge/>
            <w:tcBorders>
              <w:left w:val="single" w:sz="8" w:space="0" w:color="auto"/>
              <w:right w:val="single" w:sz="8" w:space="0" w:color="auto"/>
            </w:tcBorders>
            <w:shd w:val="clear" w:color="auto" w:fill="auto"/>
            <w:vAlign w:val="center"/>
            <w:hideMark/>
          </w:tcPr>
          <w:p w14:paraId="11EA9D01"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D02"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Pine</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D03"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0.466</w:t>
            </w:r>
          </w:p>
        </w:tc>
        <w:tc>
          <w:tcPr>
            <w:tcW w:w="1134" w:type="dxa"/>
            <w:tcBorders>
              <w:top w:val="nil"/>
              <w:left w:val="nil"/>
              <w:bottom w:val="single" w:sz="8" w:space="0" w:color="auto"/>
              <w:right w:val="single" w:sz="8" w:space="0" w:color="auto"/>
            </w:tcBorders>
            <w:shd w:val="clear" w:color="auto" w:fill="auto"/>
            <w:noWrap/>
            <w:vAlign w:val="bottom"/>
            <w:hideMark/>
          </w:tcPr>
          <w:p w14:paraId="11EA9D04"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1.476</w:t>
            </w:r>
          </w:p>
        </w:tc>
        <w:tc>
          <w:tcPr>
            <w:tcW w:w="1276" w:type="dxa"/>
            <w:tcBorders>
              <w:top w:val="nil"/>
              <w:left w:val="nil"/>
              <w:bottom w:val="single" w:sz="8" w:space="0" w:color="auto"/>
              <w:right w:val="single" w:sz="8" w:space="0" w:color="auto"/>
            </w:tcBorders>
            <w:shd w:val="clear" w:color="auto" w:fill="auto"/>
            <w:noWrap/>
            <w:vAlign w:val="center"/>
            <w:hideMark/>
          </w:tcPr>
          <w:p w14:paraId="11EA9D05"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60.969</w:t>
            </w:r>
          </w:p>
        </w:tc>
      </w:tr>
      <w:tr w:rsidR="004F6379" w:rsidRPr="00F42DD3" w14:paraId="11EA9D0C" w14:textId="77777777" w:rsidTr="005B52B1">
        <w:trPr>
          <w:trHeight w:hRule="exact" w:val="255"/>
        </w:trPr>
        <w:tc>
          <w:tcPr>
            <w:tcW w:w="2709" w:type="dxa"/>
            <w:vMerge/>
            <w:tcBorders>
              <w:left w:val="single" w:sz="8" w:space="0" w:color="auto"/>
              <w:bottom w:val="single" w:sz="8" w:space="0" w:color="auto"/>
              <w:right w:val="single" w:sz="8" w:space="0" w:color="auto"/>
            </w:tcBorders>
            <w:shd w:val="clear" w:color="auto" w:fill="auto"/>
            <w:vAlign w:val="center"/>
            <w:hideMark/>
          </w:tcPr>
          <w:p w14:paraId="11EA9D07"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D08"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Shute Harbour</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D09"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0.477</w:t>
            </w:r>
          </w:p>
        </w:tc>
        <w:tc>
          <w:tcPr>
            <w:tcW w:w="1134" w:type="dxa"/>
            <w:tcBorders>
              <w:top w:val="nil"/>
              <w:left w:val="nil"/>
              <w:bottom w:val="single" w:sz="8" w:space="0" w:color="auto"/>
              <w:right w:val="single" w:sz="8" w:space="0" w:color="auto"/>
            </w:tcBorders>
            <w:shd w:val="clear" w:color="auto" w:fill="auto"/>
            <w:noWrap/>
            <w:vAlign w:val="bottom"/>
            <w:hideMark/>
          </w:tcPr>
          <w:p w14:paraId="11EA9D0A"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1.313</w:t>
            </w:r>
          </w:p>
        </w:tc>
        <w:tc>
          <w:tcPr>
            <w:tcW w:w="1276" w:type="dxa"/>
            <w:tcBorders>
              <w:top w:val="nil"/>
              <w:left w:val="nil"/>
              <w:bottom w:val="single" w:sz="8" w:space="0" w:color="auto"/>
              <w:right w:val="single" w:sz="8" w:space="0" w:color="auto"/>
            </w:tcBorders>
            <w:shd w:val="clear" w:color="auto" w:fill="auto"/>
            <w:noWrap/>
            <w:vAlign w:val="center"/>
            <w:hideMark/>
          </w:tcPr>
          <w:p w14:paraId="11EA9D0B"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53.872</w:t>
            </w:r>
          </w:p>
        </w:tc>
      </w:tr>
      <w:tr w:rsidR="004F6379" w:rsidRPr="00F42DD3" w14:paraId="11EA9D12" w14:textId="77777777" w:rsidTr="005B52B1">
        <w:trPr>
          <w:trHeight w:hRule="exact" w:val="255"/>
        </w:trPr>
        <w:tc>
          <w:tcPr>
            <w:tcW w:w="2709" w:type="dxa"/>
            <w:vMerge w:val="restart"/>
            <w:tcBorders>
              <w:top w:val="nil"/>
              <w:left w:val="single" w:sz="8" w:space="0" w:color="auto"/>
              <w:right w:val="single" w:sz="8" w:space="0" w:color="auto"/>
            </w:tcBorders>
            <w:shd w:val="clear" w:color="auto" w:fill="auto"/>
            <w:vAlign w:val="center"/>
            <w:hideMark/>
          </w:tcPr>
          <w:p w14:paraId="11EA9D0D"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Fitzroy</w:t>
            </w:r>
          </w:p>
        </w:tc>
        <w:tc>
          <w:tcPr>
            <w:tcW w:w="1583" w:type="dxa"/>
            <w:tcBorders>
              <w:top w:val="nil"/>
              <w:left w:val="nil"/>
              <w:bottom w:val="single" w:sz="8" w:space="0" w:color="auto"/>
              <w:right w:val="single" w:sz="8" w:space="0" w:color="auto"/>
            </w:tcBorders>
            <w:shd w:val="clear" w:color="auto" w:fill="auto"/>
            <w:noWrap/>
            <w:vAlign w:val="bottom"/>
            <w:hideMark/>
          </w:tcPr>
          <w:p w14:paraId="11EA9D0E"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Barren</w:t>
            </w:r>
          </w:p>
        </w:tc>
        <w:tc>
          <w:tcPr>
            <w:tcW w:w="826" w:type="dxa"/>
            <w:tcBorders>
              <w:top w:val="nil"/>
              <w:left w:val="nil"/>
              <w:bottom w:val="single" w:sz="8" w:space="0" w:color="auto"/>
              <w:right w:val="single" w:sz="8" w:space="0" w:color="auto"/>
            </w:tcBorders>
            <w:shd w:val="clear" w:color="auto" w:fill="auto"/>
            <w:noWrap/>
            <w:vAlign w:val="bottom"/>
            <w:hideMark/>
          </w:tcPr>
          <w:p w14:paraId="11EA9D0F"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0.364</w:t>
            </w:r>
          </w:p>
        </w:tc>
        <w:tc>
          <w:tcPr>
            <w:tcW w:w="1134" w:type="dxa"/>
            <w:tcBorders>
              <w:top w:val="nil"/>
              <w:left w:val="nil"/>
              <w:bottom w:val="single" w:sz="8" w:space="0" w:color="auto"/>
              <w:right w:val="single" w:sz="8" w:space="0" w:color="auto"/>
            </w:tcBorders>
            <w:shd w:val="clear" w:color="auto" w:fill="auto"/>
            <w:noWrap/>
            <w:vAlign w:val="bottom"/>
            <w:hideMark/>
          </w:tcPr>
          <w:p w14:paraId="11EA9D10"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0.400</w:t>
            </w:r>
          </w:p>
        </w:tc>
        <w:tc>
          <w:tcPr>
            <w:tcW w:w="1276" w:type="dxa"/>
            <w:tcBorders>
              <w:top w:val="nil"/>
              <w:left w:val="nil"/>
              <w:bottom w:val="single" w:sz="8" w:space="0" w:color="auto"/>
              <w:right w:val="single" w:sz="8" w:space="0" w:color="auto"/>
            </w:tcBorders>
            <w:shd w:val="clear" w:color="auto" w:fill="auto"/>
            <w:noWrap/>
            <w:vAlign w:val="center"/>
            <w:hideMark/>
          </w:tcPr>
          <w:p w14:paraId="11EA9D11"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4.236</w:t>
            </w:r>
          </w:p>
        </w:tc>
      </w:tr>
      <w:tr w:rsidR="004F6379" w:rsidRPr="00F42DD3" w14:paraId="11EA9D18" w14:textId="77777777" w:rsidTr="005B52B1">
        <w:trPr>
          <w:trHeight w:hRule="exact" w:val="255"/>
        </w:trPr>
        <w:tc>
          <w:tcPr>
            <w:tcW w:w="2709" w:type="dxa"/>
            <w:vMerge/>
            <w:tcBorders>
              <w:left w:val="single" w:sz="8" w:space="0" w:color="auto"/>
              <w:right w:val="single" w:sz="8" w:space="0" w:color="auto"/>
            </w:tcBorders>
            <w:shd w:val="clear" w:color="auto" w:fill="auto"/>
            <w:vAlign w:val="center"/>
            <w:hideMark/>
          </w:tcPr>
          <w:p w14:paraId="11EA9D13"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D14"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Middle</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D15"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0.563</w:t>
            </w:r>
          </w:p>
        </w:tc>
        <w:tc>
          <w:tcPr>
            <w:tcW w:w="1134" w:type="dxa"/>
            <w:tcBorders>
              <w:top w:val="nil"/>
              <w:left w:val="nil"/>
              <w:bottom w:val="single" w:sz="8" w:space="0" w:color="auto"/>
              <w:right w:val="single" w:sz="8" w:space="0" w:color="auto"/>
            </w:tcBorders>
            <w:shd w:val="clear" w:color="auto" w:fill="auto"/>
            <w:noWrap/>
            <w:vAlign w:val="bottom"/>
            <w:hideMark/>
          </w:tcPr>
          <w:p w14:paraId="11EA9D16"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0.752</w:t>
            </w:r>
          </w:p>
        </w:tc>
        <w:tc>
          <w:tcPr>
            <w:tcW w:w="1276" w:type="dxa"/>
            <w:tcBorders>
              <w:top w:val="nil"/>
              <w:left w:val="nil"/>
              <w:bottom w:val="single" w:sz="8" w:space="0" w:color="auto"/>
              <w:right w:val="single" w:sz="8" w:space="0" w:color="auto"/>
            </w:tcBorders>
            <w:shd w:val="clear" w:color="auto" w:fill="auto"/>
            <w:noWrap/>
            <w:vAlign w:val="center"/>
            <w:hideMark/>
          </w:tcPr>
          <w:p w14:paraId="11EA9D17"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4.766</w:t>
            </w:r>
          </w:p>
        </w:tc>
      </w:tr>
      <w:tr w:rsidR="004F6379" w:rsidRPr="00F42DD3" w14:paraId="11EA9D1E" w14:textId="77777777" w:rsidTr="005B52B1">
        <w:trPr>
          <w:trHeight w:hRule="exact" w:val="255"/>
        </w:trPr>
        <w:tc>
          <w:tcPr>
            <w:tcW w:w="2709" w:type="dxa"/>
            <w:vMerge/>
            <w:tcBorders>
              <w:left w:val="single" w:sz="8" w:space="0" w:color="auto"/>
              <w:right w:val="single" w:sz="8" w:space="0" w:color="auto"/>
            </w:tcBorders>
            <w:shd w:val="clear" w:color="auto" w:fill="auto"/>
            <w:noWrap/>
            <w:vAlign w:val="center"/>
            <w:hideMark/>
          </w:tcPr>
          <w:p w14:paraId="11EA9D19"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D1A"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North Keppel</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D1B"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0.569</w:t>
            </w:r>
          </w:p>
        </w:tc>
        <w:tc>
          <w:tcPr>
            <w:tcW w:w="1134" w:type="dxa"/>
            <w:tcBorders>
              <w:top w:val="nil"/>
              <w:left w:val="nil"/>
              <w:bottom w:val="single" w:sz="8" w:space="0" w:color="auto"/>
              <w:right w:val="single" w:sz="8" w:space="0" w:color="auto"/>
            </w:tcBorders>
            <w:shd w:val="clear" w:color="auto" w:fill="auto"/>
            <w:noWrap/>
            <w:vAlign w:val="bottom"/>
            <w:hideMark/>
          </w:tcPr>
          <w:p w14:paraId="11EA9D1C"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0.701</w:t>
            </w:r>
          </w:p>
        </w:tc>
        <w:tc>
          <w:tcPr>
            <w:tcW w:w="1276" w:type="dxa"/>
            <w:tcBorders>
              <w:top w:val="nil"/>
              <w:left w:val="nil"/>
              <w:bottom w:val="single" w:sz="8" w:space="0" w:color="auto"/>
              <w:right w:val="single" w:sz="8" w:space="0" w:color="auto"/>
            </w:tcBorders>
            <w:shd w:val="clear" w:color="auto" w:fill="auto"/>
            <w:noWrap/>
            <w:vAlign w:val="center"/>
            <w:hideMark/>
          </w:tcPr>
          <w:p w14:paraId="11EA9D1D"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21.317</w:t>
            </w:r>
          </w:p>
        </w:tc>
      </w:tr>
      <w:tr w:rsidR="004F6379" w:rsidRPr="00F42DD3" w14:paraId="11EA9D24" w14:textId="77777777" w:rsidTr="005B52B1">
        <w:trPr>
          <w:trHeight w:hRule="exact" w:val="255"/>
        </w:trPr>
        <w:tc>
          <w:tcPr>
            <w:tcW w:w="2709" w:type="dxa"/>
            <w:vMerge/>
            <w:tcBorders>
              <w:left w:val="single" w:sz="8" w:space="0" w:color="auto"/>
              <w:right w:val="single" w:sz="8" w:space="0" w:color="auto"/>
            </w:tcBorders>
            <w:vAlign w:val="center"/>
            <w:hideMark/>
          </w:tcPr>
          <w:p w14:paraId="11EA9D1F"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D20"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Keppels South</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D21"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0.592</w:t>
            </w:r>
          </w:p>
        </w:tc>
        <w:tc>
          <w:tcPr>
            <w:tcW w:w="1134" w:type="dxa"/>
            <w:tcBorders>
              <w:top w:val="nil"/>
              <w:left w:val="nil"/>
              <w:bottom w:val="single" w:sz="8" w:space="0" w:color="auto"/>
              <w:right w:val="single" w:sz="8" w:space="0" w:color="auto"/>
            </w:tcBorders>
            <w:shd w:val="clear" w:color="auto" w:fill="auto"/>
            <w:noWrap/>
            <w:vAlign w:val="bottom"/>
            <w:hideMark/>
          </w:tcPr>
          <w:p w14:paraId="11EA9D22"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0.686</w:t>
            </w:r>
          </w:p>
        </w:tc>
        <w:tc>
          <w:tcPr>
            <w:tcW w:w="1276" w:type="dxa"/>
            <w:tcBorders>
              <w:top w:val="nil"/>
              <w:left w:val="nil"/>
              <w:bottom w:val="single" w:sz="8" w:space="0" w:color="auto"/>
              <w:right w:val="single" w:sz="8" w:space="0" w:color="auto"/>
            </w:tcBorders>
            <w:shd w:val="clear" w:color="auto" w:fill="auto"/>
            <w:noWrap/>
            <w:vAlign w:val="center"/>
            <w:hideMark/>
          </w:tcPr>
          <w:p w14:paraId="11EA9D23"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9.785</w:t>
            </w:r>
          </w:p>
        </w:tc>
      </w:tr>
      <w:tr w:rsidR="004F6379" w:rsidRPr="00F42DD3" w14:paraId="11EA9D2A" w14:textId="77777777" w:rsidTr="005B52B1">
        <w:trPr>
          <w:trHeight w:hRule="exact" w:val="255"/>
        </w:trPr>
        <w:tc>
          <w:tcPr>
            <w:tcW w:w="2709" w:type="dxa"/>
            <w:vMerge/>
            <w:tcBorders>
              <w:left w:val="single" w:sz="8" w:space="0" w:color="auto"/>
              <w:right w:val="single" w:sz="8" w:space="0" w:color="auto"/>
            </w:tcBorders>
            <w:vAlign w:val="center"/>
            <w:hideMark/>
          </w:tcPr>
          <w:p w14:paraId="11EA9D25"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D26"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Peak</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D27"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0.913</w:t>
            </w:r>
          </w:p>
        </w:tc>
        <w:tc>
          <w:tcPr>
            <w:tcW w:w="1134" w:type="dxa"/>
            <w:tcBorders>
              <w:top w:val="nil"/>
              <w:left w:val="nil"/>
              <w:bottom w:val="single" w:sz="8" w:space="0" w:color="auto"/>
              <w:right w:val="single" w:sz="8" w:space="0" w:color="auto"/>
            </w:tcBorders>
            <w:shd w:val="clear" w:color="auto" w:fill="auto"/>
            <w:noWrap/>
            <w:vAlign w:val="bottom"/>
            <w:hideMark/>
          </w:tcPr>
          <w:p w14:paraId="11EA9D28"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2.198</w:t>
            </w:r>
          </w:p>
        </w:tc>
        <w:tc>
          <w:tcPr>
            <w:tcW w:w="1276" w:type="dxa"/>
            <w:tcBorders>
              <w:top w:val="nil"/>
              <w:left w:val="nil"/>
              <w:bottom w:val="single" w:sz="8" w:space="0" w:color="auto"/>
              <w:right w:val="single" w:sz="8" w:space="0" w:color="auto"/>
            </w:tcBorders>
            <w:shd w:val="clear" w:color="auto" w:fill="auto"/>
            <w:noWrap/>
            <w:vAlign w:val="center"/>
            <w:hideMark/>
          </w:tcPr>
          <w:p w14:paraId="11EA9D29"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9.532</w:t>
            </w:r>
          </w:p>
        </w:tc>
      </w:tr>
      <w:tr w:rsidR="004F6379" w:rsidRPr="00F42DD3" w14:paraId="11EA9D30" w14:textId="77777777" w:rsidTr="005B52B1">
        <w:trPr>
          <w:trHeight w:hRule="exact" w:val="300"/>
        </w:trPr>
        <w:tc>
          <w:tcPr>
            <w:tcW w:w="2709" w:type="dxa"/>
            <w:vMerge/>
            <w:tcBorders>
              <w:left w:val="single" w:sz="8" w:space="0" w:color="auto"/>
              <w:bottom w:val="single" w:sz="8" w:space="0" w:color="auto"/>
              <w:right w:val="single" w:sz="8" w:space="0" w:color="auto"/>
            </w:tcBorders>
            <w:vAlign w:val="center"/>
            <w:hideMark/>
          </w:tcPr>
          <w:p w14:paraId="11EA9D2B" w14:textId="77777777" w:rsidR="004F6379" w:rsidRPr="00F42DD3" w:rsidRDefault="004F6379" w:rsidP="00F42DD3">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1EA9D2C" w14:textId="77777777" w:rsidR="004F6379" w:rsidRPr="00F42DD3" w:rsidRDefault="004F6379" w:rsidP="00F42DD3">
            <w:pPr>
              <w:spacing w:after="0"/>
              <w:jc w:val="left"/>
              <w:rPr>
                <w:rFonts w:ascii="Arial Narrow" w:hAnsi="Arial Narrow"/>
                <w:color w:val="000000"/>
                <w:sz w:val="20"/>
                <w:lang w:val="en-AU" w:eastAsia="en-AU"/>
              </w:rPr>
            </w:pPr>
            <w:r w:rsidRPr="00F42DD3">
              <w:rPr>
                <w:rFonts w:ascii="Arial Narrow" w:hAnsi="Arial Narrow"/>
                <w:color w:val="000000"/>
                <w:sz w:val="20"/>
                <w:lang w:val="en-AU" w:eastAsia="en-AU"/>
              </w:rPr>
              <w:t>Pelican</w:t>
            </w:r>
          </w:p>
        </w:tc>
        <w:tc>
          <w:tcPr>
            <w:tcW w:w="826" w:type="dxa"/>
            <w:tcBorders>
              <w:top w:val="nil"/>
              <w:left w:val="nil"/>
              <w:bottom w:val="single" w:sz="8" w:space="0" w:color="auto"/>
              <w:right w:val="single" w:sz="8" w:space="0" w:color="auto"/>
            </w:tcBorders>
            <w:shd w:val="clear" w:color="auto" w:fill="D9D9D9" w:themeFill="background1" w:themeFillShade="D9"/>
            <w:noWrap/>
            <w:vAlign w:val="bottom"/>
            <w:hideMark/>
          </w:tcPr>
          <w:p w14:paraId="11EA9D2D"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0.965</w:t>
            </w:r>
          </w:p>
        </w:tc>
        <w:tc>
          <w:tcPr>
            <w:tcW w:w="1134" w:type="dxa"/>
            <w:tcBorders>
              <w:top w:val="nil"/>
              <w:left w:val="nil"/>
              <w:bottom w:val="single" w:sz="8" w:space="0" w:color="auto"/>
              <w:right w:val="single" w:sz="8" w:space="0" w:color="auto"/>
            </w:tcBorders>
            <w:shd w:val="clear" w:color="auto" w:fill="auto"/>
            <w:noWrap/>
            <w:vAlign w:val="bottom"/>
            <w:hideMark/>
          </w:tcPr>
          <w:p w14:paraId="11EA9D2E" w14:textId="77777777" w:rsidR="004F6379" w:rsidRPr="004F6379" w:rsidRDefault="004F6379">
            <w:pPr>
              <w:jc w:val="right"/>
              <w:rPr>
                <w:rFonts w:ascii="Arial Narrow" w:hAnsi="Arial Narrow"/>
                <w:color w:val="000000"/>
                <w:sz w:val="20"/>
              </w:rPr>
            </w:pPr>
            <w:r w:rsidRPr="004F6379">
              <w:rPr>
                <w:rFonts w:ascii="Arial Narrow" w:hAnsi="Arial Narrow"/>
                <w:color w:val="000000"/>
                <w:sz w:val="20"/>
              </w:rPr>
              <w:t>1.702</w:t>
            </w:r>
          </w:p>
        </w:tc>
        <w:tc>
          <w:tcPr>
            <w:tcW w:w="1276" w:type="dxa"/>
            <w:tcBorders>
              <w:top w:val="nil"/>
              <w:left w:val="nil"/>
              <w:bottom w:val="single" w:sz="8" w:space="0" w:color="auto"/>
              <w:right w:val="single" w:sz="8" w:space="0" w:color="auto"/>
            </w:tcBorders>
            <w:shd w:val="clear" w:color="auto" w:fill="auto"/>
            <w:noWrap/>
            <w:vAlign w:val="center"/>
            <w:hideMark/>
          </w:tcPr>
          <w:p w14:paraId="11EA9D2F" w14:textId="77777777" w:rsidR="004F6379" w:rsidRPr="00F42DD3" w:rsidRDefault="004F6379" w:rsidP="00F42DD3">
            <w:pPr>
              <w:spacing w:after="0"/>
              <w:jc w:val="left"/>
              <w:rPr>
                <w:rFonts w:ascii="Arial Narrow" w:hAnsi="Arial Narrow"/>
                <w:sz w:val="20"/>
                <w:lang w:val="en-AU" w:eastAsia="en-AU"/>
              </w:rPr>
            </w:pPr>
            <w:r w:rsidRPr="00F42DD3">
              <w:rPr>
                <w:rFonts w:ascii="Arial Narrow" w:hAnsi="Arial Narrow"/>
                <w:sz w:val="20"/>
                <w:lang w:val="en-AU" w:eastAsia="en-AU"/>
              </w:rPr>
              <w:t>2.125</w:t>
            </w:r>
          </w:p>
        </w:tc>
      </w:tr>
    </w:tbl>
    <w:p w14:paraId="11EA9D31" w14:textId="77777777" w:rsidR="00F42DD3" w:rsidRPr="00F439FB" w:rsidRDefault="00F42DD3">
      <w:pPr>
        <w:pStyle w:val="Table"/>
        <w:rPr>
          <w:b/>
          <w:color w:val="4F81BD" w:themeColor="accent1"/>
          <w:szCs w:val="22"/>
        </w:rPr>
        <w:sectPr w:rsidR="00F42DD3" w:rsidRPr="00F439FB" w:rsidSect="006608FC">
          <w:pgSz w:w="11907" w:h="16840" w:code="9"/>
          <w:pgMar w:top="1440" w:right="1134" w:bottom="1440" w:left="1134" w:header="709" w:footer="709" w:gutter="0"/>
          <w:cols w:space="708"/>
          <w:docGrid w:linePitch="360"/>
        </w:sectPr>
      </w:pPr>
    </w:p>
    <w:p w14:paraId="01C71E3C" w14:textId="05C910D8" w:rsidR="00B8520A" w:rsidRDefault="00F62EEB" w:rsidP="00B8520A">
      <w:bookmarkStart w:id="380" w:name="_Ref491178771"/>
      <w:bookmarkStart w:id="381" w:name="_Toc374701408"/>
      <w:bookmarkStart w:id="382" w:name="_Toc392929576"/>
      <w:bookmarkStart w:id="383" w:name="_Toc430268217"/>
      <w:r>
        <w:rPr>
          <w:noProof/>
          <w:lang w:val="en-AU" w:eastAsia="en-AU"/>
        </w:rPr>
        <w:drawing>
          <wp:inline distT="0" distB="0" distL="0" distR="0" wp14:anchorId="0D97E7CB" wp14:editId="76E40204">
            <wp:extent cx="8864600" cy="4695190"/>
            <wp:effectExtent l="0" t="0" r="0" b="0"/>
            <wp:docPr id="30" name="Picture 30" descr="A panel of plots that illustrates community composition for each reef and depth. Cover is displayed by hard coral families plus soft coral and Macroalgae. Juvenile corals are broken down by families. Reefs included are Low Isles, Snapper North and South" title="Figure A1.1 Communitiy composition Barron Daintre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Daintree.jpg"/>
                    <pic:cNvPicPr/>
                  </pic:nvPicPr>
                  <pic:blipFill>
                    <a:blip r:embed="rId74">
                      <a:extLst>
                        <a:ext uri="{28A0092B-C50C-407E-A947-70E740481C1C}">
                          <a14:useLocalDpi xmlns:a14="http://schemas.microsoft.com/office/drawing/2010/main" val="0"/>
                        </a:ext>
                      </a:extLst>
                    </a:blip>
                    <a:stretch>
                      <a:fillRect/>
                    </a:stretch>
                  </pic:blipFill>
                  <pic:spPr>
                    <a:xfrm>
                      <a:off x="0" y="0"/>
                      <a:ext cx="8864600" cy="4695190"/>
                    </a:xfrm>
                    <a:prstGeom prst="rect">
                      <a:avLst/>
                    </a:prstGeom>
                  </pic:spPr>
                </pic:pic>
              </a:graphicData>
            </a:graphic>
          </wp:inline>
        </w:drawing>
      </w:r>
    </w:p>
    <w:p w14:paraId="11EA9D34" w14:textId="1E09B1C0" w:rsidR="006E3C16" w:rsidRPr="005521E5" w:rsidRDefault="009026DA" w:rsidP="009026DA">
      <w:pPr>
        <w:pStyle w:val="Caption"/>
        <w:rPr>
          <w:rStyle w:val="IntenseReference"/>
          <w:rFonts w:eastAsia="SimSun"/>
          <w:vanish/>
          <w:color w:val="auto"/>
        </w:rPr>
      </w:pPr>
      <w:bookmarkStart w:id="384" w:name="_Ref492389865"/>
      <w:bookmarkStart w:id="385" w:name="_Toc492389706"/>
      <w:bookmarkEnd w:id="380"/>
      <w:r>
        <w:t xml:space="preserve">Figure A1. </w:t>
      </w:r>
      <w:r>
        <w:fldChar w:fldCharType="begin"/>
      </w:r>
      <w:r>
        <w:instrText xml:space="preserve"> SEQ Figure_A1. \* ARABIC </w:instrText>
      </w:r>
      <w:r>
        <w:fldChar w:fldCharType="separate"/>
      </w:r>
      <w:r w:rsidR="00D806F2">
        <w:rPr>
          <w:noProof/>
        </w:rPr>
        <w:t>1</w:t>
      </w:r>
      <w:r>
        <w:fldChar w:fldCharType="end"/>
      </w:r>
      <w:bookmarkEnd w:id="384"/>
      <w:r>
        <w:t xml:space="preserve"> </w:t>
      </w:r>
      <w:r w:rsidR="001038D9">
        <w:t xml:space="preserve">Barron </w:t>
      </w:r>
      <w:r w:rsidR="00817833" w:rsidRPr="0007505A">
        <w:t>Daintree sub-region</w:t>
      </w:r>
      <w:r w:rsidR="001038D9">
        <w:t xml:space="preserve"> benthic community composition</w:t>
      </w:r>
      <w:r w:rsidR="00817833">
        <w:t>.</w:t>
      </w:r>
      <w:bookmarkEnd w:id="381"/>
      <w:bookmarkEnd w:id="382"/>
      <w:bookmarkEnd w:id="383"/>
      <w:bookmarkEnd w:id="385"/>
    </w:p>
    <w:p w14:paraId="11EA9D35" w14:textId="77777777" w:rsidR="00F73646" w:rsidRPr="009026DA" w:rsidRDefault="008A1A24" w:rsidP="009026DA">
      <w:pPr>
        <w:rPr>
          <w:rStyle w:val="IntenseReference"/>
          <w:rFonts w:eastAsia="SimSun"/>
        </w:rPr>
      </w:pPr>
      <w:r w:rsidRPr="005521E5">
        <w:t> </w:t>
      </w:r>
      <w:bookmarkStart w:id="386" w:name="_Toc437424324"/>
      <w:bookmarkStart w:id="387" w:name="_Toc437432377"/>
      <w:r w:rsidRPr="009026DA">
        <w:rPr>
          <w:rStyle w:val="IntenseReference"/>
          <w:rFonts w:eastAsia="SimSun"/>
        </w:rPr>
        <w:t>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w:t>
      </w:r>
      <w:bookmarkEnd w:id="386"/>
      <w:bookmarkEnd w:id="387"/>
    </w:p>
    <w:p w14:paraId="11EA9D36" w14:textId="77777777" w:rsidR="00F73646" w:rsidRPr="00F439FB" w:rsidRDefault="00F73646" w:rsidP="00F73646">
      <w:pPr>
        <w:rPr>
          <w:rFonts w:ascii="Arial Narrow" w:eastAsia="SimSun" w:hAnsi="Arial Narrow"/>
          <w:bCs/>
          <w:color w:val="4F81BD" w:themeColor="accent1"/>
          <w:sz w:val="20"/>
        </w:rPr>
      </w:pPr>
      <w:r w:rsidRPr="00F439FB">
        <w:rPr>
          <w:rStyle w:val="IntenseReference"/>
          <w:rFonts w:eastAsia="SimSun"/>
          <w:color w:val="4F81BD" w:themeColor="accent1"/>
        </w:rPr>
        <w:br w:type="page"/>
      </w:r>
      <w:bookmarkStart w:id="388" w:name="_Toc374701409"/>
      <w:bookmarkStart w:id="389" w:name="_Toc392929577"/>
      <w:bookmarkStart w:id="390" w:name="_Toc430268218"/>
      <w:bookmarkStart w:id="391" w:name="_Toc453243769"/>
    </w:p>
    <w:p w14:paraId="3F7FD094" w14:textId="108A3CC0" w:rsidR="00B8520A" w:rsidRDefault="00F62EEB" w:rsidP="00B8520A">
      <w:bookmarkStart w:id="392" w:name="_Ref491264631"/>
      <w:r>
        <w:rPr>
          <w:noProof/>
          <w:lang w:val="en-AU" w:eastAsia="en-AU"/>
        </w:rPr>
        <w:drawing>
          <wp:inline distT="0" distB="0" distL="0" distR="0" wp14:anchorId="224944EE" wp14:editId="2E2F30AF">
            <wp:extent cx="8864600" cy="4695190"/>
            <wp:effectExtent l="0" t="0" r="0" b="0"/>
            <wp:docPr id="31" name="Picture 31" descr="A panel of plots that illustrates community composition for each reef and depth. Cover is displayed by hard coral families plus soft coral and Macroalgae. Juvenile corals are broken down by families. Reefs included are Green, Fitzroy West and Fitzroy West LTMP" title="Figure A1.2 Community composition Johnstone Russell-Mulgrav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Johnstone1.jpg"/>
                    <pic:cNvPicPr/>
                  </pic:nvPicPr>
                  <pic:blipFill>
                    <a:blip r:embed="rId75">
                      <a:extLst>
                        <a:ext uri="{28A0092B-C50C-407E-A947-70E740481C1C}">
                          <a14:useLocalDpi xmlns:a14="http://schemas.microsoft.com/office/drawing/2010/main" val="0"/>
                        </a:ext>
                      </a:extLst>
                    </a:blip>
                    <a:stretch>
                      <a:fillRect/>
                    </a:stretch>
                  </pic:blipFill>
                  <pic:spPr>
                    <a:xfrm>
                      <a:off x="0" y="0"/>
                      <a:ext cx="8864600" cy="4695190"/>
                    </a:xfrm>
                    <a:prstGeom prst="rect">
                      <a:avLst/>
                    </a:prstGeom>
                  </pic:spPr>
                </pic:pic>
              </a:graphicData>
            </a:graphic>
          </wp:inline>
        </w:drawing>
      </w:r>
    </w:p>
    <w:p w14:paraId="11EA9D39" w14:textId="4316565D" w:rsidR="00F73646" w:rsidRPr="005B6EC7" w:rsidRDefault="009026DA" w:rsidP="009026DA">
      <w:pPr>
        <w:pStyle w:val="Caption"/>
        <w:rPr>
          <w:rStyle w:val="IntenseReference"/>
          <w:rFonts w:eastAsia="SimSun"/>
        </w:rPr>
      </w:pPr>
      <w:bookmarkStart w:id="393" w:name="_Ref492389983"/>
      <w:bookmarkStart w:id="394" w:name="_Toc492389707"/>
      <w:bookmarkEnd w:id="392"/>
      <w:r>
        <w:t xml:space="preserve">Figure A1. </w:t>
      </w:r>
      <w:r>
        <w:fldChar w:fldCharType="begin"/>
      </w:r>
      <w:r>
        <w:instrText xml:space="preserve"> SEQ Figure_A1. \* ARABIC </w:instrText>
      </w:r>
      <w:r>
        <w:fldChar w:fldCharType="separate"/>
      </w:r>
      <w:r w:rsidR="00D806F2">
        <w:rPr>
          <w:noProof/>
        </w:rPr>
        <w:t>2</w:t>
      </w:r>
      <w:r>
        <w:fldChar w:fldCharType="end"/>
      </w:r>
      <w:bookmarkEnd w:id="393"/>
      <w:r>
        <w:t xml:space="preserve"> </w:t>
      </w:r>
      <w:r w:rsidR="00817833" w:rsidRPr="0082344A">
        <w:t>Johnstone Russell-Mulgrave sub-region</w:t>
      </w:r>
      <w:r w:rsidR="001038D9" w:rsidRPr="0082344A">
        <w:t xml:space="preserve"> benthic community composition</w:t>
      </w:r>
      <w:r w:rsidR="00817833" w:rsidRPr="0082344A">
        <w:t>.</w:t>
      </w:r>
      <w:bookmarkStart w:id="395" w:name="_Toc471373202"/>
      <w:bookmarkStart w:id="396" w:name="_Toc437424325"/>
      <w:bookmarkStart w:id="397" w:name="_Toc437432378"/>
      <w:bookmarkEnd w:id="388"/>
      <w:bookmarkEnd w:id="389"/>
      <w:bookmarkEnd w:id="390"/>
      <w:r w:rsidR="0082344A" w:rsidRPr="0082344A">
        <w:t xml:space="preserve"> </w:t>
      </w:r>
      <w:r w:rsidR="0082344A">
        <w:t>C</w:t>
      </w:r>
      <w:r w:rsidR="008A1A24" w:rsidRPr="005B6EC7">
        <w:rPr>
          <w:rStyle w:val="IntenseReference"/>
          <w:rFonts w:eastAsia="SimSun"/>
        </w:rPr>
        <w:t>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w:t>
      </w:r>
      <w:bookmarkEnd w:id="391"/>
      <w:bookmarkEnd w:id="394"/>
      <w:bookmarkEnd w:id="395"/>
      <w:bookmarkEnd w:id="396"/>
      <w:bookmarkEnd w:id="397"/>
    </w:p>
    <w:p w14:paraId="539C0315" w14:textId="77777777" w:rsidR="00B8520A" w:rsidRDefault="00F73646" w:rsidP="00F872DF">
      <w:pPr>
        <w:pStyle w:val="Caption"/>
        <w:rPr>
          <w:rStyle w:val="IntenseReference"/>
          <w:rFonts w:eastAsia="SimSun"/>
          <w:color w:val="4F81BD" w:themeColor="accent1"/>
        </w:rPr>
      </w:pPr>
      <w:r w:rsidRPr="00F439FB">
        <w:rPr>
          <w:rStyle w:val="IntenseReference"/>
          <w:rFonts w:eastAsia="SimSun"/>
          <w:color w:val="4F81BD" w:themeColor="accent1"/>
        </w:rPr>
        <w:br w:type="page"/>
      </w:r>
    </w:p>
    <w:p w14:paraId="63E7A3F3" w14:textId="7E2101F6" w:rsidR="00B8520A" w:rsidRDefault="00F62EEB" w:rsidP="00B8520A">
      <w:pPr>
        <w:rPr>
          <w:rStyle w:val="IntenseReference"/>
          <w:rFonts w:eastAsia="SimSun"/>
          <w:color w:val="auto"/>
        </w:rPr>
      </w:pPr>
      <w:r>
        <w:rPr>
          <w:rFonts w:ascii="Arial Narrow" w:eastAsia="SimSun" w:hAnsi="Arial Narrow"/>
          <w:bCs/>
          <w:noProof/>
          <w:sz w:val="20"/>
          <w:lang w:val="en-AU" w:eastAsia="en-AU"/>
        </w:rPr>
        <w:drawing>
          <wp:inline distT="0" distB="0" distL="0" distR="0" wp14:anchorId="53553A7E" wp14:editId="439BB6B7">
            <wp:extent cx="8864600" cy="4674235"/>
            <wp:effectExtent l="0" t="0" r="0" b="0"/>
            <wp:docPr id="225" name="Picture 225" descr="A panel of plots that illustrates community composition for each reef and depth. Cover is displayed by hard coral families plus soft coral and Macroalgae. Juvenile corals are broken down by families. Reefs included are Fitzroy East and High east and West" title="Figure A1.2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Johnstone2.jpg"/>
                    <pic:cNvPicPr/>
                  </pic:nvPicPr>
                  <pic:blipFill>
                    <a:blip r:embed="rId76">
                      <a:extLst>
                        <a:ext uri="{28A0092B-C50C-407E-A947-70E740481C1C}">
                          <a14:useLocalDpi xmlns:a14="http://schemas.microsoft.com/office/drawing/2010/main" val="0"/>
                        </a:ext>
                      </a:extLst>
                    </a:blip>
                    <a:stretch>
                      <a:fillRect/>
                    </a:stretch>
                  </pic:blipFill>
                  <pic:spPr>
                    <a:xfrm>
                      <a:off x="0" y="0"/>
                      <a:ext cx="8864600" cy="4674235"/>
                    </a:xfrm>
                    <a:prstGeom prst="rect">
                      <a:avLst/>
                    </a:prstGeom>
                  </pic:spPr>
                </pic:pic>
              </a:graphicData>
            </a:graphic>
          </wp:inline>
        </w:drawing>
      </w:r>
    </w:p>
    <w:p w14:paraId="11EA9D3D" w14:textId="232F2D40" w:rsidR="008A1A24" w:rsidRPr="005521E5" w:rsidRDefault="008A1A24" w:rsidP="00F872DF">
      <w:pPr>
        <w:pStyle w:val="Caption"/>
        <w:rPr>
          <w:rStyle w:val="IntenseReference"/>
          <w:rFonts w:ascii="Arial" w:eastAsia="SimSun" w:hAnsi="Arial"/>
          <w:bCs w:val="0"/>
          <w:color w:val="auto"/>
          <w:sz w:val="22"/>
          <w:lang w:val="en-AU"/>
        </w:rPr>
      </w:pPr>
      <w:r w:rsidRPr="005521E5">
        <w:rPr>
          <w:rStyle w:val="IntenseReference"/>
          <w:rFonts w:eastAsia="SimSun"/>
          <w:color w:val="auto"/>
        </w:rPr>
        <w:t>Figure A</w:t>
      </w:r>
      <w:r w:rsidR="00817833">
        <w:rPr>
          <w:rStyle w:val="IntenseReference"/>
          <w:rFonts w:eastAsia="SimSun"/>
          <w:color w:val="auto"/>
        </w:rPr>
        <w:t>1.</w:t>
      </w:r>
      <w:r w:rsidR="0096504D" w:rsidRPr="005521E5">
        <w:rPr>
          <w:rStyle w:val="IntenseReference"/>
          <w:rFonts w:eastAsia="SimSun"/>
          <w:color w:val="auto"/>
        </w:rPr>
        <w:t xml:space="preserve"> </w:t>
      </w:r>
      <w:r w:rsidR="00C356AC" w:rsidRPr="005521E5">
        <w:rPr>
          <w:rStyle w:val="IntenseReference"/>
          <w:rFonts w:eastAsia="SimSun"/>
          <w:color w:val="auto"/>
        </w:rPr>
        <w:t>2</w:t>
      </w:r>
      <w:r w:rsidR="0063376B" w:rsidRPr="005521E5">
        <w:rPr>
          <w:rStyle w:val="IntenseReference"/>
          <w:rFonts w:eastAsia="SimSun"/>
          <w:color w:val="auto"/>
        </w:rPr>
        <w:t xml:space="preserve"> c</w:t>
      </w:r>
      <w:r w:rsidRPr="005521E5">
        <w:rPr>
          <w:rStyle w:val="IntenseReference"/>
          <w:rFonts w:eastAsia="SimSun"/>
          <w:color w:val="auto"/>
        </w:rPr>
        <w:t>ontinued</w:t>
      </w:r>
    </w:p>
    <w:p w14:paraId="11EA9D3E" w14:textId="69FDF41D" w:rsidR="004462C7" w:rsidRPr="00F439FB" w:rsidRDefault="00DA1B4E" w:rsidP="001778B8">
      <w:pPr>
        <w:rPr>
          <w:color w:val="4F81BD" w:themeColor="accent1"/>
        </w:rPr>
      </w:pPr>
      <w:r w:rsidRPr="00F439FB">
        <w:rPr>
          <w:color w:val="4F81BD" w:themeColor="accent1"/>
        </w:rPr>
        <w:br w:type="page"/>
      </w:r>
    </w:p>
    <w:p w14:paraId="26F9BF5E" w14:textId="405DD200" w:rsidR="00B8520A" w:rsidRDefault="00F62EEB" w:rsidP="00B8520A">
      <w:pPr>
        <w:rPr>
          <w:rStyle w:val="IntenseReference"/>
          <w:color w:val="auto"/>
        </w:rPr>
      </w:pPr>
      <w:r>
        <w:rPr>
          <w:rFonts w:ascii="Arial Narrow" w:hAnsi="Arial Narrow"/>
          <w:bCs/>
          <w:noProof/>
          <w:sz w:val="20"/>
          <w:lang w:val="en-AU" w:eastAsia="en-AU"/>
        </w:rPr>
        <w:drawing>
          <wp:inline distT="0" distB="0" distL="0" distR="0" wp14:anchorId="6A4E2629" wp14:editId="701376CA">
            <wp:extent cx="8864600" cy="3524250"/>
            <wp:effectExtent l="0" t="0" r="0" b="0"/>
            <wp:docPr id="226" name="Picture 226" descr="A panel of plots that illustrates community composition for each reef and depth. Cover is displayed by hard coral families plus soft coral and Macroalgae. Juvenile corals are broken down by families. Reefs included are Franklands East and West" title="Figure A1.2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Johnstone3.jpg"/>
                    <pic:cNvPicPr/>
                  </pic:nvPicPr>
                  <pic:blipFill>
                    <a:blip r:embed="rId77">
                      <a:extLst>
                        <a:ext uri="{28A0092B-C50C-407E-A947-70E740481C1C}">
                          <a14:useLocalDpi xmlns:a14="http://schemas.microsoft.com/office/drawing/2010/main" val="0"/>
                        </a:ext>
                      </a:extLst>
                    </a:blip>
                    <a:stretch>
                      <a:fillRect/>
                    </a:stretch>
                  </pic:blipFill>
                  <pic:spPr>
                    <a:xfrm>
                      <a:off x="0" y="0"/>
                      <a:ext cx="8864600" cy="3524250"/>
                    </a:xfrm>
                    <a:prstGeom prst="rect">
                      <a:avLst/>
                    </a:prstGeom>
                  </pic:spPr>
                </pic:pic>
              </a:graphicData>
            </a:graphic>
          </wp:inline>
        </w:drawing>
      </w:r>
    </w:p>
    <w:p w14:paraId="11EA9D45" w14:textId="2B0EDD3A" w:rsidR="00793D8A" w:rsidRDefault="004462C7" w:rsidP="001778B8">
      <w:pPr>
        <w:rPr>
          <w:rStyle w:val="IntenseReference"/>
          <w:color w:val="auto"/>
        </w:rPr>
      </w:pPr>
      <w:r w:rsidRPr="005521E5">
        <w:rPr>
          <w:rStyle w:val="IntenseReference"/>
          <w:color w:val="auto"/>
        </w:rPr>
        <w:t>Figure A</w:t>
      </w:r>
      <w:r w:rsidR="00817833">
        <w:rPr>
          <w:rStyle w:val="IntenseReference"/>
          <w:color w:val="auto"/>
        </w:rPr>
        <w:t>1.</w:t>
      </w:r>
      <w:r w:rsidR="0096504D" w:rsidRPr="005521E5">
        <w:rPr>
          <w:rStyle w:val="IntenseReference"/>
          <w:color w:val="auto"/>
        </w:rPr>
        <w:t xml:space="preserve"> </w:t>
      </w:r>
      <w:r w:rsidR="00C356AC" w:rsidRPr="005521E5">
        <w:rPr>
          <w:rStyle w:val="IntenseReference"/>
          <w:color w:val="auto"/>
        </w:rPr>
        <w:t>2</w:t>
      </w:r>
      <w:r w:rsidRPr="005521E5">
        <w:rPr>
          <w:rStyle w:val="IntenseReference"/>
          <w:color w:val="auto"/>
        </w:rPr>
        <w:t xml:space="preserve"> </w:t>
      </w:r>
      <w:r w:rsidR="0063376B" w:rsidRPr="005521E5">
        <w:rPr>
          <w:rStyle w:val="IntenseReference"/>
          <w:color w:val="auto"/>
        </w:rPr>
        <w:t>continued</w:t>
      </w:r>
    </w:p>
    <w:p w14:paraId="5F16004C" w14:textId="77777777" w:rsidR="00793D8A" w:rsidRDefault="00793D8A">
      <w:pPr>
        <w:jc w:val="left"/>
        <w:rPr>
          <w:rStyle w:val="IntenseReference"/>
          <w:color w:val="auto"/>
        </w:rPr>
      </w:pPr>
      <w:r>
        <w:rPr>
          <w:rStyle w:val="IntenseReference"/>
          <w:color w:val="auto"/>
        </w:rPr>
        <w:br w:type="page"/>
      </w:r>
    </w:p>
    <w:p w14:paraId="7B75BBCA" w14:textId="6189214C" w:rsidR="00B8520A" w:rsidRDefault="00F62EEB" w:rsidP="00B8520A">
      <w:bookmarkStart w:id="398" w:name="_Ref491267551"/>
      <w:bookmarkStart w:id="399" w:name="_Toc374701410"/>
      <w:bookmarkStart w:id="400" w:name="_Toc392929578"/>
      <w:bookmarkStart w:id="401" w:name="_Toc430268219"/>
      <w:r>
        <w:rPr>
          <w:noProof/>
          <w:lang w:val="en-AU" w:eastAsia="en-AU"/>
        </w:rPr>
        <w:drawing>
          <wp:inline distT="0" distB="0" distL="0" distR="0" wp14:anchorId="64CF3CC5" wp14:editId="59223662">
            <wp:extent cx="8864600" cy="4711700"/>
            <wp:effectExtent l="0" t="0" r="0" b="0"/>
            <wp:docPr id="229" name="Picture 229" descr="A panel of plots that illustrates community composition for each reef and depth. Cover is displayed by hard coral families plus soft coral and Macroalgae. Juvenile corals are broken down by families. Reefs included are North Barnard, King and Dunk North" title="Figure A1.3 Community composition Herbert Tully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Tully1.jpg"/>
                    <pic:cNvPicPr/>
                  </pic:nvPicPr>
                  <pic:blipFill>
                    <a:blip r:embed="rId78">
                      <a:extLst>
                        <a:ext uri="{28A0092B-C50C-407E-A947-70E740481C1C}">
                          <a14:useLocalDpi xmlns:a14="http://schemas.microsoft.com/office/drawing/2010/main" val="0"/>
                        </a:ext>
                      </a:extLst>
                    </a:blip>
                    <a:stretch>
                      <a:fillRect/>
                    </a:stretch>
                  </pic:blipFill>
                  <pic:spPr>
                    <a:xfrm>
                      <a:off x="0" y="0"/>
                      <a:ext cx="8864600" cy="4711700"/>
                    </a:xfrm>
                    <a:prstGeom prst="rect">
                      <a:avLst/>
                    </a:prstGeom>
                  </pic:spPr>
                </pic:pic>
              </a:graphicData>
            </a:graphic>
          </wp:inline>
        </w:drawing>
      </w:r>
    </w:p>
    <w:p w14:paraId="11EA9D47" w14:textId="7926037B" w:rsidR="00DA1B4E" w:rsidRPr="005521E5" w:rsidRDefault="009026DA" w:rsidP="009026DA">
      <w:pPr>
        <w:pStyle w:val="Caption"/>
        <w:rPr>
          <w:rStyle w:val="IntenseReference"/>
          <w:rFonts w:eastAsia="SimSun"/>
          <w:color w:val="auto"/>
        </w:rPr>
      </w:pPr>
      <w:bookmarkStart w:id="402" w:name="_Ref492390039"/>
      <w:bookmarkStart w:id="403" w:name="_Toc492389708"/>
      <w:r>
        <w:t xml:space="preserve">Figure A1. </w:t>
      </w:r>
      <w:r>
        <w:fldChar w:fldCharType="begin"/>
      </w:r>
      <w:r>
        <w:instrText xml:space="preserve"> SEQ Figure_A1. \* ARABIC </w:instrText>
      </w:r>
      <w:r>
        <w:fldChar w:fldCharType="separate"/>
      </w:r>
      <w:r w:rsidR="00D806F2">
        <w:rPr>
          <w:noProof/>
        </w:rPr>
        <w:t>3</w:t>
      </w:r>
      <w:r>
        <w:fldChar w:fldCharType="end"/>
      </w:r>
      <w:bookmarkEnd w:id="402"/>
      <w:r w:rsidR="00817833">
        <w:t xml:space="preserve"> </w:t>
      </w:r>
      <w:bookmarkEnd w:id="398"/>
      <w:r w:rsidR="00817833" w:rsidRPr="005B2A79">
        <w:t>Herbert-Tully sub- region</w:t>
      </w:r>
      <w:r w:rsidR="002E214E">
        <w:t xml:space="preserve"> benthic community composition</w:t>
      </w:r>
      <w:r w:rsidR="00817833">
        <w:t>.</w:t>
      </w:r>
      <w:bookmarkStart w:id="404" w:name="_Toc471373203"/>
      <w:bookmarkStart w:id="405" w:name="_Toc437424326"/>
      <w:bookmarkStart w:id="406" w:name="_Toc437432379"/>
      <w:bookmarkEnd w:id="399"/>
      <w:bookmarkEnd w:id="400"/>
      <w:bookmarkEnd w:id="401"/>
      <w:r w:rsidR="0082344A">
        <w:rPr>
          <w:rStyle w:val="IntenseReference"/>
          <w:rFonts w:eastAsia="SimSun"/>
          <w:color w:val="auto"/>
        </w:rPr>
        <w:t xml:space="preserve"> C</w:t>
      </w:r>
      <w:r w:rsidR="008A1A24" w:rsidRPr="005521E5">
        <w:rPr>
          <w:rStyle w:val="IntenseReference"/>
          <w:rFonts w:eastAsia="SimSun"/>
          <w:color w:val="auto"/>
        </w:rPr>
        <w:t>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403"/>
      <w:bookmarkEnd w:id="404"/>
      <w:bookmarkEnd w:id="405"/>
      <w:bookmarkEnd w:id="406"/>
    </w:p>
    <w:p w14:paraId="11EA9D48" w14:textId="0108A8EF" w:rsidR="008A1A24" w:rsidRPr="00F439FB" w:rsidRDefault="00DA1B4E" w:rsidP="00406BD7">
      <w:pPr>
        <w:rPr>
          <w:color w:val="4F81BD" w:themeColor="accent1"/>
        </w:rPr>
      </w:pPr>
      <w:r w:rsidRPr="005521E5">
        <w:rPr>
          <w:rStyle w:val="IntenseReference"/>
          <w:rFonts w:eastAsia="SimSun"/>
          <w:color w:val="auto"/>
        </w:rPr>
        <w:br w:type="page"/>
      </w:r>
    </w:p>
    <w:p w14:paraId="21E0495D" w14:textId="11AD9F93" w:rsidR="00B8520A" w:rsidRDefault="00F62EEB" w:rsidP="00B8520A">
      <w:pPr>
        <w:rPr>
          <w:rStyle w:val="IntenseReference"/>
          <w:color w:val="auto"/>
        </w:rPr>
      </w:pPr>
      <w:r>
        <w:rPr>
          <w:rFonts w:ascii="Arial Narrow" w:hAnsi="Arial Narrow"/>
          <w:bCs/>
          <w:noProof/>
          <w:sz w:val="20"/>
          <w:lang w:val="en-AU" w:eastAsia="en-AU"/>
        </w:rPr>
        <w:drawing>
          <wp:inline distT="0" distB="0" distL="0" distR="0" wp14:anchorId="4CCF7257" wp14:editId="620D1278">
            <wp:extent cx="8864600" cy="3556635"/>
            <wp:effectExtent l="0" t="0" r="0" b="5715"/>
            <wp:docPr id="231" name="Picture 231" descr="A panel of plots that illustrates community composition for each reef and depth.  Cover is displayed by hard coral families plus soft coral and Macroalgae. Juvenile corals are broken down by families. Reefs included are Dunk South and Bedara" title="Figure A 1.3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Tully2.jpg"/>
                    <pic:cNvPicPr/>
                  </pic:nvPicPr>
                  <pic:blipFill>
                    <a:blip r:embed="rId79">
                      <a:extLst>
                        <a:ext uri="{28A0092B-C50C-407E-A947-70E740481C1C}">
                          <a14:useLocalDpi xmlns:a14="http://schemas.microsoft.com/office/drawing/2010/main" val="0"/>
                        </a:ext>
                      </a:extLst>
                    </a:blip>
                    <a:stretch>
                      <a:fillRect/>
                    </a:stretch>
                  </pic:blipFill>
                  <pic:spPr>
                    <a:xfrm>
                      <a:off x="0" y="0"/>
                      <a:ext cx="8864600" cy="3556635"/>
                    </a:xfrm>
                    <a:prstGeom prst="rect">
                      <a:avLst/>
                    </a:prstGeom>
                  </pic:spPr>
                </pic:pic>
              </a:graphicData>
            </a:graphic>
          </wp:inline>
        </w:drawing>
      </w:r>
    </w:p>
    <w:p w14:paraId="11EA9D49" w14:textId="4A0CAF79" w:rsidR="00DA1B4E" w:rsidRPr="005521E5" w:rsidRDefault="008A1A24" w:rsidP="00406BD7">
      <w:pPr>
        <w:rPr>
          <w:rStyle w:val="IntenseReference"/>
          <w:color w:val="auto"/>
        </w:rPr>
      </w:pPr>
      <w:r w:rsidRPr="005521E5">
        <w:rPr>
          <w:rStyle w:val="IntenseReference"/>
          <w:color w:val="auto"/>
        </w:rPr>
        <w:t>Figure A</w:t>
      </w:r>
      <w:r w:rsidR="00817833">
        <w:rPr>
          <w:rStyle w:val="IntenseReference"/>
          <w:color w:val="auto"/>
        </w:rPr>
        <w:t>1.</w:t>
      </w:r>
      <w:r w:rsidR="0096504D" w:rsidRPr="005521E5">
        <w:rPr>
          <w:rStyle w:val="IntenseReference"/>
          <w:color w:val="auto"/>
        </w:rPr>
        <w:t xml:space="preserve"> </w:t>
      </w:r>
      <w:r w:rsidR="00C356AC" w:rsidRPr="005521E5">
        <w:rPr>
          <w:rStyle w:val="IntenseReference"/>
          <w:color w:val="auto"/>
        </w:rPr>
        <w:t xml:space="preserve">3 </w:t>
      </w:r>
      <w:r w:rsidRPr="005521E5">
        <w:rPr>
          <w:rStyle w:val="IntenseReference"/>
          <w:color w:val="auto"/>
        </w:rPr>
        <w:t>continued</w:t>
      </w:r>
    </w:p>
    <w:p w14:paraId="11EA9D4A" w14:textId="77777777" w:rsidR="003230DA" w:rsidRDefault="003230DA" w:rsidP="001778B8">
      <w:pPr>
        <w:rPr>
          <w:noProof/>
          <w:color w:val="4F81BD" w:themeColor="accent1"/>
          <w:lang w:val="en-AU" w:eastAsia="en-AU"/>
        </w:rPr>
      </w:pPr>
    </w:p>
    <w:p w14:paraId="11EA9D4B" w14:textId="6BB0EA17" w:rsidR="008A1A24" w:rsidRDefault="008A1A24" w:rsidP="001778B8">
      <w:pPr>
        <w:rPr>
          <w:color w:val="4F81BD" w:themeColor="accent1"/>
        </w:rPr>
      </w:pPr>
    </w:p>
    <w:p w14:paraId="63B49E9B" w14:textId="23357E7F" w:rsidR="00817833" w:rsidRDefault="00817833">
      <w:pPr>
        <w:jc w:val="left"/>
        <w:rPr>
          <w:rFonts w:ascii="Arial Narrow" w:eastAsia="SimSun" w:hAnsi="Arial Narrow"/>
          <w:sz w:val="20"/>
          <w:szCs w:val="24"/>
        </w:rPr>
      </w:pPr>
      <w:bookmarkStart w:id="407" w:name="_Ref469945408"/>
      <w:bookmarkStart w:id="408" w:name="_Toc374701411"/>
      <w:bookmarkStart w:id="409" w:name="_Toc392929579"/>
      <w:bookmarkStart w:id="410" w:name="_Toc430268220"/>
      <w:bookmarkStart w:id="411" w:name="_Toc453243771"/>
      <w:bookmarkStart w:id="412" w:name="_Toc471373204"/>
      <w:r>
        <w:br w:type="page"/>
      </w:r>
    </w:p>
    <w:p w14:paraId="46F16DD1" w14:textId="69C68B6E" w:rsidR="00B8520A" w:rsidRDefault="00F62EEB" w:rsidP="00B8520A">
      <w:bookmarkStart w:id="413" w:name="_Ref491267608"/>
      <w:r>
        <w:rPr>
          <w:noProof/>
          <w:lang w:val="en-AU" w:eastAsia="en-AU"/>
        </w:rPr>
        <w:drawing>
          <wp:inline distT="0" distB="0" distL="0" distR="0" wp14:anchorId="00DFE9C9" wp14:editId="53973E4C">
            <wp:extent cx="8864600" cy="4786630"/>
            <wp:effectExtent l="0" t="0" r="0" b="0"/>
            <wp:docPr id="234" name="Picture 234" descr="A panel of plots that illustrates community composition for each reef and depth. Cover is displayed by hard coral families plus soft coral and Macroalgae. Juvenile corals are broken down by families. Reefs include are Palms East and West and Lady Elliot" title="Figure A1.4 Community composition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Burdekin1.jpg"/>
                    <pic:cNvPicPr/>
                  </pic:nvPicPr>
                  <pic:blipFill>
                    <a:blip r:embed="rId80">
                      <a:extLst>
                        <a:ext uri="{28A0092B-C50C-407E-A947-70E740481C1C}">
                          <a14:useLocalDpi xmlns:a14="http://schemas.microsoft.com/office/drawing/2010/main" val="0"/>
                        </a:ext>
                      </a:extLst>
                    </a:blip>
                    <a:stretch>
                      <a:fillRect/>
                    </a:stretch>
                  </pic:blipFill>
                  <pic:spPr>
                    <a:xfrm>
                      <a:off x="0" y="0"/>
                      <a:ext cx="8864600" cy="4786630"/>
                    </a:xfrm>
                    <a:prstGeom prst="rect">
                      <a:avLst/>
                    </a:prstGeom>
                  </pic:spPr>
                </pic:pic>
              </a:graphicData>
            </a:graphic>
          </wp:inline>
        </w:drawing>
      </w:r>
    </w:p>
    <w:p w14:paraId="11EA9D4C" w14:textId="514AC977" w:rsidR="00DA1B4E" w:rsidRPr="005521E5" w:rsidRDefault="009026DA" w:rsidP="009026DA">
      <w:pPr>
        <w:pStyle w:val="Caption"/>
        <w:rPr>
          <w:rStyle w:val="IntenseReference"/>
          <w:rFonts w:eastAsia="SimSun"/>
          <w:color w:val="auto"/>
        </w:rPr>
      </w:pPr>
      <w:bookmarkStart w:id="414" w:name="_Ref492390160"/>
      <w:bookmarkStart w:id="415" w:name="_Toc492389709"/>
      <w:bookmarkEnd w:id="413"/>
      <w:r>
        <w:t xml:space="preserve">Figure A1. </w:t>
      </w:r>
      <w:r>
        <w:fldChar w:fldCharType="begin"/>
      </w:r>
      <w:r>
        <w:instrText xml:space="preserve"> SEQ Figure_A1. \* ARABIC </w:instrText>
      </w:r>
      <w:r>
        <w:fldChar w:fldCharType="separate"/>
      </w:r>
      <w:r w:rsidR="00D806F2">
        <w:rPr>
          <w:noProof/>
        </w:rPr>
        <w:t>4</w:t>
      </w:r>
      <w:r>
        <w:fldChar w:fldCharType="end"/>
      </w:r>
      <w:bookmarkEnd w:id="414"/>
      <w:r>
        <w:t xml:space="preserve"> </w:t>
      </w:r>
      <w:r w:rsidR="002E214E">
        <w:t>Burdekin R</w:t>
      </w:r>
      <w:r w:rsidR="00817833" w:rsidRPr="00524E90">
        <w:t>egion</w:t>
      </w:r>
      <w:r w:rsidR="002E214E">
        <w:t xml:space="preserve"> benthic community composition</w:t>
      </w:r>
      <w:r w:rsidR="00817833">
        <w:t>.</w:t>
      </w:r>
      <w:bookmarkEnd w:id="407"/>
      <w:bookmarkEnd w:id="408"/>
      <w:bookmarkEnd w:id="409"/>
      <w:bookmarkEnd w:id="410"/>
      <w:bookmarkEnd w:id="411"/>
      <w:r w:rsidR="003230DA" w:rsidRPr="005521E5">
        <w:t xml:space="preserve"> </w:t>
      </w:r>
      <w:bookmarkStart w:id="416" w:name="_Toc437424327"/>
      <w:bookmarkStart w:id="417" w:name="_Toc437432380"/>
      <w:r w:rsidR="0082344A">
        <w:rPr>
          <w:rStyle w:val="IntenseReference"/>
          <w:rFonts w:eastAsia="SimSun"/>
          <w:color w:val="auto"/>
        </w:rPr>
        <w:t>C</w:t>
      </w:r>
      <w:r w:rsidR="008A1A24" w:rsidRPr="005521E5">
        <w:rPr>
          <w:rStyle w:val="IntenseReference"/>
          <w:rFonts w:eastAsia="SimSun"/>
          <w:color w:val="auto"/>
        </w:rPr>
        <w:t>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412"/>
      <w:bookmarkEnd w:id="415"/>
      <w:bookmarkEnd w:id="416"/>
      <w:bookmarkEnd w:id="417"/>
    </w:p>
    <w:p w14:paraId="11EA9D4D" w14:textId="77777777" w:rsidR="005521E5" w:rsidRDefault="00DA1B4E" w:rsidP="001778B8">
      <w:pPr>
        <w:rPr>
          <w:noProof/>
          <w:color w:val="4F81BD" w:themeColor="accent1"/>
          <w:lang w:val="en-AU" w:eastAsia="en-AU"/>
        </w:rPr>
      </w:pPr>
      <w:r w:rsidRPr="00F439FB">
        <w:rPr>
          <w:rStyle w:val="IntenseReference"/>
          <w:rFonts w:eastAsia="SimSun"/>
          <w:color w:val="4F81BD" w:themeColor="accent1"/>
        </w:rPr>
        <w:br w:type="page"/>
      </w:r>
    </w:p>
    <w:p w14:paraId="675E7AD4" w14:textId="0C422EDA" w:rsidR="00B8520A" w:rsidRDefault="00F62EEB" w:rsidP="00B8520A">
      <w:pPr>
        <w:rPr>
          <w:rStyle w:val="IntenseReference"/>
          <w:color w:val="auto"/>
        </w:rPr>
      </w:pPr>
      <w:r>
        <w:rPr>
          <w:rFonts w:ascii="Arial Narrow" w:hAnsi="Arial Narrow"/>
          <w:bCs/>
          <w:noProof/>
          <w:sz w:val="20"/>
          <w:lang w:val="en-AU" w:eastAsia="en-AU"/>
        </w:rPr>
        <w:drawing>
          <wp:inline distT="0" distB="0" distL="0" distR="0" wp14:anchorId="620C1292" wp14:editId="7D18E82A">
            <wp:extent cx="8864600" cy="4819015"/>
            <wp:effectExtent l="0" t="0" r="0" b="635"/>
            <wp:docPr id="235" name="Picture 235" descr="A panel of plots that illustrates community composition for each reef and depth. Cover is displayed by hard coral families plus soft coral and Macroalgae. Juvenile corals are broken down by families. Reefs included are Havannah North, Pandora and Pandora North" title="Figure A1.4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Burdekin2.jpg"/>
                    <pic:cNvPicPr/>
                  </pic:nvPicPr>
                  <pic:blipFill>
                    <a:blip r:embed="rId81">
                      <a:extLst>
                        <a:ext uri="{28A0092B-C50C-407E-A947-70E740481C1C}">
                          <a14:useLocalDpi xmlns:a14="http://schemas.microsoft.com/office/drawing/2010/main" val="0"/>
                        </a:ext>
                      </a:extLst>
                    </a:blip>
                    <a:stretch>
                      <a:fillRect/>
                    </a:stretch>
                  </pic:blipFill>
                  <pic:spPr>
                    <a:xfrm>
                      <a:off x="0" y="0"/>
                      <a:ext cx="8864600" cy="4819015"/>
                    </a:xfrm>
                    <a:prstGeom prst="rect">
                      <a:avLst/>
                    </a:prstGeom>
                  </pic:spPr>
                </pic:pic>
              </a:graphicData>
            </a:graphic>
          </wp:inline>
        </w:drawing>
      </w:r>
    </w:p>
    <w:p w14:paraId="11EA9D4F" w14:textId="4E9429DF" w:rsidR="00DA1B4E" w:rsidRPr="005521E5" w:rsidRDefault="008A1A24" w:rsidP="00406BD7">
      <w:pPr>
        <w:rPr>
          <w:rStyle w:val="IntenseReference"/>
          <w:color w:val="auto"/>
        </w:rPr>
      </w:pPr>
      <w:r w:rsidRPr="005521E5">
        <w:rPr>
          <w:rStyle w:val="IntenseReference"/>
          <w:color w:val="auto"/>
        </w:rPr>
        <w:t>Figure A</w:t>
      </w:r>
      <w:r w:rsidR="00817833">
        <w:rPr>
          <w:rStyle w:val="IntenseReference"/>
          <w:color w:val="auto"/>
        </w:rPr>
        <w:t>1.</w:t>
      </w:r>
      <w:r w:rsidR="0096504D" w:rsidRPr="005521E5">
        <w:rPr>
          <w:rStyle w:val="IntenseReference"/>
          <w:color w:val="auto"/>
        </w:rPr>
        <w:t xml:space="preserve"> </w:t>
      </w:r>
      <w:r w:rsidR="00C356AC" w:rsidRPr="005521E5">
        <w:rPr>
          <w:rStyle w:val="IntenseReference"/>
          <w:color w:val="auto"/>
        </w:rPr>
        <w:t>4</w:t>
      </w:r>
      <w:r w:rsidR="0063376B" w:rsidRPr="005521E5">
        <w:rPr>
          <w:rStyle w:val="IntenseReference"/>
          <w:color w:val="auto"/>
        </w:rPr>
        <w:t xml:space="preserve"> continued</w:t>
      </w:r>
    </w:p>
    <w:p w14:paraId="11EA9D50" w14:textId="77777777" w:rsidR="005521E5" w:rsidRPr="005521E5" w:rsidRDefault="00DA1B4E" w:rsidP="001778B8">
      <w:pPr>
        <w:rPr>
          <w:rFonts w:ascii="Arial Narrow" w:hAnsi="Arial Narrow"/>
          <w:bCs/>
          <w:color w:val="4F81BD" w:themeColor="accent1"/>
          <w:sz w:val="20"/>
        </w:rPr>
      </w:pPr>
      <w:r w:rsidRPr="00F439FB">
        <w:rPr>
          <w:rStyle w:val="IntenseReference"/>
          <w:color w:val="4F81BD" w:themeColor="accent1"/>
        </w:rPr>
        <w:br w:type="page"/>
      </w:r>
    </w:p>
    <w:p w14:paraId="4F7216EF" w14:textId="09E8AF7C" w:rsidR="00F62EEB" w:rsidRDefault="00F62EEB" w:rsidP="00F62EEB">
      <w:pPr>
        <w:rPr>
          <w:rStyle w:val="IntenseReference"/>
          <w:color w:val="auto"/>
        </w:rPr>
      </w:pPr>
      <w:r>
        <w:rPr>
          <w:rFonts w:ascii="Arial Narrow" w:hAnsi="Arial Narrow"/>
          <w:bCs/>
          <w:noProof/>
          <w:sz w:val="20"/>
          <w:lang w:val="en-AU" w:eastAsia="en-AU"/>
        </w:rPr>
        <w:drawing>
          <wp:inline distT="0" distB="0" distL="0" distR="0" wp14:anchorId="3EA0E0B1" wp14:editId="1FB39943">
            <wp:extent cx="8864600" cy="4786630"/>
            <wp:effectExtent l="0" t="0" r="0" b="0"/>
            <wp:docPr id="238" name="Picture 238" descr="A panel of plots that illustrates community composition for each reef and depth. Cover is displayed by hard coral families plus soft coral and Macroalgae. Juvenile corals are broken down by families. Reefs included are Havannah, Middle Reef and Magnetic" title="Figure A1.4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Burdekin3.jpg"/>
                    <pic:cNvPicPr/>
                  </pic:nvPicPr>
                  <pic:blipFill>
                    <a:blip r:embed="rId82">
                      <a:extLst>
                        <a:ext uri="{28A0092B-C50C-407E-A947-70E740481C1C}">
                          <a14:useLocalDpi xmlns:a14="http://schemas.microsoft.com/office/drawing/2010/main" val="0"/>
                        </a:ext>
                      </a:extLst>
                    </a:blip>
                    <a:stretch>
                      <a:fillRect/>
                    </a:stretch>
                  </pic:blipFill>
                  <pic:spPr>
                    <a:xfrm>
                      <a:off x="0" y="0"/>
                      <a:ext cx="8864600" cy="4786630"/>
                    </a:xfrm>
                    <a:prstGeom prst="rect">
                      <a:avLst/>
                    </a:prstGeom>
                  </pic:spPr>
                </pic:pic>
              </a:graphicData>
            </a:graphic>
          </wp:inline>
        </w:drawing>
      </w:r>
    </w:p>
    <w:p w14:paraId="11EA9D52" w14:textId="25174008" w:rsidR="00DA1B4E" w:rsidRPr="005521E5" w:rsidRDefault="008A1A24">
      <w:pPr>
        <w:rPr>
          <w:rStyle w:val="IntenseReference"/>
          <w:color w:val="auto"/>
        </w:rPr>
      </w:pPr>
      <w:r w:rsidRPr="005521E5">
        <w:rPr>
          <w:rStyle w:val="IntenseReference"/>
          <w:color w:val="auto"/>
        </w:rPr>
        <w:t>Figure A</w:t>
      </w:r>
      <w:r w:rsidR="00817833">
        <w:rPr>
          <w:rStyle w:val="IntenseReference"/>
          <w:color w:val="auto"/>
        </w:rPr>
        <w:t>1.</w:t>
      </w:r>
      <w:r w:rsidR="0096504D" w:rsidRPr="005521E5">
        <w:rPr>
          <w:rStyle w:val="IntenseReference"/>
          <w:color w:val="auto"/>
        </w:rPr>
        <w:t xml:space="preserve"> </w:t>
      </w:r>
      <w:r w:rsidR="00C356AC" w:rsidRPr="005521E5">
        <w:rPr>
          <w:rStyle w:val="IntenseReference"/>
          <w:color w:val="auto"/>
        </w:rPr>
        <w:t>4</w:t>
      </w:r>
      <w:r w:rsidR="0063376B" w:rsidRPr="005521E5">
        <w:rPr>
          <w:rStyle w:val="IntenseReference"/>
          <w:color w:val="auto"/>
        </w:rPr>
        <w:t xml:space="preserve"> continued</w:t>
      </w:r>
    </w:p>
    <w:p w14:paraId="11EA9D53" w14:textId="77777777" w:rsidR="00DA1B4E" w:rsidRPr="00F439FB" w:rsidRDefault="00DA1B4E">
      <w:pPr>
        <w:rPr>
          <w:rStyle w:val="IntenseReference"/>
          <w:color w:val="4F81BD" w:themeColor="accent1"/>
        </w:rPr>
      </w:pPr>
      <w:r w:rsidRPr="00F439FB">
        <w:rPr>
          <w:rStyle w:val="IntenseReference"/>
          <w:color w:val="4F81BD" w:themeColor="accent1"/>
        </w:rPr>
        <w:br w:type="page"/>
      </w:r>
    </w:p>
    <w:p w14:paraId="07147D90" w14:textId="5DAAEE1C" w:rsidR="00F62EEB" w:rsidRDefault="00F62EEB" w:rsidP="00F62EEB">
      <w:pPr>
        <w:rPr>
          <w:rStyle w:val="IntenseReference"/>
          <w:color w:val="auto"/>
        </w:rPr>
      </w:pPr>
      <w:r>
        <w:rPr>
          <w:rFonts w:ascii="Arial Narrow" w:hAnsi="Arial Narrow"/>
          <w:bCs/>
          <w:noProof/>
          <w:sz w:val="20"/>
          <w:lang w:val="en-AU" w:eastAsia="en-AU"/>
        </w:rPr>
        <w:drawing>
          <wp:inline distT="0" distB="0" distL="0" distR="0" wp14:anchorId="017D9AD1" wp14:editId="50A90F67">
            <wp:extent cx="8864600" cy="2459990"/>
            <wp:effectExtent l="0" t="0" r="0" b="0"/>
            <wp:docPr id="241" name="Picture 241" descr="A panel of plots that illustrates community composition for each reef and depth. Cover is displayed by hard coral families plus soft coral and Macroalgae. Juvenile corals are broken down by families. Middle Reef LTMP shown" title="Figure A1.4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Burdekin4.jpg"/>
                    <pic:cNvPicPr/>
                  </pic:nvPicPr>
                  <pic:blipFill>
                    <a:blip r:embed="rId83">
                      <a:extLst>
                        <a:ext uri="{28A0092B-C50C-407E-A947-70E740481C1C}">
                          <a14:useLocalDpi xmlns:a14="http://schemas.microsoft.com/office/drawing/2010/main" val="0"/>
                        </a:ext>
                      </a:extLst>
                    </a:blip>
                    <a:stretch>
                      <a:fillRect/>
                    </a:stretch>
                  </pic:blipFill>
                  <pic:spPr>
                    <a:xfrm>
                      <a:off x="0" y="0"/>
                      <a:ext cx="8864600" cy="2459990"/>
                    </a:xfrm>
                    <a:prstGeom prst="rect">
                      <a:avLst/>
                    </a:prstGeom>
                  </pic:spPr>
                </pic:pic>
              </a:graphicData>
            </a:graphic>
          </wp:inline>
        </w:drawing>
      </w:r>
    </w:p>
    <w:p w14:paraId="11EA9D56" w14:textId="08003B97" w:rsidR="004462C7" w:rsidRPr="005521E5" w:rsidRDefault="004462C7">
      <w:pPr>
        <w:rPr>
          <w:rStyle w:val="IntenseReference"/>
          <w:color w:val="auto"/>
        </w:rPr>
      </w:pPr>
      <w:r w:rsidRPr="005521E5">
        <w:rPr>
          <w:rStyle w:val="IntenseReference"/>
          <w:color w:val="auto"/>
        </w:rPr>
        <w:t>Figure A</w:t>
      </w:r>
      <w:r w:rsidR="00817833">
        <w:rPr>
          <w:rStyle w:val="IntenseReference"/>
          <w:color w:val="auto"/>
        </w:rPr>
        <w:t>1.</w:t>
      </w:r>
      <w:r w:rsidR="0096504D" w:rsidRPr="005521E5">
        <w:rPr>
          <w:rStyle w:val="IntenseReference"/>
          <w:color w:val="auto"/>
        </w:rPr>
        <w:t xml:space="preserve"> </w:t>
      </w:r>
      <w:r w:rsidR="00C356AC" w:rsidRPr="005521E5">
        <w:rPr>
          <w:rStyle w:val="IntenseReference"/>
          <w:color w:val="auto"/>
        </w:rPr>
        <w:t>4</w:t>
      </w:r>
      <w:r w:rsidR="0063376B" w:rsidRPr="005521E5">
        <w:rPr>
          <w:rStyle w:val="IntenseReference"/>
          <w:color w:val="auto"/>
        </w:rPr>
        <w:t xml:space="preserve"> continued</w:t>
      </w:r>
    </w:p>
    <w:p w14:paraId="11EA9D57" w14:textId="77777777" w:rsidR="004462C7" w:rsidRPr="00F439FB" w:rsidRDefault="004462C7">
      <w:pPr>
        <w:rPr>
          <w:color w:val="4F81BD" w:themeColor="accent1"/>
        </w:rPr>
      </w:pPr>
      <w:r w:rsidRPr="00F439FB">
        <w:rPr>
          <w:color w:val="4F81BD" w:themeColor="accent1"/>
        </w:rPr>
        <w:br w:type="page"/>
      </w:r>
    </w:p>
    <w:p w14:paraId="74A8EB7F" w14:textId="56B96CA2" w:rsidR="00F62EEB" w:rsidRDefault="00F62EEB" w:rsidP="00F62EEB">
      <w:bookmarkStart w:id="418" w:name="_Ref491342235"/>
      <w:bookmarkStart w:id="419" w:name="_Toc374701412"/>
      <w:bookmarkStart w:id="420" w:name="_Toc392929580"/>
      <w:bookmarkStart w:id="421" w:name="_Toc430268221"/>
      <w:r>
        <w:rPr>
          <w:noProof/>
          <w:lang w:val="en-AU" w:eastAsia="en-AU"/>
        </w:rPr>
        <w:drawing>
          <wp:inline distT="0" distB="0" distL="0" distR="0" wp14:anchorId="22895B6B" wp14:editId="3CE94D23">
            <wp:extent cx="8864600" cy="4695190"/>
            <wp:effectExtent l="0" t="0" r="0" b="0"/>
            <wp:docPr id="245" name="Picture 245" descr="A panel of plots that illustrates community composition for each reef and depth. Cover is displayed by hard coral families plus soft coral and Macroalgae. Juvenile corals are broken down by families. Reefs included are Hayman, Langford and Double Cone" title="Figure A1.5 Community composition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Whitsunday1.jpg"/>
                    <pic:cNvPicPr/>
                  </pic:nvPicPr>
                  <pic:blipFill>
                    <a:blip r:embed="rId84">
                      <a:extLst>
                        <a:ext uri="{28A0092B-C50C-407E-A947-70E740481C1C}">
                          <a14:useLocalDpi xmlns:a14="http://schemas.microsoft.com/office/drawing/2010/main" val="0"/>
                        </a:ext>
                      </a:extLst>
                    </a:blip>
                    <a:stretch>
                      <a:fillRect/>
                    </a:stretch>
                  </pic:blipFill>
                  <pic:spPr>
                    <a:xfrm>
                      <a:off x="0" y="0"/>
                      <a:ext cx="8864600" cy="4695190"/>
                    </a:xfrm>
                    <a:prstGeom prst="rect">
                      <a:avLst/>
                    </a:prstGeom>
                  </pic:spPr>
                </pic:pic>
              </a:graphicData>
            </a:graphic>
          </wp:inline>
        </w:drawing>
      </w:r>
    </w:p>
    <w:p w14:paraId="11EA9D5A" w14:textId="562D97A8" w:rsidR="006E3C16" w:rsidRPr="005521E5" w:rsidRDefault="009026DA" w:rsidP="009026DA">
      <w:pPr>
        <w:pStyle w:val="Caption"/>
        <w:rPr>
          <w:vanish/>
        </w:rPr>
      </w:pPr>
      <w:bookmarkStart w:id="422" w:name="_Ref492390261"/>
      <w:bookmarkStart w:id="423" w:name="_Toc492389710"/>
      <w:bookmarkEnd w:id="418"/>
      <w:r>
        <w:t xml:space="preserve">Figure A1. </w:t>
      </w:r>
      <w:r>
        <w:fldChar w:fldCharType="begin"/>
      </w:r>
      <w:r>
        <w:instrText xml:space="preserve"> SEQ Figure_A1. \* ARABIC </w:instrText>
      </w:r>
      <w:r>
        <w:fldChar w:fldCharType="separate"/>
      </w:r>
      <w:r w:rsidR="00D806F2">
        <w:rPr>
          <w:noProof/>
        </w:rPr>
        <w:t>5</w:t>
      </w:r>
      <w:r>
        <w:fldChar w:fldCharType="end"/>
      </w:r>
      <w:bookmarkEnd w:id="422"/>
      <w:r>
        <w:t xml:space="preserve"> </w:t>
      </w:r>
      <w:r w:rsidR="00817833" w:rsidRPr="004C38F2">
        <w:t xml:space="preserve">Mackay Whitsunday </w:t>
      </w:r>
      <w:r w:rsidR="002E214E">
        <w:t>R</w:t>
      </w:r>
      <w:r w:rsidR="00817833" w:rsidRPr="004C38F2">
        <w:t>egion</w:t>
      </w:r>
      <w:r w:rsidR="002E214E">
        <w:t xml:space="preserve"> benthic community composition</w:t>
      </w:r>
      <w:r w:rsidR="00817833">
        <w:t>.</w:t>
      </w:r>
      <w:bookmarkEnd w:id="419"/>
      <w:bookmarkEnd w:id="420"/>
      <w:bookmarkEnd w:id="421"/>
      <w:bookmarkEnd w:id="423"/>
      <w:r w:rsidR="00817833" w:rsidRPr="005521E5">
        <w:rPr>
          <w:vanish/>
        </w:rPr>
        <w:t xml:space="preserve"> </w:t>
      </w:r>
    </w:p>
    <w:p w14:paraId="11EA9D5B" w14:textId="787F3DCF" w:rsidR="008A1A24" w:rsidRPr="005521E5" w:rsidRDefault="0082344A" w:rsidP="00F872DF">
      <w:pPr>
        <w:pStyle w:val="Caption"/>
        <w:rPr>
          <w:rStyle w:val="IntenseReference"/>
          <w:rFonts w:eastAsia="SimSun"/>
          <w:color w:val="auto"/>
        </w:rPr>
      </w:pPr>
      <w:bookmarkStart w:id="424" w:name="_Toc437424328"/>
      <w:bookmarkStart w:id="425" w:name="_Toc437432381"/>
      <w:r>
        <w:rPr>
          <w:rStyle w:val="IntenseReference"/>
          <w:rFonts w:eastAsia="SimSun"/>
          <w:color w:val="auto"/>
        </w:rPr>
        <w:t xml:space="preserve"> C</w:t>
      </w:r>
      <w:r w:rsidR="008A1A24" w:rsidRPr="005521E5">
        <w:rPr>
          <w:rStyle w:val="IntenseReference"/>
          <w:rFonts w:eastAsia="SimSun"/>
          <w:color w:val="auto"/>
        </w:rPr>
        <w:t>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424"/>
      <w:bookmarkEnd w:id="425"/>
    </w:p>
    <w:p w14:paraId="11EA9D5D" w14:textId="77777777" w:rsidR="005521E5" w:rsidRDefault="005521E5" w:rsidP="001778B8">
      <w:pPr>
        <w:rPr>
          <w:noProof/>
          <w:color w:val="4F81BD" w:themeColor="accent1"/>
          <w:lang w:val="en-AU" w:eastAsia="en-AU"/>
        </w:rPr>
      </w:pPr>
    </w:p>
    <w:p w14:paraId="11EA9D5E" w14:textId="6D304C3E" w:rsidR="00817833" w:rsidRDefault="00817833">
      <w:pPr>
        <w:jc w:val="left"/>
        <w:rPr>
          <w:color w:val="4F81BD" w:themeColor="accent1"/>
        </w:rPr>
      </w:pPr>
      <w:r>
        <w:rPr>
          <w:color w:val="4F81BD" w:themeColor="accent1"/>
        </w:rPr>
        <w:br w:type="page"/>
      </w:r>
    </w:p>
    <w:p w14:paraId="2CB5E4EE" w14:textId="1701252E" w:rsidR="00F62EEB" w:rsidRDefault="00F62EEB" w:rsidP="00F62EEB">
      <w:pPr>
        <w:rPr>
          <w:rStyle w:val="IntenseReference"/>
          <w:color w:val="auto"/>
        </w:rPr>
      </w:pPr>
      <w:r>
        <w:rPr>
          <w:rFonts w:ascii="Arial Narrow" w:hAnsi="Arial Narrow"/>
          <w:bCs/>
          <w:noProof/>
          <w:sz w:val="20"/>
          <w:lang w:val="en-AU" w:eastAsia="en-AU"/>
        </w:rPr>
        <w:drawing>
          <wp:inline distT="0" distB="0" distL="0" distR="0" wp14:anchorId="21FC1B06" wp14:editId="50C8FE2B">
            <wp:extent cx="8864600" cy="4695190"/>
            <wp:effectExtent l="0" t="0" r="0" b="0"/>
            <wp:docPr id="250" name="Picture 250" descr="A panel of plots that illustrates community composition for each reef and depth. Cover is displayed by hard coral families plus soft coral and Macroalgae. Juvenile corals are broken down by families. reefs included are Hook, Border and Daydream" title="Figure A1.5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Whitsunday2.jpg"/>
                    <pic:cNvPicPr/>
                  </pic:nvPicPr>
                  <pic:blipFill>
                    <a:blip r:embed="rId85">
                      <a:extLst>
                        <a:ext uri="{28A0092B-C50C-407E-A947-70E740481C1C}">
                          <a14:useLocalDpi xmlns:a14="http://schemas.microsoft.com/office/drawing/2010/main" val="0"/>
                        </a:ext>
                      </a:extLst>
                    </a:blip>
                    <a:stretch>
                      <a:fillRect/>
                    </a:stretch>
                  </pic:blipFill>
                  <pic:spPr>
                    <a:xfrm>
                      <a:off x="0" y="0"/>
                      <a:ext cx="8864600" cy="4695190"/>
                    </a:xfrm>
                    <a:prstGeom prst="rect">
                      <a:avLst/>
                    </a:prstGeom>
                  </pic:spPr>
                </pic:pic>
              </a:graphicData>
            </a:graphic>
          </wp:inline>
        </w:drawing>
      </w:r>
    </w:p>
    <w:p w14:paraId="11EA9D5F" w14:textId="538555F2" w:rsidR="008A1A24" w:rsidRPr="005521E5" w:rsidRDefault="008A1A24">
      <w:pPr>
        <w:rPr>
          <w:rStyle w:val="IntenseReference"/>
          <w:color w:val="auto"/>
        </w:rPr>
      </w:pPr>
      <w:r w:rsidRPr="005521E5">
        <w:rPr>
          <w:rStyle w:val="IntenseReference"/>
          <w:color w:val="auto"/>
        </w:rPr>
        <w:t>Figure A</w:t>
      </w:r>
      <w:r w:rsidR="00817833">
        <w:rPr>
          <w:rStyle w:val="IntenseReference"/>
          <w:color w:val="auto"/>
        </w:rPr>
        <w:t>1.</w:t>
      </w:r>
      <w:r w:rsidR="0096504D" w:rsidRPr="005521E5">
        <w:rPr>
          <w:rStyle w:val="IntenseReference"/>
          <w:color w:val="auto"/>
        </w:rPr>
        <w:t xml:space="preserve"> </w:t>
      </w:r>
      <w:r w:rsidR="00C356AC" w:rsidRPr="005521E5">
        <w:rPr>
          <w:rStyle w:val="IntenseReference"/>
          <w:color w:val="auto"/>
        </w:rPr>
        <w:t>5</w:t>
      </w:r>
      <w:r w:rsidR="0063376B" w:rsidRPr="005521E5">
        <w:rPr>
          <w:rStyle w:val="IntenseReference"/>
          <w:color w:val="auto"/>
        </w:rPr>
        <w:t xml:space="preserve"> continued</w:t>
      </w:r>
    </w:p>
    <w:p w14:paraId="11EA9D60" w14:textId="77777777" w:rsidR="008A1A24" w:rsidRPr="00F439FB" w:rsidRDefault="008A1A24">
      <w:pPr>
        <w:rPr>
          <w:color w:val="4F81BD" w:themeColor="accent1"/>
        </w:rPr>
      </w:pPr>
    </w:p>
    <w:p w14:paraId="11EA9D61" w14:textId="3D3F0F3D" w:rsidR="00817833" w:rsidRDefault="00817833">
      <w:pPr>
        <w:jc w:val="left"/>
        <w:rPr>
          <w:color w:val="4F81BD" w:themeColor="accent1"/>
        </w:rPr>
      </w:pPr>
      <w:r>
        <w:rPr>
          <w:color w:val="4F81BD" w:themeColor="accent1"/>
        </w:rPr>
        <w:br w:type="page"/>
      </w:r>
    </w:p>
    <w:p w14:paraId="2E5258B5" w14:textId="382192B2" w:rsidR="00F62EEB" w:rsidRDefault="00F62EEB" w:rsidP="00F62EEB">
      <w:pPr>
        <w:rPr>
          <w:rStyle w:val="IntenseReference"/>
          <w:color w:val="auto"/>
        </w:rPr>
      </w:pPr>
      <w:r>
        <w:rPr>
          <w:rFonts w:ascii="Arial Narrow" w:hAnsi="Arial Narrow"/>
          <w:bCs/>
          <w:noProof/>
          <w:sz w:val="20"/>
          <w:lang w:val="en-AU" w:eastAsia="en-AU"/>
        </w:rPr>
        <w:drawing>
          <wp:inline distT="0" distB="0" distL="0" distR="0" wp14:anchorId="7B05820A" wp14:editId="27BBBB26">
            <wp:extent cx="8864600" cy="4679315"/>
            <wp:effectExtent l="0" t="0" r="0" b="6985"/>
            <wp:docPr id="252" name="Picture 252" descr="A panel of plots that illustrates community composition for each reef and depth. Cover is displayed by hard coral families plus soft coral and Macroalgae. Juvenile corals are broken down by families. Reefs included are Shute Harbour, Dent and Pine" title="Figure A1.5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Whitsunday3.jpg"/>
                    <pic:cNvPicPr/>
                  </pic:nvPicPr>
                  <pic:blipFill>
                    <a:blip r:embed="rId86">
                      <a:extLst>
                        <a:ext uri="{28A0092B-C50C-407E-A947-70E740481C1C}">
                          <a14:useLocalDpi xmlns:a14="http://schemas.microsoft.com/office/drawing/2010/main" val="0"/>
                        </a:ext>
                      </a:extLst>
                    </a:blip>
                    <a:stretch>
                      <a:fillRect/>
                    </a:stretch>
                  </pic:blipFill>
                  <pic:spPr>
                    <a:xfrm>
                      <a:off x="0" y="0"/>
                      <a:ext cx="8864600" cy="4679315"/>
                    </a:xfrm>
                    <a:prstGeom prst="rect">
                      <a:avLst/>
                    </a:prstGeom>
                  </pic:spPr>
                </pic:pic>
              </a:graphicData>
            </a:graphic>
          </wp:inline>
        </w:drawing>
      </w:r>
    </w:p>
    <w:p w14:paraId="11EA9D62" w14:textId="09E10F5C" w:rsidR="00DA1B4E" w:rsidRPr="005521E5" w:rsidRDefault="008A1A24">
      <w:pPr>
        <w:rPr>
          <w:rStyle w:val="IntenseReference"/>
          <w:color w:val="auto"/>
        </w:rPr>
      </w:pPr>
      <w:r w:rsidRPr="005521E5">
        <w:rPr>
          <w:rStyle w:val="IntenseReference"/>
          <w:color w:val="auto"/>
        </w:rPr>
        <w:t>Figure A</w:t>
      </w:r>
      <w:r w:rsidR="00817833">
        <w:rPr>
          <w:rStyle w:val="IntenseReference"/>
          <w:color w:val="auto"/>
        </w:rPr>
        <w:t>1.</w:t>
      </w:r>
      <w:r w:rsidR="0096504D" w:rsidRPr="005521E5">
        <w:rPr>
          <w:rStyle w:val="IntenseReference"/>
          <w:color w:val="auto"/>
        </w:rPr>
        <w:t xml:space="preserve"> </w:t>
      </w:r>
      <w:r w:rsidR="00C356AC" w:rsidRPr="005521E5">
        <w:rPr>
          <w:rStyle w:val="IntenseReference"/>
          <w:color w:val="auto"/>
        </w:rPr>
        <w:t>5</w:t>
      </w:r>
      <w:r w:rsidRPr="005521E5">
        <w:rPr>
          <w:rStyle w:val="IntenseReference"/>
          <w:color w:val="auto"/>
        </w:rPr>
        <w:t xml:space="preserve"> continued</w:t>
      </w:r>
    </w:p>
    <w:p w14:paraId="123E4D47" w14:textId="7B275C07" w:rsidR="00EF20F3" w:rsidRDefault="00EF20F3">
      <w:pPr>
        <w:jc w:val="left"/>
        <w:rPr>
          <w:rStyle w:val="IntenseReference"/>
          <w:color w:val="auto"/>
        </w:rPr>
      </w:pPr>
      <w:r>
        <w:rPr>
          <w:rStyle w:val="IntenseReference"/>
          <w:color w:val="auto"/>
        </w:rPr>
        <w:br w:type="page"/>
      </w:r>
    </w:p>
    <w:p w14:paraId="3E8357B1" w14:textId="588336FA" w:rsidR="00F62EEB" w:rsidRDefault="00F62EEB" w:rsidP="00F62EEB">
      <w:pPr>
        <w:rPr>
          <w:rStyle w:val="IntenseReference"/>
          <w:color w:val="auto"/>
        </w:rPr>
      </w:pPr>
      <w:r>
        <w:rPr>
          <w:rFonts w:ascii="Arial Narrow" w:hAnsi="Arial Narrow"/>
          <w:bCs/>
          <w:noProof/>
          <w:sz w:val="20"/>
          <w:lang w:val="en-AU" w:eastAsia="en-AU"/>
        </w:rPr>
        <w:drawing>
          <wp:inline distT="0" distB="0" distL="0" distR="0" wp14:anchorId="3CE10849" wp14:editId="4AE096E6">
            <wp:extent cx="8864600" cy="2352675"/>
            <wp:effectExtent l="0" t="0" r="0" b="9525"/>
            <wp:docPr id="253" name="Picture 253" descr="A panel of plots that illustrates community composition for each reef and depth. Cover is displayed by hard coral families plus soft coral and Macroalgae. Juvenile corals are broken down by families. Seaforth shown" title="Figure A1.5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Whitsunday4.jpg"/>
                    <pic:cNvPicPr/>
                  </pic:nvPicPr>
                  <pic:blipFill>
                    <a:blip r:embed="rId87">
                      <a:extLst>
                        <a:ext uri="{28A0092B-C50C-407E-A947-70E740481C1C}">
                          <a14:useLocalDpi xmlns:a14="http://schemas.microsoft.com/office/drawing/2010/main" val="0"/>
                        </a:ext>
                      </a:extLst>
                    </a:blip>
                    <a:stretch>
                      <a:fillRect/>
                    </a:stretch>
                  </pic:blipFill>
                  <pic:spPr>
                    <a:xfrm>
                      <a:off x="0" y="0"/>
                      <a:ext cx="8864600" cy="2352675"/>
                    </a:xfrm>
                    <a:prstGeom prst="rect">
                      <a:avLst/>
                    </a:prstGeom>
                  </pic:spPr>
                </pic:pic>
              </a:graphicData>
            </a:graphic>
          </wp:inline>
        </w:drawing>
      </w:r>
    </w:p>
    <w:p w14:paraId="11EA9D64" w14:textId="7CA85590" w:rsidR="004462C7" w:rsidRPr="005521E5" w:rsidRDefault="0096504D">
      <w:pPr>
        <w:rPr>
          <w:rStyle w:val="IntenseReference"/>
          <w:color w:val="auto"/>
        </w:rPr>
      </w:pPr>
      <w:r w:rsidRPr="005521E5">
        <w:rPr>
          <w:rStyle w:val="IntenseReference"/>
          <w:color w:val="auto"/>
        </w:rPr>
        <w:t>Figure</w:t>
      </w:r>
      <w:r w:rsidR="00817833">
        <w:rPr>
          <w:rStyle w:val="IntenseReference"/>
          <w:color w:val="auto"/>
        </w:rPr>
        <w:t xml:space="preserve"> A1.</w:t>
      </w:r>
      <w:r w:rsidR="00E75F5C">
        <w:rPr>
          <w:rStyle w:val="IntenseReference"/>
          <w:color w:val="auto"/>
        </w:rPr>
        <w:t xml:space="preserve"> </w:t>
      </w:r>
      <w:r w:rsidR="00C356AC" w:rsidRPr="005521E5">
        <w:rPr>
          <w:rStyle w:val="IntenseReference"/>
          <w:color w:val="auto"/>
        </w:rPr>
        <w:t>5</w:t>
      </w:r>
      <w:r w:rsidR="0063376B" w:rsidRPr="005521E5">
        <w:rPr>
          <w:rStyle w:val="IntenseReference"/>
          <w:color w:val="auto"/>
        </w:rPr>
        <w:t xml:space="preserve"> continued</w:t>
      </w:r>
    </w:p>
    <w:p w14:paraId="11EA9D65" w14:textId="77777777" w:rsidR="004462C7" w:rsidRPr="00F439FB" w:rsidRDefault="004462C7">
      <w:pPr>
        <w:rPr>
          <w:color w:val="4F81BD" w:themeColor="accent1"/>
        </w:rPr>
      </w:pPr>
      <w:r w:rsidRPr="00F439FB">
        <w:rPr>
          <w:color w:val="4F81BD" w:themeColor="accent1"/>
        </w:rPr>
        <w:br w:type="page"/>
      </w:r>
    </w:p>
    <w:p w14:paraId="77395B92" w14:textId="7CBB73B7" w:rsidR="00F62EEB" w:rsidRDefault="00F62EEB" w:rsidP="00F62EEB">
      <w:bookmarkStart w:id="426" w:name="_Ref491177966"/>
      <w:bookmarkStart w:id="427" w:name="_Toc374701413"/>
      <w:bookmarkStart w:id="428" w:name="_Toc392929581"/>
      <w:bookmarkStart w:id="429" w:name="_Toc430268222"/>
      <w:r>
        <w:rPr>
          <w:noProof/>
          <w:lang w:val="en-AU" w:eastAsia="en-AU"/>
        </w:rPr>
        <w:drawing>
          <wp:inline distT="0" distB="0" distL="0" distR="0" wp14:anchorId="3E531F9A" wp14:editId="5D12980C">
            <wp:extent cx="8864600" cy="4582160"/>
            <wp:effectExtent l="0" t="0" r="0" b="8890"/>
            <wp:docPr id="254" name="Picture 254" descr="A panel of plots that illustrates community composition for each reef and depth. Cover is displayed by hard coral families plus soft coral and Macroalgae. Juvenile corals are broken down by families. Reef included are North Keppel, Barren, Middle" title="Figure A1.6 Communiy composition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Fitzroy1.jpg"/>
                    <pic:cNvPicPr/>
                  </pic:nvPicPr>
                  <pic:blipFill>
                    <a:blip r:embed="rId88">
                      <a:extLst>
                        <a:ext uri="{28A0092B-C50C-407E-A947-70E740481C1C}">
                          <a14:useLocalDpi xmlns:a14="http://schemas.microsoft.com/office/drawing/2010/main" val="0"/>
                        </a:ext>
                      </a:extLst>
                    </a:blip>
                    <a:stretch>
                      <a:fillRect/>
                    </a:stretch>
                  </pic:blipFill>
                  <pic:spPr>
                    <a:xfrm>
                      <a:off x="0" y="0"/>
                      <a:ext cx="8864600" cy="4582160"/>
                    </a:xfrm>
                    <a:prstGeom prst="rect">
                      <a:avLst/>
                    </a:prstGeom>
                  </pic:spPr>
                </pic:pic>
              </a:graphicData>
            </a:graphic>
          </wp:inline>
        </w:drawing>
      </w:r>
    </w:p>
    <w:p w14:paraId="11EA9D69" w14:textId="4B69B067" w:rsidR="00DA1B4E" w:rsidRPr="005521E5" w:rsidRDefault="009026DA" w:rsidP="009026DA">
      <w:pPr>
        <w:pStyle w:val="Caption"/>
        <w:rPr>
          <w:rStyle w:val="IntenseReference"/>
          <w:rFonts w:eastAsia="SimSun"/>
          <w:color w:val="auto"/>
        </w:rPr>
      </w:pPr>
      <w:bookmarkStart w:id="430" w:name="_Ref492390386"/>
      <w:bookmarkStart w:id="431" w:name="_Toc492389711"/>
      <w:bookmarkEnd w:id="426"/>
      <w:r>
        <w:t xml:space="preserve">Figure A1. </w:t>
      </w:r>
      <w:r>
        <w:fldChar w:fldCharType="begin"/>
      </w:r>
      <w:r>
        <w:instrText xml:space="preserve"> SEQ Figure_A1. \* ARABIC </w:instrText>
      </w:r>
      <w:r>
        <w:fldChar w:fldCharType="separate"/>
      </w:r>
      <w:r w:rsidR="00D806F2">
        <w:rPr>
          <w:noProof/>
        </w:rPr>
        <w:t>6</w:t>
      </w:r>
      <w:r>
        <w:fldChar w:fldCharType="end"/>
      </w:r>
      <w:bookmarkEnd w:id="430"/>
      <w:r>
        <w:t xml:space="preserve"> </w:t>
      </w:r>
      <w:r w:rsidR="002E214E">
        <w:t>Fitzroy R</w:t>
      </w:r>
      <w:r w:rsidR="00817833" w:rsidRPr="00101BB6">
        <w:t>egion</w:t>
      </w:r>
      <w:r w:rsidR="002E214E">
        <w:t xml:space="preserve"> benthic community </w:t>
      </w:r>
      <w:r w:rsidR="00084CC6">
        <w:t>composition</w:t>
      </w:r>
      <w:r w:rsidR="00817833">
        <w:t>.</w:t>
      </w:r>
      <w:bookmarkStart w:id="432" w:name="_Toc437424329"/>
      <w:bookmarkStart w:id="433" w:name="_Toc437432382"/>
      <w:bookmarkEnd w:id="427"/>
      <w:bookmarkEnd w:id="428"/>
      <w:bookmarkEnd w:id="429"/>
      <w:r w:rsidR="0082344A">
        <w:rPr>
          <w:rStyle w:val="IntenseReference"/>
          <w:rFonts w:eastAsia="SimSun"/>
          <w:color w:val="auto"/>
        </w:rPr>
        <w:t xml:space="preserve"> C</w:t>
      </w:r>
      <w:r w:rsidR="008A1A24" w:rsidRPr="005521E5">
        <w:rPr>
          <w:rStyle w:val="IntenseReference"/>
          <w:rFonts w:eastAsia="SimSun"/>
          <w:color w:val="auto"/>
        </w:rPr>
        <w:t>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431"/>
      <w:bookmarkEnd w:id="432"/>
      <w:bookmarkEnd w:id="433"/>
    </w:p>
    <w:p w14:paraId="46A5C854" w14:textId="77777777" w:rsidR="00F62EEB" w:rsidRDefault="00F62EEB">
      <w:pPr>
        <w:jc w:val="left"/>
        <w:rPr>
          <w:rStyle w:val="IntenseReference"/>
          <w:rFonts w:eastAsia="SimSun"/>
          <w:color w:val="auto"/>
        </w:rPr>
      </w:pPr>
      <w:r>
        <w:rPr>
          <w:rStyle w:val="IntenseReference"/>
          <w:rFonts w:eastAsia="SimSun"/>
          <w:color w:val="auto"/>
        </w:rPr>
        <w:br w:type="page"/>
      </w:r>
    </w:p>
    <w:p w14:paraId="75DC1E75" w14:textId="0606EFB0" w:rsidR="00F62EEB" w:rsidRDefault="00F62EEB" w:rsidP="00F62EEB">
      <w:pPr>
        <w:rPr>
          <w:rStyle w:val="IntenseReference"/>
          <w:rFonts w:eastAsia="SimSun"/>
          <w:color w:val="auto"/>
        </w:rPr>
      </w:pPr>
      <w:r>
        <w:rPr>
          <w:rFonts w:ascii="Arial Narrow" w:eastAsia="SimSun" w:hAnsi="Arial Narrow"/>
          <w:bCs/>
          <w:noProof/>
          <w:sz w:val="20"/>
          <w:lang w:val="en-AU" w:eastAsia="en-AU"/>
        </w:rPr>
        <w:drawing>
          <wp:inline distT="0" distB="0" distL="0" distR="0" wp14:anchorId="5325E0A5" wp14:editId="53D1DC67">
            <wp:extent cx="8864600" cy="4561205"/>
            <wp:effectExtent l="0" t="0" r="0" b="0"/>
            <wp:docPr id="255" name="Picture 255" descr="A panel of plots that illustrates community composition for each reef and depth. Cover is displayed by hard coral families plus soft coral and Macroalgae. Juvenile corals are broken down by families. Reefs included are Keppels South, Pelican and Peak" title="Figure A1.6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Fitzroy2.jpg"/>
                    <pic:cNvPicPr/>
                  </pic:nvPicPr>
                  <pic:blipFill>
                    <a:blip r:embed="rId89">
                      <a:extLst>
                        <a:ext uri="{28A0092B-C50C-407E-A947-70E740481C1C}">
                          <a14:useLocalDpi xmlns:a14="http://schemas.microsoft.com/office/drawing/2010/main" val="0"/>
                        </a:ext>
                      </a:extLst>
                    </a:blip>
                    <a:stretch>
                      <a:fillRect/>
                    </a:stretch>
                  </pic:blipFill>
                  <pic:spPr>
                    <a:xfrm>
                      <a:off x="0" y="0"/>
                      <a:ext cx="8864600" cy="4561205"/>
                    </a:xfrm>
                    <a:prstGeom prst="rect">
                      <a:avLst/>
                    </a:prstGeom>
                  </pic:spPr>
                </pic:pic>
              </a:graphicData>
            </a:graphic>
          </wp:inline>
        </w:drawing>
      </w:r>
    </w:p>
    <w:p w14:paraId="11EA9D6A" w14:textId="18895DDA" w:rsidR="008A1A24" w:rsidRPr="00F439FB" w:rsidRDefault="008A1A24" w:rsidP="001778B8">
      <w:pPr>
        <w:rPr>
          <w:rStyle w:val="IntenseReference"/>
          <w:color w:val="4F81BD" w:themeColor="accent1"/>
        </w:rPr>
      </w:pPr>
      <w:r w:rsidRPr="005521E5">
        <w:rPr>
          <w:rStyle w:val="IntenseReference"/>
          <w:color w:val="auto"/>
        </w:rPr>
        <w:t>Figure A</w:t>
      </w:r>
      <w:r w:rsidR="00817833">
        <w:rPr>
          <w:rStyle w:val="IntenseReference"/>
          <w:color w:val="auto"/>
        </w:rPr>
        <w:t>1.</w:t>
      </w:r>
      <w:r w:rsidR="0096504D" w:rsidRPr="005521E5">
        <w:rPr>
          <w:rStyle w:val="IntenseReference"/>
          <w:color w:val="auto"/>
        </w:rPr>
        <w:t xml:space="preserve"> </w:t>
      </w:r>
      <w:r w:rsidR="00C356AC" w:rsidRPr="005521E5">
        <w:rPr>
          <w:rStyle w:val="IntenseReference"/>
          <w:color w:val="auto"/>
        </w:rPr>
        <w:t xml:space="preserve">6 </w:t>
      </w:r>
      <w:r w:rsidR="00823331" w:rsidRPr="005521E5">
        <w:rPr>
          <w:rStyle w:val="IntenseReference"/>
          <w:color w:val="auto"/>
        </w:rPr>
        <w:t>continued</w:t>
      </w:r>
    </w:p>
    <w:p w14:paraId="11EA9D6B" w14:textId="77777777" w:rsidR="00DA1B4E" w:rsidRPr="00F439FB" w:rsidRDefault="00DA1B4E" w:rsidP="00406BD7">
      <w:pPr>
        <w:rPr>
          <w:color w:val="4F81BD" w:themeColor="accent1"/>
        </w:rPr>
      </w:pPr>
      <w:r w:rsidRPr="00F439FB">
        <w:rPr>
          <w:color w:val="4F81BD" w:themeColor="accent1"/>
        </w:rPr>
        <w:br w:type="page"/>
      </w:r>
    </w:p>
    <w:p w14:paraId="11EA9D6C" w14:textId="77777777" w:rsidR="008A1A24" w:rsidRPr="00F439FB" w:rsidRDefault="008A1A24">
      <w:pPr>
        <w:rPr>
          <w:color w:val="4F81BD" w:themeColor="accent1"/>
        </w:rPr>
        <w:sectPr w:rsidR="008A1A24" w:rsidRPr="00F439FB" w:rsidSect="000E5535">
          <w:pgSz w:w="16840" w:h="11907" w:orient="landscape" w:code="9"/>
          <w:pgMar w:top="993" w:right="1440" w:bottom="1134" w:left="1440" w:header="709" w:footer="709" w:gutter="0"/>
          <w:cols w:space="708"/>
          <w:docGrid w:linePitch="360"/>
        </w:sectPr>
      </w:pPr>
    </w:p>
    <w:p w14:paraId="11EA9D6D" w14:textId="1A6C6DAE" w:rsidR="001778B8" w:rsidRPr="00F439FB" w:rsidRDefault="0041296E" w:rsidP="001778B8">
      <w:pPr>
        <w:rPr>
          <w:color w:val="4F81BD" w:themeColor="accent1"/>
        </w:rPr>
      </w:pPr>
      <w:bookmarkStart w:id="434" w:name="_Toc374701415"/>
      <w:bookmarkStart w:id="435" w:name="_Toc392929583"/>
      <w:bookmarkStart w:id="436" w:name="_Toc430268223"/>
      <w:bookmarkStart w:id="437" w:name="_Toc358712538"/>
      <w:r>
        <w:rPr>
          <w:noProof/>
          <w:color w:val="4F81BD" w:themeColor="accent1"/>
          <w:lang w:val="en-AU" w:eastAsia="en-AU"/>
        </w:rPr>
        <w:drawing>
          <wp:inline distT="0" distB="0" distL="0" distR="0" wp14:anchorId="4CB866F4" wp14:editId="172DECD6">
            <wp:extent cx="8161020" cy="4781550"/>
            <wp:effectExtent l="0" t="0" r="0" b="0"/>
            <wp:docPr id="5" name="Picture 5" descr="A panel of plots showing trends in the relative incidence of disease within each region 2005 to 2016" title="Figure A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egional disease box.pn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8161020" cy="4781550"/>
                    </a:xfrm>
                    <a:prstGeom prst="rect">
                      <a:avLst/>
                    </a:prstGeom>
                  </pic:spPr>
                </pic:pic>
              </a:graphicData>
            </a:graphic>
          </wp:inline>
        </w:drawing>
      </w:r>
    </w:p>
    <w:p w14:paraId="11EA9D6F" w14:textId="2BBF0D40" w:rsidR="00CA2954" w:rsidRPr="00CA6667" w:rsidRDefault="0036265A" w:rsidP="00F872DF">
      <w:pPr>
        <w:pStyle w:val="Caption"/>
        <w:rPr>
          <w:rStyle w:val="IntenseReference"/>
          <w:rFonts w:eastAsia="SimSun"/>
          <w:color w:val="auto"/>
        </w:rPr>
      </w:pPr>
      <w:bookmarkStart w:id="438" w:name="_Ref491178664"/>
      <w:bookmarkStart w:id="439" w:name="_Ref469692010"/>
      <w:bookmarkStart w:id="440" w:name="_Toc453243774"/>
      <w:bookmarkStart w:id="441" w:name="_Toc471373207"/>
      <w:bookmarkStart w:id="442" w:name="_Toc492389712"/>
      <w:r>
        <w:t xml:space="preserve">Figure A1. </w:t>
      </w:r>
      <w:r>
        <w:fldChar w:fldCharType="begin"/>
      </w:r>
      <w:r>
        <w:instrText xml:space="preserve"> SEQ Figure_A1. \* ARABIC </w:instrText>
      </w:r>
      <w:r>
        <w:fldChar w:fldCharType="separate"/>
      </w:r>
      <w:r w:rsidR="00D806F2">
        <w:rPr>
          <w:noProof/>
        </w:rPr>
        <w:t>7</w:t>
      </w:r>
      <w:r>
        <w:fldChar w:fldCharType="end"/>
      </w:r>
      <w:bookmarkEnd w:id="438"/>
      <w:r>
        <w:t xml:space="preserve"> </w:t>
      </w:r>
      <w:r w:rsidRPr="008549B5">
        <w:t>Coral disease by year in each region</w:t>
      </w:r>
      <w:r>
        <w:t>.</w:t>
      </w:r>
      <w:bookmarkEnd w:id="434"/>
      <w:bookmarkEnd w:id="435"/>
      <w:bookmarkEnd w:id="436"/>
      <w:bookmarkEnd w:id="439"/>
      <w:bookmarkEnd w:id="440"/>
      <w:bookmarkEnd w:id="441"/>
      <w:r w:rsidR="008A1A24" w:rsidRPr="00CA6667">
        <w:t xml:space="preserve"> </w:t>
      </w:r>
      <w:r w:rsidR="008A1A24" w:rsidRPr="00CA6667">
        <w:rPr>
          <w:rStyle w:val="IntenseReference"/>
          <w:rFonts w:eastAsia="SimSun"/>
          <w:color w:val="auto"/>
        </w:rPr>
        <w:t>Boxplots include the number of coral colonies suffering ongoing mortality attributed to either disease, sedimentation or ‘unknown causes’ for each reef, depth and year</w:t>
      </w:r>
      <w:r w:rsidR="00AD4E98">
        <w:rPr>
          <w:rStyle w:val="IntenseReference"/>
          <w:rFonts w:eastAsia="SimSun"/>
          <w:color w:val="auto"/>
        </w:rPr>
        <w:t>. Data are</w:t>
      </w:r>
      <w:r w:rsidR="008A1A24" w:rsidRPr="00CA6667">
        <w:rPr>
          <w:rStyle w:val="IntenseReference"/>
          <w:rFonts w:eastAsia="SimSun"/>
          <w:color w:val="auto"/>
        </w:rPr>
        <w:t xml:space="preserve"> standardised to the reef and depth mean across years.</w:t>
      </w:r>
      <w:bookmarkEnd w:id="442"/>
      <w:r w:rsidR="00E75F5C">
        <w:rPr>
          <w:rStyle w:val="IntenseReference"/>
          <w:rFonts w:eastAsia="SimSun"/>
          <w:color w:val="auto"/>
        </w:rPr>
        <w:t xml:space="preserve"> </w:t>
      </w:r>
    </w:p>
    <w:p w14:paraId="11EA9D70" w14:textId="77777777" w:rsidR="000A241F" w:rsidRPr="00F439FB" w:rsidRDefault="000A241F" w:rsidP="00833B1F">
      <w:pPr>
        <w:rPr>
          <w:color w:val="4F81BD" w:themeColor="accent1"/>
        </w:rPr>
        <w:sectPr w:rsidR="000A241F" w:rsidRPr="00F439FB" w:rsidSect="006608FC">
          <w:pgSz w:w="16840" w:h="11907" w:orient="landscape" w:code="9"/>
          <w:pgMar w:top="1134" w:right="1440" w:bottom="1134" w:left="1440" w:header="862" w:footer="720" w:gutter="0"/>
          <w:cols w:space="720"/>
          <w:docGrid w:linePitch="299"/>
        </w:sectPr>
      </w:pPr>
    </w:p>
    <w:p w14:paraId="11EA9D71" w14:textId="3CA36EB6" w:rsidR="001249B7" w:rsidRPr="00856B3E" w:rsidRDefault="0036265A" w:rsidP="0036265A">
      <w:pPr>
        <w:pStyle w:val="Caption"/>
        <w:rPr>
          <w:vanish/>
        </w:rPr>
      </w:pPr>
      <w:bookmarkStart w:id="443" w:name="_Ref460423873"/>
      <w:bookmarkStart w:id="444" w:name="_Toc437424466"/>
      <w:bookmarkStart w:id="445" w:name="_Toc437424590"/>
      <w:bookmarkStart w:id="446" w:name="_Toc437432519"/>
      <w:bookmarkStart w:id="447" w:name="_Toc471373383"/>
      <w:r>
        <w:t xml:space="preserve">Table A1. </w:t>
      </w:r>
      <w:r>
        <w:fldChar w:fldCharType="begin"/>
      </w:r>
      <w:r>
        <w:instrText xml:space="preserve"> SEQ Table_A1. \* ARABIC </w:instrText>
      </w:r>
      <w:r>
        <w:fldChar w:fldCharType="separate"/>
      </w:r>
      <w:r w:rsidR="00D806F2">
        <w:rPr>
          <w:noProof/>
        </w:rPr>
        <w:t>7</w:t>
      </w:r>
      <w:r>
        <w:fldChar w:fldCharType="end"/>
      </w:r>
      <w:r>
        <w:t xml:space="preserve"> Percent cover of hard coral genera 2016.</w:t>
      </w:r>
      <w:bookmarkEnd w:id="443"/>
      <w:bookmarkEnd w:id="444"/>
      <w:bookmarkEnd w:id="445"/>
      <w:bookmarkEnd w:id="446"/>
      <w:bookmarkEnd w:id="447"/>
      <w:r w:rsidR="001249B7" w:rsidRPr="00856B3E">
        <w:t xml:space="preserve"> </w:t>
      </w:r>
    </w:p>
    <w:p w14:paraId="11EA9D72" w14:textId="6C6E5420" w:rsidR="00FF1B38" w:rsidRPr="00856B3E" w:rsidRDefault="0036265A" w:rsidP="0036265A">
      <w:pPr>
        <w:pStyle w:val="Caption"/>
        <w:rPr>
          <w:rStyle w:val="IntenseReference"/>
          <w:rFonts w:eastAsia="SimSun"/>
          <w:color w:val="auto"/>
        </w:rPr>
      </w:pPr>
      <w:r>
        <w:rPr>
          <w:rStyle w:val="IntenseReference"/>
          <w:rFonts w:eastAsia="SimSun"/>
          <w:color w:val="auto"/>
        </w:rPr>
        <w:t>G</w:t>
      </w:r>
      <w:r w:rsidR="00FF1B38" w:rsidRPr="00856B3E">
        <w:rPr>
          <w:rStyle w:val="IntenseReference"/>
          <w:rFonts w:eastAsia="SimSun"/>
          <w:color w:val="auto"/>
        </w:rPr>
        <w:t xml:space="preserve">enera for which cover </w:t>
      </w:r>
      <w:r>
        <w:rPr>
          <w:rStyle w:val="IntenseReference"/>
          <w:rFonts w:eastAsia="SimSun"/>
          <w:color w:val="auto"/>
        </w:rPr>
        <w:t xml:space="preserve">did not </w:t>
      </w:r>
      <w:r w:rsidR="00FF1B38" w:rsidRPr="00856B3E">
        <w:rPr>
          <w:rStyle w:val="IntenseReference"/>
          <w:rFonts w:eastAsia="SimSun"/>
          <w:color w:val="auto"/>
        </w:rPr>
        <w:t xml:space="preserve">exceeded </w:t>
      </w:r>
      <w:r w:rsidR="00856B3E">
        <w:rPr>
          <w:rStyle w:val="IntenseReference"/>
          <w:rFonts w:eastAsia="SimSun"/>
          <w:color w:val="auto"/>
        </w:rPr>
        <w:t>1</w:t>
      </w:r>
      <w:r w:rsidR="00FF1B38" w:rsidRPr="00856B3E">
        <w:rPr>
          <w:rStyle w:val="IntenseReference"/>
          <w:rFonts w:eastAsia="SimSun"/>
          <w:color w:val="auto"/>
        </w:rPr>
        <w:t>% on at least one reef</w:t>
      </w:r>
      <w:r>
        <w:rPr>
          <w:rStyle w:val="IntenseReference"/>
          <w:rFonts w:eastAsia="SimSun"/>
          <w:color w:val="auto"/>
        </w:rPr>
        <w:t xml:space="preserve"> or were </w:t>
      </w:r>
      <w:r w:rsidR="00FF1B38" w:rsidRPr="00856B3E">
        <w:rPr>
          <w:rStyle w:val="IntenseReference"/>
          <w:rFonts w:eastAsia="SimSun"/>
          <w:color w:val="auto"/>
        </w:rPr>
        <w:t xml:space="preserve">unidentified </w:t>
      </w:r>
      <w:r>
        <w:rPr>
          <w:rStyle w:val="IntenseReference"/>
          <w:rFonts w:eastAsia="SimSun"/>
          <w:color w:val="auto"/>
        </w:rPr>
        <w:t>to genus level</w:t>
      </w:r>
      <w:r w:rsidR="00FF1B38" w:rsidRPr="00856B3E">
        <w:rPr>
          <w:rStyle w:val="IntenseReference"/>
          <w:rFonts w:eastAsia="SimSun"/>
          <w:color w:val="auto"/>
        </w:rPr>
        <w:t xml:space="preserve"> are grouped as “other”.</w:t>
      </w:r>
    </w:p>
    <w:tbl>
      <w:tblPr>
        <w:tblW w:w="13892" w:type="dxa"/>
        <w:tblInd w:w="93" w:type="dxa"/>
        <w:tblLayout w:type="fixed"/>
        <w:tblCellMar>
          <w:left w:w="0" w:type="dxa"/>
          <w:right w:w="0" w:type="dxa"/>
        </w:tblCellMar>
        <w:tblLook w:val="04A0" w:firstRow="1" w:lastRow="0" w:firstColumn="1" w:lastColumn="0" w:noHBand="0" w:noVBand="1"/>
      </w:tblPr>
      <w:tblGrid>
        <w:gridCol w:w="389"/>
        <w:gridCol w:w="875"/>
        <w:gridCol w:w="313"/>
        <w:gridCol w:w="290"/>
        <w:gridCol w:w="352"/>
        <w:gridCol w:w="352"/>
        <w:gridCol w:w="353"/>
        <w:gridCol w:w="353"/>
        <w:gridCol w:w="353"/>
        <w:gridCol w:w="353"/>
        <w:gridCol w:w="353"/>
        <w:gridCol w:w="353"/>
        <w:gridCol w:w="353"/>
        <w:gridCol w:w="354"/>
        <w:gridCol w:w="354"/>
        <w:gridCol w:w="354"/>
        <w:gridCol w:w="354"/>
        <w:gridCol w:w="354"/>
        <w:gridCol w:w="354"/>
        <w:gridCol w:w="354"/>
        <w:gridCol w:w="354"/>
        <w:gridCol w:w="354"/>
        <w:gridCol w:w="354"/>
        <w:gridCol w:w="354"/>
        <w:gridCol w:w="354"/>
        <w:gridCol w:w="354"/>
        <w:gridCol w:w="354"/>
        <w:gridCol w:w="354"/>
        <w:gridCol w:w="354"/>
        <w:gridCol w:w="354"/>
        <w:gridCol w:w="354"/>
        <w:gridCol w:w="354"/>
        <w:gridCol w:w="354"/>
        <w:gridCol w:w="354"/>
        <w:gridCol w:w="354"/>
        <w:gridCol w:w="354"/>
        <w:gridCol w:w="354"/>
        <w:gridCol w:w="354"/>
      </w:tblGrid>
      <w:tr w:rsidR="00EF4C08" w:rsidRPr="00B33EEE" w14:paraId="11EA9D99" w14:textId="77777777" w:rsidTr="00B66372">
        <w:trPr>
          <w:trHeight w:val="1051"/>
          <w:tblHeader/>
        </w:trPr>
        <w:tc>
          <w:tcPr>
            <w:tcW w:w="398"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11EA9D73" w14:textId="77777777" w:rsidR="00B33EEE" w:rsidRPr="00B33EEE" w:rsidRDefault="00B33EEE" w:rsidP="00B33EEE">
            <w:pPr>
              <w:spacing w:after="0"/>
              <w:jc w:val="center"/>
              <w:rPr>
                <w:rFonts w:ascii="Arial Narrow" w:hAnsi="Arial Narrow"/>
                <w:color w:val="000000"/>
                <w:sz w:val="20"/>
                <w:lang w:val="en-AU" w:eastAsia="en-AU"/>
              </w:rPr>
            </w:pPr>
            <w:r w:rsidRPr="00B33EEE">
              <w:rPr>
                <w:rFonts w:ascii="Arial Narrow" w:hAnsi="Arial Narrow"/>
                <w:color w:val="000000"/>
                <w:sz w:val="20"/>
                <w:lang w:val="en-AU" w:eastAsia="en-AU"/>
              </w:rPr>
              <w:t>subregion</w:t>
            </w:r>
          </w:p>
        </w:tc>
        <w:tc>
          <w:tcPr>
            <w:tcW w:w="895"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11EA9D74" w14:textId="77777777" w:rsidR="00B33EEE" w:rsidRPr="00B33EEE" w:rsidRDefault="00856B3E" w:rsidP="00B33EEE">
            <w:pPr>
              <w:spacing w:after="0"/>
              <w:jc w:val="center"/>
              <w:rPr>
                <w:rFonts w:ascii="Arial Narrow" w:hAnsi="Arial Narrow"/>
                <w:color w:val="000000"/>
                <w:sz w:val="20"/>
                <w:lang w:val="en-AU" w:eastAsia="en-AU"/>
              </w:rPr>
            </w:pPr>
            <w:r>
              <w:rPr>
                <w:rFonts w:ascii="Arial Narrow" w:hAnsi="Arial Narrow"/>
                <w:color w:val="000000"/>
                <w:sz w:val="20"/>
                <w:lang w:val="en-AU" w:eastAsia="en-AU"/>
              </w:rPr>
              <w:t>Reef</w:t>
            </w:r>
          </w:p>
        </w:tc>
        <w:tc>
          <w:tcPr>
            <w:tcW w:w="320"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75" w14:textId="77777777" w:rsidR="00B33EEE" w:rsidRPr="00B33EEE" w:rsidRDefault="00856B3E" w:rsidP="00B33EEE">
            <w:pPr>
              <w:spacing w:after="0"/>
              <w:jc w:val="center"/>
              <w:rPr>
                <w:rFonts w:ascii="Arial Narrow" w:hAnsi="Arial Narrow"/>
                <w:color w:val="000000"/>
                <w:sz w:val="20"/>
                <w:lang w:val="en-AU" w:eastAsia="en-AU"/>
              </w:rPr>
            </w:pPr>
            <w:r>
              <w:rPr>
                <w:rFonts w:ascii="Arial Narrow" w:hAnsi="Arial Narrow"/>
                <w:color w:val="000000"/>
                <w:sz w:val="20"/>
                <w:lang w:val="en-AU" w:eastAsia="en-AU"/>
              </w:rPr>
              <w:t>Depth</w:t>
            </w:r>
          </w:p>
        </w:tc>
        <w:tc>
          <w:tcPr>
            <w:tcW w:w="297"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76"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Acropora</w:t>
            </w:r>
          </w:p>
        </w:tc>
        <w:tc>
          <w:tcPr>
            <w:tcW w:w="360"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77"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Alveopora</w:t>
            </w:r>
          </w:p>
        </w:tc>
        <w:tc>
          <w:tcPr>
            <w:tcW w:w="360"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78"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Caulastrea</w:t>
            </w:r>
          </w:p>
        </w:tc>
        <w:tc>
          <w:tcPr>
            <w:tcW w:w="360"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79"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Cyphastrea</w:t>
            </w:r>
          </w:p>
        </w:tc>
        <w:tc>
          <w:tcPr>
            <w:tcW w:w="360"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7A"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Diploastrea</w:t>
            </w:r>
          </w:p>
        </w:tc>
        <w:tc>
          <w:tcPr>
            <w:tcW w:w="360"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7B"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Echinophyllia</w:t>
            </w:r>
          </w:p>
        </w:tc>
        <w:tc>
          <w:tcPr>
            <w:tcW w:w="360"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7C"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Echinopora</w:t>
            </w:r>
          </w:p>
        </w:tc>
        <w:tc>
          <w:tcPr>
            <w:tcW w:w="360"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7D"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Favia</w:t>
            </w:r>
          </w:p>
        </w:tc>
        <w:tc>
          <w:tcPr>
            <w:tcW w:w="360"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7E"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Favites</w:t>
            </w:r>
          </w:p>
        </w:tc>
        <w:tc>
          <w:tcPr>
            <w:tcW w:w="360"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7F"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Fungia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80"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Galaxea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81"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Goniastrea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82"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Goniopra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83"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Hydnophora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84"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Isopora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85"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Leptoseris</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86"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Lobophyllia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87"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Merulina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88"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Montipora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89"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Mycedium</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8A"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Oxypora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8B"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Pachyseris</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8C"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Pavona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8D"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Pectinia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8E"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Platygyra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8F"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Plesiastrea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90"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Pocillopora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91"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Podobacia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92"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Porites</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93"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Psammocora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94"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Seriatopora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95"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Stylophora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96"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Symphyllia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97" w14:textId="77777777" w:rsidR="00B33EEE" w:rsidRPr="00856B3E" w:rsidRDefault="00B33EEE" w:rsidP="00B33EEE">
            <w:pPr>
              <w:spacing w:after="0"/>
              <w:jc w:val="center"/>
              <w:rPr>
                <w:rFonts w:ascii="Arial Narrow" w:hAnsi="Arial Narrow"/>
                <w:i/>
                <w:iCs/>
                <w:color w:val="000000"/>
                <w:sz w:val="18"/>
                <w:szCs w:val="18"/>
                <w:lang w:val="en-AU" w:eastAsia="en-AU"/>
              </w:rPr>
            </w:pPr>
            <w:r w:rsidRPr="00856B3E">
              <w:rPr>
                <w:rFonts w:ascii="Arial Narrow" w:hAnsi="Arial Narrow"/>
                <w:i/>
                <w:iCs/>
                <w:color w:val="000000"/>
                <w:sz w:val="18"/>
                <w:szCs w:val="18"/>
                <w:lang w:val="en-AU" w:eastAsia="en-AU"/>
              </w:rPr>
              <w:t>Turbanaria</w:t>
            </w:r>
          </w:p>
        </w:tc>
        <w:tc>
          <w:tcPr>
            <w:tcW w:w="361"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1EA9D98" w14:textId="77777777" w:rsidR="00B33EEE" w:rsidRPr="006428D8" w:rsidRDefault="00B33EEE" w:rsidP="00B33EEE">
            <w:pPr>
              <w:spacing w:after="0"/>
              <w:jc w:val="center"/>
              <w:rPr>
                <w:rFonts w:ascii="Arial Narrow" w:hAnsi="Arial Narrow"/>
                <w:iCs/>
                <w:color w:val="000000"/>
                <w:sz w:val="18"/>
                <w:szCs w:val="18"/>
                <w:lang w:val="en-AU" w:eastAsia="en-AU"/>
              </w:rPr>
            </w:pPr>
            <w:r w:rsidRPr="006428D8">
              <w:rPr>
                <w:rFonts w:ascii="Arial Narrow" w:hAnsi="Arial Narrow"/>
                <w:iCs/>
                <w:color w:val="000000"/>
                <w:sz w:val="18"/>
                <w:szCs w:val="18"/>
                <w:lang w:val="en-AU" w:eastAsia="en-AU"/>
              </w:rPr>
              <w:t>Other</w:t>
            </w:r>
          </w:p>
        </w:tc>
      </w:tr>
      <w:tr w:rsidR="00B33EEE" w:rsidRPr="00B33EEE" w14:paraId="11EA9DC0" w14:textId="77777777" w:rsidTr="00B66372">
        <w:trPr>
          <w:trHeight w:hRule="exact" w:val="397"/>
        </w:trPr>
        <w:tc>
          <w:tcPr>
            <w:tcW w:w="398"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9D9A"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Daintree</w:t>
            </w: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D9B"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Snapper North</w:t>
            </w:r>
          </w:p>
        </w:tc>
        <w:tc>
          <w:tcPr>
            <w:tcW w:w="320" w:type="dxa"/>
            <w:tcBorders>
              <w:top w:val="nil"/>
              <w:left w:val="nil"/>
              <w:bottom w:val="single" w:sz="4" w:space="0" w:color="auto"/>
              <w:right w:val="single" w:sz="4" w:space="0" w:color="auto"/>
            </w:tcBorders>
            <w:shd w:val="clear" w:color="auto" w:fill="auto"/>
            <w:noWrap/>
            <w:vAlign w:val="center"/>
            <w:hideMark/>
          </w:tcPr>
          <w:p w14:paraId="11EA9D9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9D9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2.08</w:t>
            </w:r>
          </w:p>
        </w:tc>
        <w:tc>
          <w:tcPr>
            <w:tcW w:w="360" w:type="dxa"/>
            <w:tcBorders>
              <w:top w:val="nil"/>
              <w:left w:val="nil"/>
              <w:bottom w:val="single" w:sz="4" w:space="0" w:color="auto"/>
              <w:right w:val="single" w:sz="4" w:space="0" w:color="auto"/>
            </w:tcBorders>
            <w:shd w:val="clear" w:color="auto" w:fill="auto"/>
            <w:noWrap/>
            <w:vAlign w:val="center"/>
            <w:hideMark/>
          </w:tcPr>
          <w:p w14:paraId="11EA9D9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9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A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A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A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A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0" w:type="dxa"/>
            <w:tcBorders>
              <w:top w:val="nil"/>
              <w:left w:val="nil"/>
              <w:bottom w:val="single" w:sz="4" w:space="0" w:color="auto"/>
              <w:right w:val="single" w:sz="4" w:space="0" w:color="auto"/>
            </w:tcBorders>
            <w:shd w:val="clear" w:color="auto" w:fill="auto"/>
            <w:noWrap/>
            <w:vAlign w:val="center"/>
            <w:hideMark/>
          </w:tcPr>
          <w:p w14:paraId="11EA9DA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A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A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0.08</w:t>
            </w:r>
          </w:p>
        </w:tc>
        <w:tc>
          <w:tcPr>
            <w:tcW w:w="361" w:type="dxa"/>
            <w:tcBorders>
              <w:top w:val="nil"/>
              <w:left w:val="nil"/>
              <w:bottom w:val="single" w:sz="4" w:space="0" w:color="auto"/>
              <w:right w:val="single" w:sz="4" w:space="0" w:color="auto"/>
            </w:tcBorders>
            <w:shd w:val="clear" w:color="auto" w:fill="auto"/>
            <w:noWrap/>
            <w:vAlign w:val="center"/>
            <w:hideMark/>
          </w:tcPr>
          <w:p w14:paraId="11EA9DA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0.04</w:t>
            </w:r>
          </w:p>
        </w:tc>
        <w:tc>
          <w:tcPr>
            <w:tcW w:w="361" w:type="dxa"/>
            <w:tcBorders>
              <w:top w:val="nil"/>
              <w:left w:val="nil"/>
              <w:bottom w:val="single" w:sz="4" w:space="0" w:color="auto"/>
              <w:right w:val="single" w:sz="4" w:space="0" w:color="auto"/>
            </w:tcBorders>
            <w:shd w:val="clear" w:color="auto" w:fill="auto"/>
            <w:noWrap/>
            <w:vAlign w:val="center"/>
            <w:hideMark/>
          </w:tcPr>
          <w:p w14:paraId="11EA9DA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A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A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A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0.54</w:t>
            </w:r>
          </w:p>
        </w:tc>
        <w:tc>
          <w:tcPr>
            <w:tcW w:w="361" w:type="dxa"/>
            <w:tcBorders>
              <w:top w:val="nil"/>
              <w:left w:val="nil"/>
              <w:bottom w:val="single" w:sz="4" w:space="0" w:color="auto"/>
              <w:right w:val="single" w:sz="4" w:space="0" w:color="auto"/>
            </w:tcBorders>
            <w:shd w:val="clear" w:color="auto" w:fill="auto"/>
            <w:noWrap/>
            <w:vAlign w:val="center"/>
            <w:hideMark/>
          </w:tcPr>
          <w:p w14:paraId="11EA9DA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A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0.04</w:t>
            </w:r>
          </w:p>
        </w:tc>
        <w:tc>
          <w:tcPr>
            <w:tcW w:w="361" w:type="dxa"/>
            <w:tcBorders>
              <w:top w:val="nil"/>
              <w:left w:val="nil"/>
              <w:bottom w:val="single" w:sz="4" w:space="0" w:color="auto"/>
              <w:right w:val="single" w:sz="4" w:space="0" w:color="auto"/>
            </w:tcBorders>
            <w:shd w:val="clear" w:color="auto" w:fill="auto"/>
            <w:noWrap/>
            <w:vAlign w:val="center"/>
            <w:hideMark/>
          </w:tcPr>
          <w:p w14:paraId="11EA9DA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A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0.17</w:t>
            </w:r>
          </w:p>
        </w:tc>
        <w:tc>
          <w:tcPr>
            <w:tcW w:w="361" w:type="dxa"/>
            <w:tcBorders>
              <w:top w:val="nil"/>
              <w:left w:val="nil"/>
              <w:bottom w:val="single" w:sz="4" w:space="0" w:color="auto"/>
              <w:right w:val="single" w:sz="4" w:space="0" w:color="auto"/>
            </w:tcBorders>
            <w:shd w:val="clear" w:color="auto" w:fill="auto"/>
            <w:noWrap/>
            <w:vAlign w:val="center"/>
            <w:hideMark/>
          </w:tcPr>
          <w:p w14:paraId="11EA9DB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B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B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B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B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B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B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B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0.21</w:t>
            </w:r>
          </w:p>
        </w:tc>
        <w:tc>
          <w:tcPr>
            <w:tcW w:w="361" w:type="dxa"/>
            <w:tcBorders>
              <w:top w:val="nil"/>
              <w:left w:val="nil"/>
              <w:bottom w:val="single" w:sz="4" w:space="0" w:color="auto"/>
              <w:right w:val="single" w:sz="4" w:space="0" w:color="auto"/>
            </w:tcBorders>
            <w:shd w:val="clear" w:color="auto" w:fill="auto"/>
            <w:noWrap/>
            <w:vAlign w:val="center"/>
            <w:hideMark/>
          </w:tcPr>
          <w:p w14:paraId="11EA9DB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B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0.79</w:t>
            </w:r>
          </w:p>
        </w:tc>
        <w:tc>
          <w:tcPr>
            <w:tcW w:w="361" w:type="dxa"/>
            <w:tcBorders>
              <w:top w:val="nil"/>
              <w:left w:val="nil"/>
              <w:bottom w:val="single" w:sz="4" w:space="0" w:color="auto"/>
              <w:right w:val="single" w:sz="4" w:space="0" w:color="auto"/>
            </w:tcBorders>
            <w:shd w:val="clear" w:color="auto" w:fill="auto"/>
            <w:noWrap/>
            <w:vAlign w:val="center"/>
            <w:hideMark/>
          </w:tcPr>
          <w:p w14:paraId="11EA9DB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B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B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B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B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B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0.04</w:t>
            </w:r>
          </w:p>
        </w:tc>
      </w:tr>
      <w:tr w:rsidR="00B33EEE" w:rsidRPr="00B33EEE" w14:paraId="11EA9DE7" w14:textId="77777777" w:rsidTr="00B66372">
        <w:trPr>
          <w:cantSplit/>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9DC1"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9DC2"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9DC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9DC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9DC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C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9DC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C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C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C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C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9DC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C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DC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9DC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D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5.19</w:t>
            </w:r>
          </w:p>
        </w:tc>
        <w:tc>
          <w:tcPr>
            <w:tcW w:w="361" w:type="dxa"/>
            <w:tcBorders>
              <w:top w:val="nil"/>
              <w:left w:val="nil"/>
              <w:bottom w:val="single" w:sz="4" w:space="0" w:color="auto"/>
              <w:right w:val="single" w:sz="4" w:space="0" w:color="auto"/>
            </w:tcBorders>
            <w:shd w:val="clear" w:color="auto" w:fill="auto"/>
            <w:noWrap/>
            <w:vAlign w:val="center"/>
            <w:hideMark/>
          </w:tcPr>
          <w:p w14:paraId="11EA9DD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D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D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9DD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D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D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9DD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D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D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7.20</w:t>
            </w:r>
          </w:p>
        </w:tc>
        <w:tc>
          <w:tcPr>
            <w:tcW w:w="361" w:type="dxa"/>
            <w:tcBorders>
              <w:top w:val="nil"/>
              <w:left w:val="nil"/>
              <w:bottom w:val="single" w:sz="4" w:space="0" w:color="auto"/>
              <w:right w:val="single" w:sz="4" w:space="0" w:color="auto"/>
            </w:tcBorders>
            <w:shd w:val="clear" w:color="auto" w:fill="auto"/>
            <w:noWrap/>
            <w:vAlign w:val="center"/>
            <w:hideMark/>
          </w:tcPr>
          <w:p w14:paraId="11EA9DD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1.50</w:t>
            </w:r>
          </w:p>
        </w:tc>
        <w:tc>
          <w:tcPr>
            <w:tcW w:w="361" w:type="dxa"/>
            <w:tcBorders>
              <w:top w:val="nil"/>
              <w:left w:val="nil"/>
              <w:bottom w:val="single" w:sz="4" w:space="0" w:color="auto"/>
              <w:right w:val="single" w:sz="4" w:space="0" w:color="auto"/>
            </w:tcBorders>
            <w:shd w:val="clear" w:color="auto" w:fill="auto"/>
            <w:noWrap/>
            <w:vAlign w:val="center"/>
            <w:hideMark/>
          </w:tcPr>
          <w:p w14:paraId="11EA9DD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D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0.32</w:t>
            </w:r>
          </w:p>
        </w:tc>
        <w:tc>
          <w:tcPr>
            <w:tcW w:w="361" w:type="dxa"/>
            <w:tcBorders>
              <w:top w:val="nil"/>
              <w:left w:val="nil"/>
              <w:bottom w:val="single" w:sz="4" w:space="0" w:color="auto"/>
              <w:right w:val="single" w:sz="4" w:space="0" w:color="auto"/>
            </w:tcBorders>
            <w:shd w:val="clear" w:color="auto" w:fill="auto"/>
            <w:noWrap/>
            <w:vAlign w:val="center"/>
            <w:hideMark/>
          </w:tcPr>
          <w:p w14:paraId="11EA9DD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D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D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DE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5.44</w:t>
            </w:r>
          </w:p>
        </w:tc>
        <w:tc>
          <w:tcPr>
            <w:tcW w:w="361" w:type="dxa"/>
            <w:tcBorders>
              <w:top w:val="nil"/>
              <w:left w:val="nil"/>
              <w:bottom w:val="single" w:sz="4" w:space="0" w:color="auto"/>
              <w:right w:val="single" w:sz="4" w:space="0" w:color="auto"/>
            </w:tcBorders>
            <w:shd w:val="clear" w:color="auto" w:fill="auto"/>
            <w:noWrap/>
            <w:vAlign w:val="center"/>
            <w:hideMark/>
          </w:tcPr>
          <w:p w14:paraId="11EA9DE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E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9DE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E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E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E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1.00</w:t>
            </w:r>
          </w:p>
        </w:tc>
      </w:tr>
      <w:tr w:rsidR="00B33EEE" w:rsidRPr="00B33EEE" w14:paraId="11EA9E0E"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9DE8"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1EA9DE9"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Snapper South</w:t>
            </w:r>
          </w:p>
        </w:tc>
        <w:tc>
          <w:tcPr>
            <w:tcW w:w="320" w:type="dxa"/>
            <w:tcBorders>
              <w:top w:val="nil"/>
              <w:left w:val="nil"/>
              <w:bottom w:val="single" w:sz="4" w:space="0" w:color="auto"/>
              <w:right w:val="single" w:sz="4" w:space="0" w:color="auto"/>
            </w:tcBorders>
            <w:shd w:val="clear" w:color="auto" w:fill="auto"/>
            <w:noWrap/>
            <w:vAlign w:val="center"/>
            <w:hideMark/>
          </w:tcPr>
          <w:p w14:paraId="11EA9DE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9DE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5.89</w:t>
            </w:r>
          </w:p>
        </w:tc>
        <w:tc>
          <w:tcPr>
            <w:tcW w:w="360" w:type="dxa"/>
            <w:tcBorders>
              <w:top w:val="nil"/>
              <w:left w:val="nil"/>
              <w:bottom w:val="single" w:sz="4" w:space="0" w:color="auto"/>
              <w:right w:val="single" w:sz="4" w:space="0" w:color="auto"/>
            </w:tcBorders>
            <w:shd w:val="clear" w:color="auto" w:fill="auto"/>
            <w:noWrap/>
            <w:vAlign w:val="center"/>
            <w:hideMark/>
          </w:tcPr>
          <w:p w14:paraId="11EA9DE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E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E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9DE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F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DF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0.04</w:t>
            </w:r>
          </w:p>
        </w:tc>
        <w:tc>
          <w:tcPr>
            <w:tcW w:w="360" w:type="dxa"/>
            <w:tcBorders>
              <w:top w:val="nil"/>
              <w:left w:val="nil"/>
              <w:bottom w:val="single" w:sz="4" w:space="0" w:color="auto"/>
              <w:right w:val="single" w:sz="4" w:space="0" w:color="auto"/>
            </w:tcBorders>
            <w:shd w:val="clear" w:color="auto" w:fill="auto"/>
            <w:noWrap/>
            <w:vAlign w:val="center"/>
            <w:hideMark/>
          </w:tcPr>
          <w:p w14:paraId="11EA9DF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9DF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0.04</w:t>
            </w:r>
          </w:p>
        </w:tc>
        <w:tc>
          <w:tcPr>
            <w:tcW w:w="360" w:type="dxa"/>
            <w:tcBorders>
              <w:top w:val="nil"/>
              <w:left w:val="nil"/>
              <w:bottom w:val="single" w:sz="4" w:space="0" w:color="auto"/>
              <w:right w:val="single" w:sz="4" w:space="0" w:color="auto"/>
            </w:tcBorders>
            <w:shd w:val="clear" w:color="auto" w:fill="auto"/>
            <w:noWrap/>
            <w:vAlign w:val="center"/>
            <w:hideMark/>
          </w:tcPr>
          <w:p w14:paraId="11EA9DF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F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1.58</w:t>
            </w:r>
          </w:p>
        </w:tc>
        <w:tc>
          <w:tcPr>
            <w:tcW w:w="361" w:type="dxa"/>
            <w:tcBorders>
              <w:top w:val="nil"/>
              <w:left w:val="nil"/>
              <w:bottom w:val="single" w:sz="4" w:space="0" w:color="auto"/>
              <w:right w:val="single" w:sz="4" w:space="0" w:color="auto"/>
            </w:tcBorders>
            <w:shd w:val="clear" w:color="auto" w:fill="auto"/>
            <w:noWrap/>
            <w:vAlign w:val="center"/>
            <w:hideMark/>
          </w:tcPr>
          <w:p w14:paraId="11EA9DF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0.96</w:t>
            </w:r>
          </w:p>
        </w:tc>
        <w:tc>
          <w:tcPr>
            <w:tcW w:w="361" w:type="dxa"/>
            <w:tcBorders>
              <w:top w:val="nil"/>
              <w:left w:val="nil"/>
              <w:bottom w:val="single" w:sz="4" w:space="0" w:color="auto"/>
              <w:right w:val="single" w:sz="4" w:space="0" w:color="auto"/>
            </w:tcBorders>
            <w:shd w:val="clear" w:color="auto" w:fill="auto"/>
            <w:noWrap/>
            <w:vAlign w:val="center"/>
            <w:hideMark/>
          </w:tcPr>
          <w:p w14:paraId="11EA9DF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0.17</w:t>
            </w:r>
          </w:p>
        </w:tc>
        <w:tc>
          <w:tcPr>
            <w:tcW w:w="361" w:type="dxa"/>
            <w:tcBorders>
              <w:top w:val="nil"/>
              <w:left w:val="nil"/>
              <w:bottom w:val="single" w:sz="4" w:space="0" w:color="auto"/>
              <w:right w:val="single" w:sz="4" w:space="0" w:color="auto"/>
            </w:tcBorders>
            <w:shd w:val="clear" w:color="auto" w:fill="auto"/>
            <w:noWrap/>
            <w:vAlign w:val="center"/>
            <w:hideMark/>
          </w:tcPr>
          <w:p w14:paraId="11EA9DF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F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F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F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0.04</w:t>
            </w:r>
          </w:p>
        </w:tc>
        <w:tc>
          <w:tcPr>
            <w:tcW w:w="361" w:type="dxa"/>
            <w:tcBorders>
              <w:top w:val="nil"/>
              <w:left w:val="nil"/>
              <w:bottom w:val="single" w:sz="4" w:space="0" w:color="auto"/>
              <w:right w:val="single" w:sz="4" w:space="0" w:color="auto"/>
            </w:tcBorders>
            <w:shd w:val="clear" w:color="auto" w:fill="auto"/>
            <w:noWrap/>
            <w:vAlign w:val="center"/>
            <w:hideMark/>
          </w:tcPr>
          <w:p w14:paraId="11EA9DF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F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1.88</w:t>
            </w:r>
          </w:p>
        </w:tc>
        <w:tc>
          <w:tcPr>
            <w:tcW w:w="361" w:type="dxa"/>
            <w:tcBorders>
              <w:top w:val="nil"/>
              <w:left w:val="nil"/>
              <w:bottom w:val="single" w:sz="4" w:space="0" w:color="auto"/>
              <w:right w:val="single" w:sz="4" w:space="0" w:color="auto"/>
            </w:tcBorders>
            <w:shd w:val="clear" w:color="auto" w:fill="auto"/>
            <w:noWrap/>
            <w:vAlign w:val="center"/>
            <w:hideMark/>
          </w:tcPr>
          <w:p w14:paraId="11EA9DF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DF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0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0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0.21</w:t>
            </w:r>
          </w:p>
        </w:tc>
        <w:tc>
          <w:tcPr>
            <w:tcW w:w="361" w:type="dxa"/>
            <w:tcBorders>
              <w:top w:val="nil"/>
              <w:left w:val="nil"/>
              <w:bottom w:val="single" w:sz="4" w:space="0" w:color="auto"/>
              <w:right w:val="single" w:sz="4" w:space="0" w:color="auto"/>
            </w:tcBorders>
            <w:shd w:val="clear" w:color="auto" w:fill="auto"/>
            <w:noWrap/>
            <w:vAlign w:val="center"/>
            <w:hideMark/>
          </w:tcPr>
          <w:p w14:paraId="11EA9E0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0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0.21</w:t>
            </w:r>
          </w:p>
        </w:tc>
        <w:tc>
          <w:tcPr>
            <w:tcW w:w="361" w:type="dxa"/>
            <w:tcBorders>
              <w:top w:val="nil"/>
              <w:left w:val="nil"/>
              <w:bottom w:val="single" w:sz="4" w:space="0" w:color="auto"/>
              <w:right w:val="single" w:sz="4" w:space="0" w:color="auto"/>
            </w:tcBorders>
            <w:shd w:val="clear" w:color="auto" w:fill="auto"/>
            <w:noWrap/>
            <w:vAlign w:val="center"/>
            <w:hideMark/>
          </w:tcPr>
          <w:p w14:paraId="11EA9E0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0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0.71</w:t>
            </w:r>
          </w:p>
        </w:tc>
        <w:tc>
          <w:tcPr>
            <w:tcW w:w="361" w:type="dxa"/>
            <w:tcBorders>
              <w:top w:val="nil"/>
              <w:left w:val="nil"/>
              <w:bottom w:val="single" w:sz="4" w:space="0" w:color="auto"/>
              <w:right w:val="single" w:sz="4" w:space="0" w:color="auto"/>
            </w:tcBorders>
            <w:shd w:val="clear" w:color="auto" w:fill="auto"/>
            <w:noWrap/>
            <w:vAlign w:val="center"/>
            <w:hideMark/>
          </w:tcPr>
          <w:p w14:paraId="11EA9E0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0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27.83</w:t>
            </w:r>
          </w:p>
        </w:tc>
        <w:tc>
          <w:tcPr>
            <w:tcW w:w="361" w:type="dxa"/>
            <w:tcBorders>
              <w:top w:val="nil"/>
              <w:left w:val="nil"/>
              <w:bottom w:val="single" w:sz="4" w:space="0" w:color="auto"/>
              <w:right w:val="single" w:sz="4" w:space="0" w:color="auto"/>
            </w:tcBorders>
            <w:shd w:val="clear" w:color="auto" w:fill="auto"/>
            <w:noWrap/>
            <w:vAlign w:val="center"/>
            <w:hideMark/>
          </w:tcPr>
          <w:p w14:paraId="11EA9E0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0.21</w:t>
            </w:r>
          </w:p>
        </w:tc>
        <w:tc>
          <w:tcPr>
            <w:tcW w:w="361" w:type="dxa"/>
            <w:tcBorders>
              <w:top w:val="nil"/>
              <w:left w:val="nil"/>
              <w:bottom w:val="single" w:sz="4" w:space="0" w:color="auto"/>
              <w:right w:val="single" w:sz="4" w:space="0" w:color="auto"/>
            </w:tcBorders>
            <w:shd w:val="clear" w:color="auto" w:fill="auto"/>
            <w:noWrap/>
            <w:vAlign w:val="center"/>
            <w:hideMark/>
          </w:tcPr>
          <w:p w14:paraId="11EA9E0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0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0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0.17</w:t>
            </w:r>
          </w:p>
        </w:tc>
        <w:tc>
          <w:tcPr>
            <w:tcW w:w="361" w:type="dxa"/>
            <w:tcBorders>
              <w:top w:val="nil"/>
              <w:left w:val="nil"/>
              <w:bottom w:val="single" w:sz="4" w:space="0" w:color="auto"/>
              <w:right w:val="single" w:sz="4" w:space="0" w:color="auto"/>
            </w:tcBorders>
            <w:shd w:val="clear" w:color="auto" w:fill="auto"/>
            <w:noWrap/>
            <w:vAlign w:val="center"/>
            <w:hideMark/>
          </w:tcPr>
          <w:p w14:paraId="11EA9E0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0.08</w:t>
            </w:r>
          </w:p>
        </w:tc>
        <w:tc>
          <w:tcPr>
            <w:tcW w:w="361" w:type="dxa"/>
            <w:tcBorders>
              <w:top w:val="nil"/>
              <w:left w:val="nil"/>
              <w:bottom w:val="single" w:sz="4" w:space="0" w:color="auto"/>
              <w:right w:val="single" w:sz="4" w:space="0" w:color="auto"/>
            </w:tcBorders>
            <w:shd w:val="clear" w:color="auto" w:fill="auto"/>
            <w:noWrap/>
            <w:vAlign w:val="center"/>
            <w:hideMark/>
          </w:tcPr>
          <w:p w14:paraId="11EA9E0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0.21</w:t>
            </w:r>
          </w:p>
        </w:tc>
      </w:tr>
      <w:tr w:rsidR="00B33EEE" w:rsidRPr="00B33EEE" w14:paraId="11EA9E35"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9E0F"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000000"/>
              <w:right w:val="single" w:sz="4" w:space="0" w:color="auto"/>
            </w:tcBorders>
            <w:vAlign w:val="center"/>
            <w:hideMark/>
          </w:tcPr>
          <w:p w14:paraId="11EA9E10"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9E1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9E1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3.19</w:t>
            </w:r>
          </w:p>
        </w:tc>
        <w:tc>
          <w:tcPr>
            <w:tcW w:w="360" w:type="dxa"/>
            <w:tcBorders>
              <w:top w:val="nil"/>
              <w:left w:val="nil"/>
              <w:bottom w:val="single" w:sz="4" w:space="0" w:color="auto"/>
              <w:right w:val="single" w:sz="4" w:space="0" w:color="auto"/>
            </w:tcBorders>
            <w:shd w:val="clear" w:color="auto" w:fill="auto"/>
            <w:noWrap/>
            <w:vAlign w:val="center"/>
            <w:hideMark/>
          </w:tcPr>
          <w:p w14:paraId="11EA9E1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1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3.00</w:t>
            </w:r>
          </w:p>
        </w:tc>
        <w:tc>
          <w:tcPr>
            <w:tcW w:w="360" w:type="dxa"/>
            <w:tcBorders>
              <w:top w:val="nil"/>
              <w:left w:val="nil"/>
              <w:bottom w:val="single" w:sz="4" w:space="0" w:color="auto"/>
              <w:right w:val="single" w:sz="4" w:space="0" w:color="auto"/>
            </w:tcBorders>
            <w:shd w:val="clear" w:color="auto" w:fill="auto"/>
            <w:noWrap/>
            <w:vAlign w:val="center"/>
            <w:hideMark/>
          </w:tcPr>
          <w:p w14:paraId="11EA9E1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1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1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1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0" w:type="dxa"/>
            <w:tcBorders>
              <w:top w:val="nil"/>
              <w:left w:val="nil"/>
              <w:bottom w:val="single" w:sz="4" w:space="0" w:color="auto"/>
              <w:right w:val="single" w:sz="4" w:space="0" w:color="auto"/>
            </w:tcBorders>
            <w:shd w:val="clear" w:color="auto" w:fill="auto"/>
            <w:noWrap/>
            <w:vAlign w:val="center"/>
            <w:hideMark/>
          </w:tcPr>
          <w:p w14:paraId="11EA9E1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9E1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1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E1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9E1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1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2.25</w:t>
            </w:r>
          </w:p>
        </w:tc>
        <w:tc>
          <w:tcPr>
            <w:tcW w:w="361" w:type="dxa"/>
            <w:tcBorders>
              <w:top w:val="nil"/>
              <w:left w:val="nil"/>
              <w:bottom w:val="single" w:sz="4" w:space="0" w:color="auto"/>
              <w:right w:val="single" w:sz="4" w:space="0" w:color="auto"/>
            </w:tcBorders>
            <w:shd w:val="clear" w:color="auto" w:fill="auto"/>
            <w:noWrap/>
            <w:vAlign w:val="center"/>
            <w:hideMark/>
          </w:tcPr>
          <w:p w14:paraId="11EA9E1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2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2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2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E2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2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E2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2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2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2.19</w:t>
            </w:r>
          </w:p>
        </w:tc>
        <w:tc>
          <w:tcPr>
            <w:tcW w:w="361" w:type="dxa"/>
            <w:tcBorders>
              <w:top w:val="nil"/>
              <w:left w:val="nil"/>
              <w:bottom w:val="single" w:sz="4" w:space="0" w:color="auto"/>
              <w:right w:val="single" w:sz="4" w:space="0" w:color="auto"/>
            </w:tcBorders>
            <w:shd w:val="clear" w:color="auto" w:fill="auto"/>
            <w:noWrap/>
            <w:vAlign w:val="center"/>
            <w:hideMark/>
          </w:tcPr>
          <w:p w14:paraId="11EA9E2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9E2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2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2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2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E2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2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29.19</w:t>
            </w:r>
          </w:p>
        </w:tc>
        <w:tc>
          <w:tcPr>
            <w:tcW w:w="361" w:type="dxa"/>
            <w:tcBorders>
              <w:top w:val="nil"/>
              <w:left w:val="nil"/>
              <w:bottom w:val="single" w:sz="4" w:space="0" w:color="auto"/>
              <w:right w:val="single" w:sz="4" w:space="0" w:color="auto"/>
            </w:tcBorders>
            <w:shd w:val="clear" w:color="auto" w:fill="auto"/>
            <w:noWrap/>
            <w:vAlign w:val="center"/>
            <w:hideMark/>
          </w:tcPr>
          <w:p w14:paraId="11EA9E2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9E3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3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3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3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9E3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r>
      <w:tr w:rsidR="00B33EEE" w:rsidRPr="00B33EEE" w14:paraId="11EA9E5C"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9E36"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tcBorders>
              <w:top w:val="nil"/>
              <w:left w:val="nil"/>
              <w:bottom w:val="single" w:sz="4" w:space="0" w:color="auto"/>
              <w:right w:val="single" w:sz="4" w:space="0" w:color="auto"/>
            </w:tcBorders>
            <w:shd w:val="clear" w:color="auto" w:fill="auto"/>
            <w:noWrap/>
            <w:vAlign w:val="center"/>
            <w:hideMark/>
          </w:tcPr>
          <w:p w14:paraId="11EA9E37"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Low Isles</w:t>
            </w:r>
          </w:p>
        </w:tc>
        <w:tc>
          <w:tcPr>
            <w:tcW w:w="320" w:type="dxa"/>
            <w:tcBorders>
              <w:top w:val="nil"/>
              <w:left w:val="nil"/>
              <w:bottom w:val="single" w:sz="4" w:space="0" w:color="auto"/>
              <w:right w:val="single" w:sz="4" w:space="0" w:color="auto"/>
            </w:tcBorders>
            <w:shd w:val="clear" w:color="auto" w:fill="auto"/>
            <w:noWrap/>
            <w:vAlign w:val="center"/>
            <w:hideMark/>
          </w:tcPr>
          <w:p w14:paraId="11EA9E3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9E3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3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3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0" w:type="dxa"/>
            <w:tcBorders>
              <w:top w:val="nil"/>
              <w:left w:val="nil"/>
              <w:bottom w:val="single" w:sz="4" w:space="0" w:color="auto"/>
              <w:right w:val="single" w:sz="4" w:space="0" w:color="auto"/>
            </w:tcBorders>
            <w:shd w:val="clear" w:color="auto" w:fill="auto"/>
            <w:noWrap/>
            <w:vAlign w:val="center"/>
            <w:hideMark/>
          </w:tcPr>
          <w:p w14:paraId="11EA9E3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3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0.30</w:t>
            </w:r>
          </w:p>
        </w:tc>
        <w:tc>
          <w:tcPr>
            <w:tcW w:w="360" w:type="dxa"/>
            <w:tcBorders>
              <w:top w:val="nil"/>
              <w:left w:val="nil"/>
              <w:bottom w:val="single" w:sz="4" w:space="0" w:color="auto"/>
              <w:right w:val="single" w:sz="4" w:space="0" w:color="auto"/>
            </w:tcBorders>
            <w:shd w:val="clear" w:color="auto" w:fill="auto"/>
            <w:noWrap/>
            <w:vAlign w:val="center"/>
            <w:hideMark/>
          </w:tcPr>
          <w:p w14:paraId="11EA9E3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3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0" w:type="dxa"/>
            <w:tcBorders>
              <w:top w:val="nil"/>
              <w:left w:val="nil"/>
              <w:bottom w:val="single" w:sz="4" w:space="0" w:color="auto"/>
              <w:right w:val="single" w:sz="4" w:space="0" w:color="auto"/>
            </w:tcBorders>
            <w:shd w:val="clear" w:color="auto" w:fill="auto"/>
            <w:noWrap/>
            <w:vAlign w:val="center"/>
            <w:hideMark/>
          </w:tcPr>
          <w:p w14:paraId="11EA9E4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9E4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0" w:type="dxa"/>
            <w:tcBorders>
              <w:top w:val="nil"/>
              <w:left w:val="nil"/>
              <w:bottom w:val="single" w:sz="4" w:space="0" w:color="auto"/>
              <w:right w:val="single" w:sz="4" w:space="0" w:color="auto"/>
            </w:tcBorders>
            <w:shd w:val="clear" w:color="auto" w:fill="auto"/>
            <w:noWrap/>
            <w:vAlign w:val="center"/>
            <w:hideMark/>
          </w:tcPr>
          <w:p w14:paraId="11EA9E4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0.27</w:t>
            </w:r>
          </w:p>
        </w:tc>
        <w:tc>
          <w:tcPr>
            <w:tcW w:w="361" w:type="dxa"/>
            <w:tcBorders>
              <w:top w:val="nil"/>
              <w:left w:val="nil"/>
              <w:bottom w:val="single" w:sz="4" w:space="0" w:color="auto"/>
              <w:right w:val="single" w:sz="4" w:space="0" w:color="auto"/>
            </w:tcBorders>
            <w:shd w:val="clear" w:color="auto" w:fill="auto"/>
            <w:noWrap/>
            <w:vAlign w:val="center"/>
            <w:hideMark/>
          </w:tcPr>
          <w:p w14:paraId="11EA9E4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2.03</w:t>
            </w:r>
          </w:p>
        </w:tc>
        <w:tc>
          <w:tcPr>
            <w:tcW w:w="361" w:type="dxa"/>
            <w:tcBorders>
              <w:top w:val="nil"/>
              <w:left w:val="nil"/>
              <w:bottom w:val="single" w:sz="4" w:space="0" w:color="auto"/>
              <w:right w:val="single" w:sz="4" w:space="0" w:color="auto"/>
            </w:tcBorders>
            <w:shd w:val="clear" w:color="auto" w:fill="auto"/>
            <w:noWrap/>
            <w:vAlign w:val="center"/>
            <w:hideMark/>
          </w:tcPr>
          <w:p w14:paraId="11EA9E4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1" w:type="dxa"/>
            <w:tcBorders>
              <w:top w:val="nil"/>
              <w:left w:val="nil"/>
              <w:bottom w:val="single" w:sz="4" w:space="0" w:color="auto"/>
              <w:right w:val="single" w:sz="4" w:space="0" w:color="auto"/>
            </w:tcBorders>
            <w:shd w:val="clear" w:color="auto" w:fill="auto"/>
            <w:noWrap/>
            <w:vAlign w:val="center"/>
            <w:hideMark/>
          </w:tcPr>
          <w:p w14:paraId="11EA9E4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0.23</w:t>
            </w:r>
          </w:p>
        </w:tc>
        <w:tc>
          <w:tcPr>
            <w:tcW w:w="361" w:type="dxa"/>
            <w:tcBorders>
              <w:top w:val="nil"/>
              <w:left w:val="nil"/>
              <w:bottom w:val="single" w:sz="4" w:space="0" w:color="auto"/>
              <w:right w:val="single" w:sz="4" w:space="0" w:color="auto"/>
            </w:tcBorders>
            <w:shd w:val="clear" w:color="auto" w:fill="auto"/>
            <w:noWrap/>
            <w:vAlign w:val="center"/>
            <w:hideMark/>
          </w:tcPr>
          <w:p w14:paraId="11EA9E4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1" w:type="dxa"/>
            <w:tcBorders>
              <w:top w:val="nil"/>
              <w:left w:val="nil"/>
              <w:bottom w:val="single" w:sz="4" w:space="0" w:color="auto"/>
              <w:right w:val="single" w:sz="4" w:space="0" w:color="auto"/>
            </w:tcBorders>
            <w:shd w:val="clear" w:color="auto" w:fill="auto"/>
            <w:noWrap/>
            <w:vAlign w:val="center"/>
            <w:hideMark/>
          </w:tcPr>
          <w:p w14:paraId="11EA9E4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4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4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0.87</w:t>
            </w:r>
          </w:p>
        </w:tc>
        <w:tc>
          <w:tcPr>
            <w:tcW w:w="361" w:type="dxa"/>
            <w:tcBorders>
              <w:top w:val="nil"/>
              <w:left w:val="nil"/>
              <w:bottom w:val="single" w:sz="4" w:space="0" w:color="auto"/>
              <w:right w:val="single" w:sz="4" w:space="0" w:color="auto"/>
            </w:tcBorders>
            <w:shd w:val="clear" w:color="auto" w:fill="auto"/>
            <w:noWrap/>
            <w:vAlign w:val="center"/>
            <w:hideMark/>
          </w:tcPr>
          <w:p w14:paraId="11EA9E4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1" w:type="dxa"/>
            <w:tcBorders>
              <w:top w:val="nil"/>
              <w:left w:val="nil"/>
              <w:bottom w:val="single" w:sz="4" w:space="0" w:color="auto"/>
              <w:right w:val="single" w:sz="4" w:space="0" w:color="auto"/>
            </w:tcBorders>
            <w:shd w:val="clear" w:color="auto" w:fill="auto"/>
            <w:noWrap/>
            <w:vAlign w:val="center"/>
            <w:hideMark/>
          </w:tcPr>
          <w:p w14:paraId="11EA9E4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1.57</w:t>
            </w:r>
          </w:p>
        </w:tc>
        <w:tc>
          <w:tcPr>
            <w:tcW w:w="361" w:type="dxa"/>
            <w:tcBorders>
              <w:top w:val="nil"/>
              <w:left w:val="nil"/>
              <w:bottom w:val="single" w:sz="4" w:space="0" w:color="auto"/>
              <w:right w:val="single" w:sz="4" w:space="0" w:color="auto"/>
            </w:tcBorders>
            <w:shd w:val="clear" w:color="auto" w:fill="auto"/>
            <w:noWrap/>
            <w:vAlign w:val="center"/>
            <w:hideMark/>
          </w:tcPr>
          <w:p w14:paraId="11EA9E4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4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4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1.60</w:t>
            </w:r>
          </w:p>
        </w:tc>
        <w:tc>
          <w:tcPr>
            <w:tcW w:w="361" w:type="dxa"/>
            <w:tcBorders>
              <w:top w:val="nil"/>
              <w:left w:val="nil"/>
              <w:bottom w:val="single" w:sz="4" w:space="0" w:color="auto"/>
              <w:right w:val="single" w:sz="4" w:space="0" w:color="auto"/>
            </w:tcBorders>
            <w:shd w:val="clear" w:color="auto" w:fill="auto"/>
            <w:noWrap/>
            <w:vAlign w:val="center"/>
            <w:hideMark/>
          </w:tcPr>
          <w:p w14:paraId="11EA9E4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9E5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E5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E5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5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0.10</w:t>
            </w:r>
          </w:p>
        </w:tc>
        <w:tc>
          <w:tcPr>
            <w:tcW w:w="361" w:type="dxa"/>
            <w:tcBorders>
              <w:top w:val="nil"/>
              <w:left w:val="nil"/>
              <w:bottom w:val="single" w:sz="4" w:space="0" w:color="auto"/>
              <w:right w:val="single" w:sz="4" w:space="0" w:color="auto"/>
            </w:tcBorders>
            <w:shd w:val="clear" w:color="auto" w:fill="auto"/>
            <w:noWrap/>
            <w:vAlign w:val="center"/>
            <w:hideMark/>
          </w:tcPr>
          <w:p w14:paraId="11EA9E5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5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12.17</w:t>
            </w:r>
          </w:p>
        </w:tc>
        <w:tc>
          <w:tcPr>
            <w:tcW w:w="361" w:type="dxa"/>
            <w:tcBorders>
              <w:top w:val="nil"/>
              <w:left w:val="nil"/>
              <w:bottom w:val="single" w:sz="4" w:space="0" w:color="auto"/>
              <w:right w:val="single" w:sz="4" w:space="0" w:color="auto"/>
            </w:tcBorders>
            <w:shd w:val="clear" w:color="auto" w:fill="auto"/>
            <w:noWrap/>
            <w:vAlign w:val="center"/>
            <w:hideMark/>
          </w:tcPr>
          <w:p w14:paraId="11EA9E5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E5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0.17</w:t>
            </w:r>
          </w:p>
        </w:tc>
        <w:tc>
          <w:tcPr>
            <w:tcW w:w="361" w:type="dxa"/>
            <w:tcBorders>
              <w:top w:val="nil"/>
              <w:left w:val="nil"/>
              <w:bottom w:val="single" w:sz="4" w:space="0" w:color="auto"/>
              <w:right w:val="single" w:sz="4" w:space="0" w:color="auto"/>
            </w:tcBorders>
            <w:shd w:val="clear" w:color="auto" w:fill="auto"/>
            <w:noWrap/>
            <w:vAlign w:val="center"/>
            <w:hideMark/>
          </w:tcPr>
          <w:p w14:paraId="11EA9E5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9E5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5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0.23</w:t>
            </w:r>
          </w:p>
        </w:tc>
        <w:tc>
          <w:tcPr>
            <w:tcW w:w="361" w:type="dxa"/>
            <w:tcBorders>
              <w:top w:val="nil"/>
              <w:left w:val="nil"/>
              <w:bottom w:val="single" w:sz="4" w:space="0" w:color="auto"/>
              <w:right w:val="single" w:sz="4" w:space="0" w:color="auto"/>
            </w:tcBorders>
            <w:shd w:val="clear" w:color="auto" w:fill="auto"/>
            <w:noWrap/>
            <w:vAlign w:val="center"/>
            <w:hideMark/>
          </w:tcPr>
          <w:p w14:paraId="11EA9E5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0.57</w:t>
            </w:r>
          </w:p>
        </w:tc>
      </w:tr>
      <w:tr w:rsidR="00B33EEE" w:rsidRPr="00B33EEE" w14:paraId="11EA9E83" w14:textId="77777777" w:rsidTr="00B66372">
        <w:trPr>
          <w:trHeight w:hRule="exact" w:val="397"/>
        </w:trPr>
        <w:tc>
          <w:tcPr>
            <w:tcW w:w="398"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9E5D"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Johnstone</w:t>
            </w:r>
          </w:p>
        </w:tc>
        <w:tc>
          <w:tcPr>
            <w:tcW w:w="895" w:type="dxa"/>
            <w:tcBorders>
              <w:top w:val="nil"/>
              <w:left w:val="nil"/>
              <w:bottom w:val="single" w:sz="4" w:space="0" w:color="auto"/>
              <w:right w:val="single" w:sz="4" w:space="0" w:color="auto"/>
            </w:tcBorders>
            <w:shd w:val="clear" w:color="auto" w:fill="auto"/>
            <w:noWrap/>
            <w:vAlign w:val="center"/>
            <w:hideMark/>
          </w:tcPr>
          <w:p w14:paraId="11EA9E5E"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Green</w:t>
            </w:r>
          </w:p>
        </w:tc>
        <w:tc>
          <w:tcPr>
            <w:tcW w:w="320" w:type="dxa"/>
            <w:tcBorders>
              <w:top w:val="nil"/>
              <w:left w:val="nil"/>
              <w:bottom w:val="single" w:sz="4" w:space="0" w:color="auto"/>
              <w:right w:val="single" w:sz="4" w:space="0" w:color="auto"/>
            </w:tcBorders>
            <w:shd w:val="clear" w:color="auto" w:fill="auto"/>
            <w:noWrap/>
            <w:vAlign w:val="center"/>
            <w:hideMark/>
          </w:tcPr>
          <w:p w14:paraId="11EA9E5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9E6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0.10</w:t>
            </w:r>
          </w:p>
        </w:tc>
        <w:tc>
          <w:tcPr>
            <w:tcW w:w="360" w:type="dxa"/>
            <w:tcBorders>
              <w:top w:val="nil"/>
              <w:left w:val="nil"/>
              <w:bottom w:val="single" w:sz="4" w:space="0" w:color="auto"/>
              <w:right w:val="single" w:sz="4" w:space="0" w:color="auto"/>
            </w:tcBorders>
            <w:shd w:val="clear" w:color="auto" w:fill="auto"/>
            <w:noWrap/>
            <w:vAlign w:val="center"/>
            <w:hideMark/>
          </w:tcPr>
          <w:p w14:paraId="11EA9E6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6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6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0" w:type="dxa"/>
            <w:tcBorders>
              <w:top w:val="nil"/>
              <w:left w:val="nil"/>
              <w:bottom w:val="single" w:sz="4" w:space="0" w:color="auto"/>
              <w:right w:val="single" w:sz="4" w:space="0" w:color="auto"/>
            </w:tcBorders>
            <w:shd w:val="clear" w:color="auto" w:fill="auto"/>
            <w:noWrap/>
            <w:vAlign w:val="center"/>
            <w:hideMark/>
          </w:tcPr>
          <w:p w14:paraId="11EA9E6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0.10</w:t>
            </w:r>
          </w:p>
        </w:tc>
        <w:tc>
          <w:tcPr>
            <w:tcW w:w="360" w:type="dxa"/>
            <w:tcBorders>
              <w:top w:val="nil"/>
              <w:left w:val="nil"/>
              <w:bottom w:val="single" w:sz="4" w:space="0" w:color="auto"/>
              <w:right w:val="single" w:sz="4" w:space="0" w:color="auto"/>
            </w:tcBorders>
            <w:shd w:val="clear" w:color="auto" w:fill="auto"/>
            <w:noWrap/>
            <w:vAlign w:val="center"/>
            <w:hideMark/>
          </w:tcPr>
          <w:p w14:paraId="11EA9E6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6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0" w:type="dxa"/>
            <w:tcBorders>
              <w:top w:val="nil"/>
              <w:left w:val="nil"/>
              <w:bottom w:val="single" w:sz="4" w:space="0" w:color="auto"/>
              <w:right w:val="single" w:sz="4" w:space="0" w:color="auto"/>
            </w:tcBorders>
            <w:shd w:val="clear" w:color="auto" w:fill="auto"/>
            <w:noWrap/>
            <w:vAlign w:val="center"/>
            <w:hideMark/>
          </w:tcPr>
          <w:p w14:paraId="11EA9E6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0" w:type="dxa"/>
            <w:tcBorders>
              <w:top w:val="nil"/>
              <w:left w:val="nil"/>
              <w:bottom w:val="single" w:sz="4" w:space="0" w:color="auto"/>
              <w:right w:val="single" w:sz="4" w:space="0" w:color="auto"/>
            </w:tcBorders>
            <w:shd w:val="clear" w:color="auto" w:fill="auto"/>
            <w:noWrap/>
            <w:vAlign w:val="center"/>
            <w:hideMark/>
          </w:tcPr>
          <w:p w14:paraId="11EA9E6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6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6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0.10</w:t>
            </w:r>
          </w:p>
        </w:tc>
        <w:tc>
          <w:tcPr>
            <w:tcW w:w="361" w:type="dxa"/>
            <w:tcBorders>
              <w:top w:val="nil"/>
              <w:left w:val="nil"/>
              <w:bottom w:val="single" w:sz="4" w:space="0" w:color="auto"/>
              <w:right w:val="single" w:sz="4" w:space="0" w:color="auto"/>
            </w:tcBorders>
            <w:shd w:val="clear" w:color="auto" w:fill="auto"/>
            <w:noWrap/>
            <w:vAlign w:val="center"/>
            <w:hideMark/>
          </w:tcPr>
          <w:p w14:paraId="11EA9E6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9E6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E6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6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6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7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0.17</w:t>
            </w:r>
          </w:p>
        </w:tc>
        <w:tc>
          <w:tcPr>
            <w:tcW w:w="361" w:type="dxa"/>
            <w:tcBorders>
              <w:top w:val="nil"/>
              <w:left w:val="nil"/>
              <w:bottom w:val="single" w:sz="4" w:space="0" w:color="auto"/>
              <w:right w:val="single" w:sz="4" w:space="0" w:color="auto"/>
            </w:tcBorders>
            <w:shd w:val="clear" w:color="auto" w:fill="auto"/>
            <w:noWrap/>
            <w:vAlign w:val="center"/>
            <w:hideMark/>
          </w:tcPr>
          <w:p w14:paraId="11EA9E7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7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0.17</w:t>
            </w:r>
          </w:p>
        </w:tc>
        <w:tc>
          <w:tcPr>
            <w:tcW w:w="361" w:type="dxa"/>
            <w:tcBorders>
              <w:top w:val="nil"/>
              <w:left w:val="nil"/>
              <w:bottom w:val="single" w:sz="4" w:space="0" w:color="auto"/>
              <w:right w:val="single" w:sz="4" w:space="0" w:color="auto"/>
            </w:tcBorders>
            <w:shd w:val="clear" w:color="auto" w:fill="auto"/>
            <w:noWrap/>
            <w:vAlign w:val="center"/>
            <w:hideMark/>
          </w:tcPr>
          <w:p w14:paraId="11EA9E7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7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7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1" w:type="dxa"/>
            <w:tcBorders>
              <w:top w:val="nil"/>
              <w:left w:val="nil"/>
              <w:bottom w:val="single" w:sz="4" w:space="0" w:color="auto"/>
              <w:right w:val="single" w:sz="4" w:space="0" w:color="auto"/>
            </w:tcBorders>
            <w:shd w:val="clear" w:color="auto" w:fill="auto"/>
            <w:noWrap/>
            <w:vAlign w:val="center"/>
            <w:hideMark/>
          </w:tcPr>
          <w:p w14:paraId="11EA9E7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7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7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0.20</w:t>
            </w:r>
          </w:p>
        </w:tc>
        <w:tc>
          <w:tcPr>
            <w:tcW w:w="361" w:type="dxa"/>
            <w:tcBorders>
              <w:top w:val="nil"/>
              <w:left w:val="nil"/>
              <w:bottom w:val="single" w:sz="4" w:space="0" w:color="auto"/>
              <w:right w:val="single" w:sz="4" w:space="0" w:color="auto"/>
            </w:tcBorders>
            <w:shd w:val="clear" w:color="auto" w:fill="auto"/>
            <w:noWrap/>
            <w:vAlign w:val="center"/>
            <w:hideMark/>
          </w:tcPr>
          <w:p w14:paraId="11EA9E7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7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7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7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4.43</w:t>
            </w:r>
          </w:p>
        </w:tc>
        <w:tc>
          <w:tcPr>
            <w:tcW w:w="361" w:type="dxa"/>
            <w:tcBorders>
              <w:top w:val="nil"/>
              <w:left w:val="nil"/>
              <w:bottom w:val="single" w:sz="4" w:space="0" w:color="auto"/>
              <w:right w:val="single" w:sz="4" w:space="0" w:color="auto"/>
            </w:tcBorders>
            <w:shd w:val="clear" w:color="auto" w:fill="auto"/>
            <w:noWrap/>
            <w:vAlign w:val="center"/>
            <w:hideMark/>
          </w:tcPr>
          <w:p w14:paraId="11EA9E7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7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9E7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8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9E8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1" w:type="dxa"/>
            <w:tcBorders>
              <w:top w:val="nil"/>
              <w:left w:val="nil"/>
              <w:bottom w:val="single" w:sz="4" w:space="0" w:color="auto"/>
              <w:right w:val="single" w:sz="4" w:space="0" w:color="auto"/>
            </w:tcBorders>
            <w:shd w:val="clear" w:color="auto" w:fill="auto"/>
            <w:noWrap/>
            <w:vAlign w:val="center"/>
            <w:hideMark/>
          </w:tcPr>
          <w:p w14:paraId="11EA9E8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0.23</w:t>
            </w:r>
          </w:p>
        </w:tc>
      </w:tr>
      <w:tr w:rsidR="00B33EEE" w:rsidRPr="00B33EEE" w14:paraId="11EA9EAA"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9E84"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tcBorders>
              <w:top w:val="nil"/>
              <w:left w:val="nil"/>
              <w:bottom w:val="single" w:sz="4" w:space="0" w:color="auto"/>
              <w:right w:val="single" w:sz="4" w:space="0" w:color="auto"/>
            </w:tcBorders>
            <w:shd w:val="clear" w:color="auto" w:fill="auto"/>
            <w:noWrap/>
            <w:vAlign w:val="center"/>
            <w:hideMark/>
          </w:tcPr>
          <w:p w14:paraId="11EA9E85"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Fitzroy West LTMP</w:t>
            </w:r>
          </w:p>
        </w:tc>
        <w:tc>
          <w:tcPr>
            <w:tcW w:w="320" w:type="dxa"/>
            <w:tcBorders>
              <w:top w:val="nil"/>
              <w:left w:val="nil"/>
              <w:bottom w:val="single" w:sz="4" w:space="0" w:color="auto"/>
              <w:right w:val="single" w:sz="4" w:space="0" w:color="auto"/>
            </w:tcBorders>
            <w:shd w:val="clear" w:color="auto" w:fill="auto"/>
            <w:noWrap/>
            <w:vAlign w:val="center"/>
            <w:hideMark/>
          </w:tcPr>
          <w:p w14:paraId="11EA9E8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9E8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0" w:type="dxa"/>
            <w:tcBorders>
              <w:top w:val="nil"/>
              <w:left w:val="nil"/>
              <w:bottom w:val="single" w:sz="4" w:space="0" w:color="auto"/>
              <w:right w:val="single" w:sz="4" w:space="0" w:color="auto"/>
            </w:tcBorders>
            <w:shd w:val="clear" w:color="auto" w:fill="auto"/>
            <w:noWrap/>
            <w:vAlign w:val="center"/>
            <w:hideMark/>
          </w:tcPr>
          <w:p w14:paraId="11EA9E8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8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0" w:type="dxa"/>
            <w:tcBorders>
              <w:top w:val="nil"/>
              <w:left w:val="nil"/>
              <w:bottom w:val="single" w:sz="4" w:space="0" w:color="auto"/>
              <w:right w:val="single" w:sz="4" w:space="0" w:color="auto"/>
            </w:tcBorders>
            <w:shd w:val="clear" w:color="auto" w:fill="auto"/>
            <w:noWrap/>
            <w:vAlign w:val="center"/>
            <w:hideMark/>
          </w:tcPr>
          <w:p w14:paraId="11EA9E8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0" w:type="dxa"/>
            <w:tcBorders>
              <w:top w:val="nil"/>
              <w:left w:val="nil"/>
              <w:bottom w:val="single" w:sz="4" w:space="0" w:color="auto"/>
              <w:right w:val="single" w:sz="4" w:space="0" w:color="auto"/>
            </w:tcBorders>
            <w:shd w:val="clear" w:color="auto" w:fill="auto"/>
            <w:noWrap/>
            <w:vAlign w:val="center"/>
            <w:hideMark/>
          </w:tcPr>
          <w:p w14:paraId="11EA9E8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8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8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0.10</w:t>
            </w:r>
          </w:p>
        </w:tc>
        <w:tc>
          <w:tcPr>
            <w:tcW w:w="360" w:type="dxa"/>
            <w:tcBorders>
              <w:top w:val="nil"/>
              <w:left w:val="nil"/>
              <w:bottom w:val="single" w:sz="4" w:space="0" w:color="auto"/>
              <w:right w:val="single" w:sz="4" w:space="0" w:color="auto"/>
            </w:tcBorders>
            <w:shd w:val="clear" w:color="auto" w:fill="auto"/>
            <w:noWrap/>
            <w:vAlign w:val="center"/>
            <w:hideMark/>
          </w:tcPr>
          <w:p w14:paraId="11EA9E8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0.10</w:t>
            </w:r>
          </w:p>
        </w:tc>
        <w:tc>
          <w:tcPr>
            <w:tcW w:w="360" w:type="dxa"/>
            <w:tcBorders>
              <w:top w:val="nil"/>
              <w:left w:val="nil"/>
              <w:bottom w:val="single" w:sz="4" w:space="0" w:color="auto"/>
              <w:right w:val="single" w:sz="4" w:space="0" w:color="auto"/>
            </w:tcBorders>
            <w:shd w:val="clear" w:color="auto" w:fill="auto"/>
            <w:noWrap/>
            <w:vAlign w:val="center"/>
            <w:hideMark/>
          </w:tcPr>
          <w:p w14:paraId="11EA9E8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9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0.30</w:t>
            </w:r>
          </w:p>
        </w:tc>
        <w:tc>
          <w:tcPr>
            <w:tcW w:w="361" w:type="dxa"/>
            <w:tcBorders>
              <w:top w:val="nil"/>
              <w:left w:val="nil"/>
              <w:bottom w:val="single" w:sz="4" w:space="0" w:color="auto"/>
              <w:right w:val="single" w:sz="4" w:space="0" w:color="auto"/>
            </w:tcBorders>
            <w:shd w:val="clear" w:color="auto" w:fill="auto"/>
            <w:noWrap/>
            <w:vAlign w:val="center"/>
            <w:hideMark/>
          </w:tcPr>
          <w:p w14:paraId="11EA9E9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0.60</w:t>
            </w:r>
          </w:p>
        </w:tc>
        <w:tc>
          <w:tcPr>
            <w:tcW w:w="361" w:type="dxa"/>
            <w:tcBorders>
              <w:top w:val="nil"/>
              <w:left w:val="nil"/>
              <w:bottom w:val="single" w:sz="4" w:space="0" w:color="auto"/>
              <w:right w:val="single" w:sz="4" w:space="0" w:color="auto"/>
            </w:tcBorders>
            <w:shd w:val="clear" w:color="auto" w:fill="auto"/>
            <w:noWrap/>
            <w:vAlign w:val="center"/>
            <w:hideMark/>
          </w:tcPr>
          <w:p w14:paraId="11EA9E9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E9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0.20</w:t>
            </w:r>
          </w:p>
        </w:tc>
        <w:tc>
          <w:tcPr>
            <w:tcW w:w="361" w:type="dxa"/>
            <w:tcBorders>
              <w:top w:val="nil"/>
              <w:left w:val="nil"/>
              <w:bottom w:val="single" w:sz="4" w:space="0" w:color="auto"/>
              <w:right w:val="single" w:sz="4" w:space="0" w:color="auto"/>
            </w:tcBorders>
            <w:shd w:val="clear" w:color="auto" w:fill="auto"/>
            <w:noWrap/>
            <w:vAlign w:val="center"/>
            <w:hideMark/>
          </w:tcPr>
          <w:p w14:paraId="11EA9E9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9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9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9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0.94</w:t>
            </w:r>
          </w:p>
        </w:tc>
        <w:tc>
          <w:tcPr>
            <w:tcW w:w="361" w:type="dxa"/>
            <w:tcBorders>
              <w:top w:val="nil"/>
              <w:left w:val="nil"/>
              <w:bottom w:val="single" w:sz="4" w:space="0" w:color="auto"/>
              <w:right w:val="single" w:sz="4" w:space="0" w:color="auto"/>
            </w:tcBorders>
            <w:shd w:val="clear" w:color="auto" w:fill="auto"/>
            <w:noWrap/>
            <w:vAlign w:val="center"/>
            <w:hideMark/>
          </w:tcPr>
          <w:p w14:paraId="11EA9E9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0.27</w:t>
            </w:r>
          </w:p>
        </w:tc>
        <w:tc>
          <w:tcPr>
            <w:tcW w:w="361" w:type="dxa"/>
            <w:tcBorders>
              <w:top w:val="nil"/>
              <w:left w:val="nil"/>
              <w:bottom w:val="single" w:sz="4" w:space="0" w:color="auto"/>
              <w:right w:val="single" w:sz="4" w:space="0" w:color="auto"/>
            </w:tcBorders>
            <w:shd w:val="clear" w:color="auto" w:fill="auto"/>
            <w:noWrap/>
            <w:vAlign w:val="center"/>
            <w:hideMark/>
          </w:tcPr>
          <w:p w14:paraId="11EA9E9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1.54</w:t>
            </w:r>
          </w:p>
        </w:tc>
        <w:tc>
          <w:tcPr>
            <w:tcW w:w="361" w:type="dxa"/>
            <w:tcBorders>
              <w:top w:val="nil"/>
              <w:left w:val="nil"/>
              <w:bottom w:val="single" w:sz="4" w:space="0" w:color="auto"/>
              <w:right w:val="single" w:sz="4" w:space="0" w:color="auto"/>
            </w:tcBorders>
            <w:shd w:val="clear" w:color="auto" w:fill="auto"/>
            <w:noWrap/>
            <w:vAlign w:val="center"/>
            <w:hideMark/>
          </w:tcPr>
          <w:p w14:paraId="11EA9E9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9E9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9E9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0.60</w:t>
            </w:r>
          </w:p>
        </w:tc>
        <w:tc>
          <w:tcPr>
            <w:tcW w:w="361" w:type="dxa"/>
            <w:tcBorders>
              <w:top w:val="nil"/>
              <w:left w:val="nil"/>
              <w:bottom w:val="single" w:sz="4" w:space="0" w:color="auto"/>
              <w:right w:val="single" w:sz="4" w:space="0" w:color="auto"/>
            </w:tcBorders>
            <w:shd w:val="clear" w:color="auto" w:fill="auto"/>
            <w:noWrap/>
            <w:vAlign w:val="center"/>
            <w:hideMark/>
          </w:tcPr>
          <w:p w14:paraId="11EA9E9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9E9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1" w:type="dxa"/>
            <w:tcBorders>
              <w:top w:val="nil"/>
              <w:left w:val="nil"/>
              <w:bottom w:val="single" w:sz="4" w:space="0" w:color="auto"/>
              <w:right w:val="single" w:sz="4" w:space="0" w:color="auto"/>
            </w:tcBorders>
            <w:shd w:val="clear" w:color="auto" w:fill="auto"/>
            <w:noWrap/>
            <w:vAlign w:val="center"/>
            <w:hideMark/>
          </w:tcPr>
          <w:p w14:paraId="11EA9E9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0.23</w:t>
            </w:r>
          </w:p>
        </w:tc>
        <w:tc>
          <w:tcPr>
            <w:tcW w:w="361" w:type="dxa"/>
            <w:tcBorders>
              <w:top w:val="nil"/>
              <w:left w:val="nil"/>
              <w:bottom w:val="single" w:sz="4" w:space="0" w:color="auto"/>
              <w:right w:val="single" w:sz="4" w:space="0" w:color="auto"/>
            </w:tcBorders>
            <w:shd w:val="clear" w:color="auto" w:fill="auto"/>
            <w:noWrap/>
            <w:vAlign w:val="center"/>
            <w:hideMark/>
          </w:tcPr>
          <w:p w14:paraId="11EA9EA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A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0.20</w:t>
            </w:r>
          </w:p>
        </w:tc>
        <w:tc>
          <w:tcPr>
            <w:tcW w:w="361" w:type="dxa"/>
            <w:tcBorders>
              <w:top w:val="nil"/>
              <w:left w:val="nil"/>
              <w:bottom w:val="single" w:sz="4" w:space="0" w:color="auto"/>
              <w:right w:val="single" w:sz="4" w:space="0" w:color="auto"/>
            </w:tcBorders>
            <w:shd w:val="clear" w:color="auto" w:fill="auto"/>
            <w:noWrap/>
            <w:vAlign w:val="center"/>
            <w:hideMark/>
          </w:tcPr>
          <w:p w14:paraId="11EA9EA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0.10</w:t>
            </w:r>
          </w:p>
        </w:tc>
        <w:tc>
          <w:tcPr>
            <w:tcW w:w="361" w:type="dxa"/>
            <w:tcBorders>
              <w:top w:val="nil"/>
              <w:left w:val="nil"/>
              <w:bottom w:val="single" w:sz="4" w:space="0" w:color="auto"/>
              <w:right w:val="single" w:sz="4" w:space="0" w:color="auto"/>
            </w:tcBorders>
            <w:shd w:val="clear" w:color="auto" w:fill="auto"/>
            <w:noWrap/>
            <w:vAlign w:val="center"/>
            <w:hideMark/>
          </w:tcPr>
          <w:p w14:paraId="11EA9EA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10.29</w:t>
            </w:r>
          </w:p>
        </w:tc>
        <w:tc>
          <w:tcPr>
            <w:tcW w:w="361" w:type="dxa"/>
            <w:tcBorders>
              <w:top w:val="nil"/>
              <w:left w:val="nil"/>
              <w:bottom w:val="single" w:sz="4" w:space="0" w:color="auto"/>
              <w:right w:val="single" w:sz="4" w:space="0" w:color="auto"/>
            </w:tcBorders>
            <w:shd w:val="clear" w:color="auto" w:fill="auto"/>
            <w:noWrap/>
            <w:vAlign w:val="center"/>
            <w:hideMark/>
          </w:tcPr>
          <w:p w14:paraId="11EA9EA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A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9EA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0.27</w:t>
            </w:r>
          </w:p>
        </w:tc>
        <w:tc>
          <w:tcPr>
            <w:tcW w:w="361" w:type="dxa"/>
            <w:tcBorders>
              <w:top w:val="nil"/>
              <w:left w:val="nil"/>
              <w:bottom w:val="single" w:sz="4" w:space="0" w:color="auto"/>
              <w:right w:val="single" w:sz="4" w:space="0" w:color="auto"/>
            </w:tcBorders>
            <w:shd w:val="clear" w:color="auto" w:fill="auto"/>
            <w:noWrap/>
            <w:vAlign w:val="center"/>
            <w:hideMark/>
          </w:tcPr>
          <w:p w14:paraId="11EA9EA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A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9EA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0.33</w:t>
            </w:r>
          </w:p>
        </w:tc>
      </w:tr>
      <w:tr w:rsidR="00B33EEE" w:rsidRPr="00B33EEE" w14:paraId="11EA9ED1"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9EAB"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EAC"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Fitzroy East</w:t>
            </w:r>
          </w:p>
        </w:tc>
        <w:tc>
          <w:tcPr>
            <w:tcW w:w="320" w:type="dxa"/>
            <w:tcBorders>
              <w:top w:val="nil"/>
              <w:left w:val="nil"/>
              <w:bottom w:val="single" w:sz="4" w:space="0" w:color="auto"/>
              <w:right w:val="single" w:sz="4" w:space="0" w:color="auto"/>
            </w:tcBorders>
            <w:shd w:val="clear" w:color="auto" w:fill="auto"/>
            <w:noWrap/>
            <w:vAlign w:val="center"/>
            <w:hideMark/>
          </w:tcPr>
          <w:p w14:paraId="11EA9EA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9EA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11.25</w:t>
            </w:r>
          </w:p>
        </w:tc>
        <w:tc>
          <w:tcPr>
            <w:tcW w:w="360" w:type="dxa"/>
            <w:tcBorders>
              <w:top w:val="nil"/>
              <w:left w:val="nil"/>
              <w:bottom w:val="single" w:sz="4" w:space="0" w:color="auto"/>
              <w:right w:val="single" w:sz="4" w:space="0" w:color="auto"/>
            </w:tcBorders>
            <w:shd w:val="clear" w:color="auto" w:fill="auto"/>
            <w:noWrap/>
            <w:vAlign w:val="center"/>
            <w:hideMark/>
          </w:tcPr>
          <w:p w14:paraId="11EA9EA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B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B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9EB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B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9EB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9EB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0" w:type="dxa"/>
            <w:tcBorders>
              <w:top w:val="nil"/>
              <w:left w:val="nil"/>
              <w:bottom w:val="single" w:sz="4" w:space="0" w:color="auto"/>
              <w:right w:val="single" w:sz="4" w:space="0" w:color="auto"/>
            </w:tcBorders>
            <w:shd w:val="clear" w:color="auto" w:fill="auto"/>
            <w:noWrap/>
            <w:vAlign w:val="center"/>
            <w:hideMark/>
          </w:tcPr>
          <w:p w14:paraId="11EA9EB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0" w:type="dxa"/>
            <w:tcBorders>
              <w:top w:val="nil"/>
              <w:left w:val="nil"/>
              <w:bottom w:val="single" w:sz="4" w:space="0" w:color="auto"/>
              <w:right w:val="single" w:sz="4" w:space="0" w:color="auto"/>
            </w:tcBorders>
            <w:shd w:val="clear" w:color="auto" w:fill="auto"/>
            <w:noWrap/>
            <w:vAlign w:val="center"/>
            <w:hideMark/>
          </w:tcPr>
          <w:p w14:paraId="11EA9EB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B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B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1" w:type="dxa"/>
            <w:tcBorders>
              <w:top w:val="nil"/>
              <w:left w:val="nil"/>
              <w:bottom w:val="single" w:sz="4" w:space="0" w:color="auto"/>
              <w:right w:val="single" w:sz="4" w:space="0" w:color="auto"/>
            </w:tcBorders>
            <w:shd w:val="clear" w:color="auto" w:fill="auto"/>
            <w:noWrap/>
            <w:vAlign w:val="center"/>
            <w:hideMark/>
          </w:tcPr>
          <w:p w14:paraId="11EA9EB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9EB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9EB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B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B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EB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C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6.94</w:t>
            </w:r>
          </w:p>
        </w:tc>
        <w:tc>
          <w:tcPr>
            <w:tcW w:w="361" w:type="dxa"/>
            <w:tcBorders>
              <w:top w:val="nil"/>
              <w:left w:val="nil"/>
              <w:bottom w:val="single" w:sz="4" w:space="0" w:color="auto"/>
              <w:right w:val="single" w:sz="4" w:space="0" w:color="auto"/>
            </w:tcBorders>
            <w:shd w:val="clear" w:color="auto" w:fill="auto"/>
            <w:noWrap/>
            <w:vAlign w:val="center"/>
            <w:hideMark/>
          </w:tcPr>
          <w:p w14:paraId="11EA9EC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C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C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C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9EC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C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9EC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C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1.75</w:t>
            </w:r>
          </w:p>
        </w:tc>
        <w:tc>
          <w:tcPr>
            <w:tcW w:w="361" w:type="dxa"/>
            <w:tcBorders>
              <w:top w:val="nil"/>
              <w:left w:val="nil"/>
              <w:bottom w:val="single" w:sz="4" w:space="0" w:color="auto"/>
              <w:right w:val="single" w:sz="4" w:space="0" w:color="auto"/>
            </w:tcBorders>
            <w:shd w:val="clear" w:color="auto" w:fill="auto"/>
            <w:noWrap/>
            <w:vAlign w:val="center"/>
            <w:hideMark/>
          </w:tcPr>
          <w:p w14:paraId="11EA9EC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C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7.44</w:t>
            </w:r>
          </w:p>
        </w:tc>
        <w:tc>
          <w:tcPr>
            <w:tcW w:w="361" w:type="dxa"/>
            <w:tcBorders>
              <w:top w:val="nil"/>
              <w:left w:val="nil"/>
              <w:bottom w:val="single" w:sz="4" w:space="0" w:color="auto"/>
              <w:right w:val="single" w:sz="4" w:space="0" w:color="auto"/>
            </w:tcBorders>
            <w:shd w:val="clear" w:color="auto" w:fill="auto"/>
            <w:noWrap/>
            <w:vAlign w:val="center"/>
            <w:hideMark/>
          </w:tcPr>
          <w:p w14:paraId="11EA9EC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C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C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C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9EC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D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0.94</w:t>
            </w:r>
          </w:p>
        </w:tc>
      </w:tr>
      <w:tr w:rsidR="00B33EEE" w:rsidRPr="00B33EEE" w14:paraId="11EA9EF8"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9ED2"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9ED3"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9ED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9ED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2.19</w:t>
            </w:r>
          </w:p>
        </w:tc>
        <w:tc>
          <w:tcPr>
            <w:tcW w:w="360" w:type="dxa"/>
            <w:tcBorders>
              <w:top w:val="nil"/>
              <w:left w:val="nil"/>
              <w:bottom w:val="single" w:sz="4" w:space="0" w:color="auto"/>
              <w:right w:val="single" w:sz="4" w:space="0" w:color="auto"/>
            </w:tcBorders>
            <w:shd w:val="clear" w:color="auto" w:fill="auto"/>
            <w:noWrap/>
            <w:vAlign w:val="center"/>
            <w:hideMark/>
          </w:tcPr>
          <w:p w14:paraId="11EA9ED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D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9ED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9ED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0" w:type="dxa"/>
            <w:tcBorders>
              <w:top w:val="nil"/>
              <w:left w:val="nil"/>
              <w:bottom w:val="single" w:sz="4" w:space="0" w:color="auto"/>
              <w:right w:val="single" w:sz="4" w:space="0" w:color="auto"/>
            </w:tcBorders>
            <w:shd w:val="clear" w:color="auto" w:fill="auto"/>
            <w:noWrap/>
            <w:vAlign w:val="center"/>
            <w:hideMark/>
          </w:tcPr>
          <w:p w14:paraId="11EA9ED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9ED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1.94</w:t>
            </w:r>
          </w:p>
        </w:tc>
        <w:tc>
          <w:tcPr>
            <w:tcW w:w="360" w:type="dxa"/>
            <w:tcBorders>
              <w:top w:val="nil"/>
              <w:left w:val="nil"/>
              <w:bottom w:val="single" w:sz="4" w:space="0" w:color="auto"/>
              <w:right w:val="single" w:sz="4" w:space="0" w:color="auto"/>
            </w:tcBorders>
            <w:shd w:val="clear" w:color="auto" w:fill="auto"/>
            <w:noWrap/>
            <w:vAlign w:val="center"/>
            <w:hideMark/>
          </w:tcPr>
          <w:p w14:paraId="11EA9ED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0" w:type="dxa"/>
            <w:tcBorders>
              <w:top w:val="nil"/>
              <w:left w:val="nil"/>
              <w:bottom w:val="single" w:sz="4" w:space="0" w:color="auto"/>
              <w:right w:val="single" w:sz="4" w:space="0" w:color="auto"/>
            </w:tcBorders>
            <w:shd w:val="clear" w:color="auto" w:fill="auto"/>
            <w:noWrap/>
            <w:vAlign w:val="center"/>
            <w:hideMark/>
          </w:tcPr>
          <w:p w14:paraId="11EA9ED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9ED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ED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1.81</w:t>
            </w:r>
          </w:p>
        </w:tc>
        <w:tc>
          <w:tcPr>
            <w:tcW w:w="361" w:type="dxa"/>
            <w:tcBorders>
              <w:top w:val="nil"/>
              <w:left w:val="nil"/>
              <w:bottom w:val="single" w:sz="4" w:space="0" w:color="auto"/>
              <w:right w:val="single" w:sz="4" w:space="0" w:color="auto"/>
            </w:tcBorders>
            <w:shd w:val="clear" w:color="auto" w:fill="auto"/>
            <w:noWrap/>
            <w:vAlign w:val="center"/>
            <w:hideMark/>
          </w:tcPr>
          <w:p w14:paraId="11EA9EE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9EE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9EE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9EE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E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E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9EE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E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9EE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EE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E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9EE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EE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EE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9EE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E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3.81</w:t>
            </w:r>
          </w:p>
        </w:tc>
        <w:tc>
          <w:tcPr>
            <w:tcW w:w="361" w:type="dxa"/>
            <w:tcBorders>
              <w:top w:val="nil"/>
              <w:left w:val="nil"/>
              <w:bottom w:val="single" w:sz="4" w:space="0" w:color="auto"/>
              <w:right w:val="single" w:sz="4" w:space="0" w:color="auto"/>
            </w:tcBorders>
            <w:shd w:val="clear" w:color="auto" w:fill="auto"/>
            <w:noWrap/>
            <w:vAlign w:val="center"/>
            <w:hideMark/>
          </w:tcPr>
          <w:p w14:paraId="11EA9EF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F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11.75</w:t>
            </w:r>
          </w:p>
        </w:tc>
        <w:tc>
          <w:tcPr>
            <w:tcW w:w="361" w:type="dxa"/>
            <w:tcBorders>
              <w:top w:val="nil"/>
              <w:left w:val="nil"/>
              <w:bottom w:val="single" w:sz="4" w:space="0" w:color="auto"/>
              <w:right w:val="single" w:sz="4" w:space="0" w:color="auto"/>
            </w:tcBorders>
            <w:shd w:val="clear" w:color="auto" w:fill="auto"/>
            <w:noWrap/>
            <w:vAlign w:val="center"/>
            <w:hideMark/>
          </w:tcPr>
          <w:p w14:paraId="11EA9EF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9EF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F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F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EF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9EF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1.25</w:t>
            </w:r>
          </w:p>
        </w:tc>
      </w:tr>
      <w:tr w:rsidR="00B33EEE" w:rsidRPr="00B33EEE" w14:paraId="11EA9F1F"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9EF9"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EFA"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Fitzroy West</w:t>
            </w:r>
          </w:p>
        </w:tc>
        <w:tc>
          <w:tcPr>
            <w:tcW w:w="320" w:type="dxa"/>
            <w:tcBorders>
              <w:top w:val="nil"/>
              <w:left w:val="nil"/>
              <w:bottom w:val="single" w:sz="4" w:space="0" w:color="auto"/>
              <w:right w:val="single" w:sz="4" w:space="0" w:color="auto"/>
            </w:tcBorders>
            <w:shd w:val="clear" w:color="auto" w:fill="auto"/>
            <w:noWrap/>
            <w:vAlign w:val="center"/>
            <w:hideMark/>
          </w:tcPr>
          <w:p w14:paraId="11EA9EF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9EF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12.69</w:t>
            </w:r>
          </w:p>
        </w:tc>
        <w:tc>
          <w:tcPr>
            <w:tcW w:w="360" w:type="dxa"/>
            <w:tcBorders>
              <w:top w:val="nil"/>
              <w:left w:val="nil"/>
              <w:bottom w:val="single" w:sz="4" w:space="0" w:color="auto"/>
              <w:right w:val="single" w:sz="4" w:space="0" w:color="auto"/>
            </w:tcBorders>
            <w:shd w:val="clear" w:color="auto" w:fill="auto"/>
            <w:noWrap/>
            <w:vAlign w:val="center"/>
            <w:hideMark/>
          </w:tcPr>
          <w:p w14:paraId="11EA9EF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EF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9EF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0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0" w:type="dxa"/>
            <w:tcBorders>
              <w:top w:val="nil"/>
              <w:left w:val="nil"/>
              <w:bottom w:val="single" w:sz="4" w:space="0" w:color="auto"/>
              <w:right w:val="single" w:sz="4" w:space="0" w:color="auto"/>
            </w:tcBorders>
            <w:shd w:val="clear" w:color="auto" w:fill="auto"/>
            <w:noWrap/>
            <w:vAlign w:val="center"/>
            <w:hideMark/>
          </w:tcPr>
          <w:p w14:paraId="11EA9F0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0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1.38</w:t>
            </w:r>
          </w:p>
        </w:tc>
        <w:tc>
          <w:tcPr>
            <w:tcW w:w="360" w:type="dxa"/>
            <w:tcBorders>
              <w:top w:val="nil"/>
              <w:left w:val="nil"/>
              <w:bottom w:val="single" w:sz="4" w:space="0" w:color="auto"/>
              <w:right w:val="single" w:sz="4" w:space="0" w:color="auto"/>
            </w:tcBorders>
            <w:shd w:val="clear" w:color="auto" w:fill="auto"/>
            <w:noWrap/>
            <w:vAlign w:val="center"/>
            <w:hideMark/>
          </w:tcPr>
          <w:p w14:paraId="11EA9F0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9F0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9F0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9F0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9F0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9F0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9F0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0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0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0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1" w:type="dxa"/>
            <w:tcBorders>
              <w:top w:val="nil"/>
              <w:left w:val="nil"/>
              <w:bottom w:val="single" w:sz="4" w:space="0" w:color="auto"/>
              <w:right w:val="single" w:sz="4" w:space="0" w:color="auto"/>
            </w:tcBorders>
            <w:shd w:val="clear" w:color="auto" w:fill="auto"/>
            <w:noWrap/>
            <w:vAlign w:val="center"/>
            <w:hideMark/>
          </w:tcPr>
          <w:p w14:paraId="11EA9F0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9F0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5.19</w:t>
            </w:r>
          </w:p>
        </w:tc>
        <w:tc>
          <w:tcPr>
            <w:tcW w:w="361" w:type="dxa"/>
            <w:tcBorders>
              <w:top w:val="nil"/>
              <w:left w:val="nil"/>
              <w:bottom w:val="single" w:sz="4" w:space="0" w:color="auto"/>
              <w:right w:val="single" w:sz="4" w:space="0" w:color="auto"/>
            </w:tcBorders>
            <w:shd w:val="clear" w:color="auto" w:fill="auto"/>
            <w:noWrap/>
            <w:vAlign w:val="center"/>
            <w:hideMark/>
          </w:tcPr>
          <w:p w14:paraId="11EA9F0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1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1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1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1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1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1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1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9F1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1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3.81</w:t>
            </w:r>
          </w:p>
        </w:tc>
        <w:tc>
          <w:tcPr>
            <w:tcW w:w="361" w:type="dxa"/>
            <w:tcBorders>
              <w:top w:val="nil"/>
              <w:left w:val="nil"/>
              <w:bottom w:val="single" w:sz="4" w:space="0" w:color="auto"/>
              <w:right w:val="single" w:sz="4" w:space="0" w:color="auto"/>
            </w:tcBorders>
            <w:shd w:val="clear" w:color="auto" w:fill="auto"/>
            <w:noWrap/>
            <w:vAlign w:val="center"/>
            <w:hideMark/>
          </w:tcPr>
          <w:p w14:paraId="11EA9F1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1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1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1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9F1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1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r>
      <w:tr w:rsidR="00B33EEE" w:rsidRPr="00B33EEE" w14:paraId="11EA9F46"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9F20"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9F21"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9F2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9F2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3.44</w:t>
            </w:r>
          </w:p>
        </w:tc>
        <w:tc>
          <w:tcPr>
            <w:tcW w:w="360" w:type="dxa"/>
            <w:tcBorders>
              <w:top w:val="nil"/>
              <w:left w:val="nil"/>
              <w:bottom w:val="single" w:sz="4" w:space="0" w:color="auto"/>
              <w:right w:val="single" w:sz="4" w:space="0" w:color="auto"/>
            </w:tcBorders>
            <w:shd w:val="clear" w:color="auto" w:fill="auto"/>
            <w:noWrap/>
            <w:vAlign w:val="center"/>
            <w:hideMark/>
          </w:tcPr>
          <w:p w14:paraId="11EA9F2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2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0" w:type="dxa"/>
            <w:tcBorders>
              <w:top w:val="nil"/>
              <w:left w:val="nil"/>
              <w:bottom w:val="single" w:sz="4" w:space="0" w:color="auto"/>
              <w:right w:val="single" w:sz="4" w:space="0" w:color="auto"/>
            </w:tcBorders>
            <w:shd w:val="clear" w:color="auto" w:fill="auto"/>
            <w:noWrap/>
            <w:vAlign w:val="center"/>
            <w:hideMark/>
          </w:tcPr>
          <w:p w14:paraId="11EA9F2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2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0" w:type="dxa"/>
            <w:tcBorders>
              <w:top w:val="nil"/>
              <w:left w:val="nil"/>
              <w:bottom w:val="single" w:sz="4" w:space="0" w:color="auto"/>
              <w:right w:val="single" w:sz="4" w:space="0" w:color="auto"/>
            </w:tcBorders>
            <w:shd w:val="clear" w:color="auto" w:fill="auto"/>
            <w:noWrap/>
            <w:vAlign w:val="center"/>
            <w:hideMark/>
          </w:tcPr>
          <w:p w14:paraId="11EA9F2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9F2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0" w:type="dxa"/>
            <w:tcBorders>
              <w:top w:val="nil"/>
              <w:left w:val="nil"/>
              <w:bottom w:val="single" w:sz="4" w:space="0" w:color="auto"/>
              <w:right w:val="single" w:sz="4" w:space="0" w:color="auto"/>
            </w:tcBorders>
            <w:shd w:val="clear" w:color="auto" w:fill="auto"/>
            <w:noWrap/>
            <w:vAlign w:val="center"/>
            <w:hideMark/>
          </w:tcPr>
          <w:p w14:paraId="11EA9F2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9F2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9F2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2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1" w:type="dxa"/>
            <w:tcBorders>
              <w:top w:val="nil"/>
              <w:left w:val="nil"/>
              <w:bottom w:val="single" w:sz="4" w:space="0" w:color="auto"/>
              <w:right w:val="single" w:sz="4" w:space="0" w:color="auto"/>
            </w:tcBorders>
            <w:shd w:val="clear" w:color="auto" w:fill="auto"/>
            <w:noWrap/>
            <w:vAlign w:val="center"/>
            <w:hideMark/>
          </w:tcPr>
          <w:p w14:paraId="11EA9F2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F2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9F3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3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3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3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1.56</w:t>
            </w:r>
          </w:p>
        </w:tc>
        <w:tc>
          <w:tcPr>
            <w:tcW w:w="361" w:type="dxa"/>
            <w:tcBorders>
              <w:top w:val="nil"/>
              <w:left w:val="nil"/>
              <w:bottom w:val="single" w:sz="4" w:space="0" w:color="auto"/>
              <w:right w:val="single" w:sz="4" w:space="0" w:color="auto"/>
            </w:tcBorders>
            <w:shd w:val="clear" w:color="auto" w:fill="auto"/>
            <w:noWrap/>
            <w:vAlign w:val="center"/>
            <w:hideMark/>
          </w:tcPr>
          <w:p w14:paraId="11EA9F3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F3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2.06</w:t>
            </w:r>
          </w:p>
        </w:tc>
        <w:tc>
          <w:tcPr>
            <w:tcW w:w="361" w:type="dxa"/>
            <w:tcBorders>
              <w:top w:val="nil"/>
              <w:left w:val="nil"/>
              <w:bottom w:val="single" w:sz="4" w:space="0" w:color="auto"/>
              <w:right w:val="single" w:sz="4" w:space="0" w:color="auto"/>
            </w:tcBorders>
            <w:shd w:val="clear" w:color="auto" w:fill="auto"/>
            <w:noWrap/>
            <w:vAlign w:val="center"/>
            <w:hideMark/>
          </w:tcPr>
          <w:p w14:paraId="11EA9F3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9F3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F3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0.94</w:t>
            </w:r>
          </w:p>
        </w:tc>
        <w:tc>
          <w:tcPr>
            <w:tcW w:w="361" w:type="dxa"/>
            <w:tcBorders>
              <w:top w:val="nil"/>
              <w:left w:val="nil"/>
              <w:bottom w:val="single" w:sz="4" w:space="0" w:color="auto"/>
              <w:right w:val="single" w:sz="4" w:space="0" w:color="auto"/>
            </w:tcBorders>
            <w:shd w:val="clear" w:color="auto" w:fill="auto"/>
            <w:noWrap/>
            <w:vAlign w:val="center"/>
            <w:hideMark/>
          </w:tcPr>
          <w:p w14:paraId="11EA9F3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3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3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9F3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3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3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3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9.38</w:t>
            </w:r>
          </w:p>
        </w:tc>
        <w:tc>
          <w:tcPr>
            <w:tcW w:w="361" w:type="dxa"/>
            <w:tcBorders>
              <w:top w:val="nil"/>
              <w:left w:val="nil"/>
              <w:bottom w:val="single" w:sz="4" w:space="0" w:color="auto"/>
              <w:right w:val="single" w:sz="4" w:space="0" w:color="auto"/>
            </w:tcBorders>
            <w:shd w:val="clear" w:color="auto" w:fill="auto"/>
            <w:noWrap/>
            <w:vAlign w:val="center"/>
            <w:hideMark/>
          </w:tcPr>
          <w:p w14:paraId="11EA9F4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9F4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4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4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4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4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r>
      <w:tr w:rsidR="00B33EEE" w:rsidRPr="00B33EEE" w14:paraId="11EA9F6D" w14:textId="77777777" w:rsidTr="00B66372">
        <w:trPr>
          <w:cantSplit/>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9F47"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F48"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Franklands East</w:t>
            </w:r>
          </w:p>
        </w:tc>
        <w:tc>
          <w:tcPr>
            <w:tcW w:w="320" w:type="dxa"/>
            <w:tcBorders>
              <w:top w:val="nil"/>
              <w:left w:val="nil"/>
              <w:bottom w:val="single" w:sz="4" w:space="0" w:color="auto"/>
              <w:right w:val="single" w:sz="4" w:space="0" w:color="auto"/>
            </w:tcBorders>
            <w:shd w:val="clear" w:color="auto" w:fill="auto"/>
            <w:noWrap/>
            <w:vAlign w:val="center"/>
            <w:hideMark/>
          </w:tcPr>
          <w:p w14:paraId="11EA9F4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9F4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16.81</w:t>
            </w:r>
          </w:p>
        </w:tc>
        <w:tc>
          <w:tcPr>
            <w:tcW w:w="360" w:type="dxa"/>
            <w:tcBorders>
              <w:top w:val="nil"/>
              <w:left w:val="nil"/>
              <w:bottom w:val="single" w:sz="4" w:space="0" w:color="auto"/>
              <w:right w:val="single" w:sz="4" w:space="0" w:color="auto"/>
            </w:tcBorders>
            <w:shd w:val="clear" w:color="auto" w:fill="auto"/>
            <w:noWrap/>
            <w:vAlign w:val="center"/>
            <w:hideMark/>
          </w:tcPr>
          <w:p w14:paraId="11EA9F4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4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4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4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9F4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5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5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0" w:type="dxa"/>
            <w:tcBorders>
              <w:top w:val="nil"/>
              <w:left w:val="nil"/>
              <w:bottom w:val="single" w:sz="4" w:space="0" w:color="auto"/>
              <w:right w:val="single" w:sz="4" w:space="0" w:color="auto"/>
            </w:tcBorders>
            <w:shd w:val="clear" w:color="auto" w:fill="auto"/>
            <w:noWrap/>
            <w:vAlign w:val="center"/>
            <w:hideMark/>
          </w:tcPr>
          <w:p w14:paraId="11EA9F5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0" w:type="dxa"/>
            <w:tcBorders>
              <w:top w:val="nil"/>
              <w:left w:val="nil"/>
              <w:bottom w:val="single" w:sz="4" w:space="0" w:color="auto"/>
              <w:right w:val="single" w:sz="4" w:space="0" w:color="auto"/>
            </w:tcBorders>
            <w:shd w:val="clear" w:color="auto" w:fill="auto"/>
            <w:noWrap/>
            <w:vAlign w:val="center"/>
            <w:hideMark/>
          </w:tcPr>
          <w:p w14:paraId="11EA9F5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5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5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F5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5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5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5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5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5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5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13.19</w:t>
            </w:r>
          </w:p>
        </w:tc>
        <w:tc>
          <w:tcPr>
            <w:tcW w:w="361" w:type="dxa"/>
            <w:tcBorders>
              <w:top w:val="nil"/>
              <w:left w:val="nil"/>
              <w:bottom w:val="single" w:sz="4" w:space="0" w:color="auto"/>
              <w:right w:val="single" w:sz="4" w:space="0" w:color="auto"/>
            </w:tcBorders>
            <w:shd w:val="clear" w:color="auto" w:fill="auto"/>
            <w:noWrap/>
            <w:vAlign w:val="center"/>
            <w:hideMark/>
          </w:tcPr>
          <w:p w14:paraId="11EA9F5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5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5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6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6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6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9F6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6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9F6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6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1.94</w:t>
            </w:r>
          </w:p>
        </w:tc>
        <w:tc>
          <w:tcPr>
            <w:tcW w:w="361" w:type="dxa"/>
            <w:tcBorders>
              <w:top w:val="nil"/>
              <w:left w:val="nil"/>
              <w:bottom w:val="single" w:sz="4" w:space="0" w:color="auto"/>
              <w:right w:val="single" w:sz="4" w:space="0" w:color="auto"/>
            </w:tcBorders>
            <w:shd w:val="clear" w:color="auto" w:fill="auto"/>
            <w:noWrap/>
            <w:vAlign w:val="center"/>
            <w:hideMark/>
          </w:tcPr>
          <w:p w14:paraId="11EA9F6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6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F6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9F6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6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6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r>
      <w:tr w:rsidR="00B33EEE" w:rsidRPr="00B33EEE" w14:paraId="11EA9F94"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9F6E"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9F6F"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9F7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9F7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31.19</w:t>
            </w:r>
          </w:p>
        </w:tc>
        <w:tc>
          <w:tcPr>
            <w:tcW w:w="360" w:type="dxa"/>
            <w:tcBorders>
              <w:top w:val="nil"/>
              <w:left w:val="nil"/>
              <w:bottom w:val="single" w:sz="4" w:space="0" w:color="auto"/>
              <w:right w:val="single" w:sz="4" w:space="0" w:color="auto"/>
            </w:tcBorders>
            <w:shd w:val="clear" w:color="auto" w:fill="auto"/>
            <w:noWrap/>
            <w:vAlign w:val="center"/>
            <w:hideMark/>
          </w:tcPr>
          <w:p w14:paraId="11EA9F7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0" w:type="dxa"/>
            <w:tcBorders>
              <w:top w:val="nil"/>
              <w:left w:val="nil"/>
              <w:bottom w:val="single" w:sz="4" w:space="0" w:color="auto"/>
              <w:right w:val="single" w:sz="4" w:space="0" w:color="auto"/>
            </w:tcBorders>
            <w:shd w:val="clear" w:color="auto" w:fill="auto"/>
            <w:noWrap/>
            <w:vAlign w:val="center"/>
            <w:hideMark/>
          </w:tcPr>
          <w:p w14:paraId="11EA9F7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7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9F7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7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9F7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0" w:type="dxa"/>
            <w:tcBorders>
              <w:top w:val="nil"/>
              <w:left w:val="nil"/>
              <w:bottom w:val="single" w:sz="4" w:space="0" w:color="auto"/>
              <w:right w:val="single" w:sz="4" w:space="0" w:color="auto"/>
            </w:tcBorders>
            <w:shd w:val="clear" w:color="auto" w:fill="auto"/>
            <w:noWrap/>
            <w:vAlign w:val="center"/>
            <w:hideMark/>
          </w:tcPr>
          <w:p w14:paraId="11EA9F7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0" w:type="dxa"/>
            <w:tcBorders>
              <w:top w:val="nil"/>
              <w:left w:val="nil"/>
              <w:bottom w:val="single" w:sz="4" w:space="0" w:color="auto"/>
              <w:right w:val="single" w:sz="4" w:space="0" w:color="auto"/>
            </w:tcBorders>
            <w:shd w:val="clear" w:color="auto" w:fill="auto"/>
            <w:noWrap/>
            <w:vAlign w:val="center"/>
            <w:hideMark/>
          </w:tcPr>
          <w:p w14:paraId="11EA9F7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9F7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7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7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7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7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7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8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8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F8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1" w:type="dxa"/>
            <w:tcBorders>
              <w:top w:val="nil"/>
              <w:left w:val="nil"/>
              <w:bottom w:val="single" w:sz="4" w:space="0" w:color="auto"/>
              <w:right w:val="single" w:sz="4" w:space="0" w:color="auto"/>
            </w:tcBorders>
            <w:shd w:val="clear" w:color="auto" w:fill="auto"/>
            <w:noWrap/>
            <w:vAlign w:val="center"/>
            <w:hideMark/>
          </w:tcPr>
          <w:p w14:paraId="11EA9F8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5.31</w:t>
            </w:r>
          </w:p>
        </w:tc>
        <w:tc>
          <w:tcPr>
            <w:tcW w:w="361" w:type="dxa"/>
            <w:tcBorders>
              <w:top w:val="nil"/>
              <w:left w:val="nil"/>
              <w:bottom w:val="single" w:sz="4" w:space="0" w:color="auto"/>
              <w:right w:val="single" w:sz="4" w:space="0" w:color="auto"/>
            </w:tcBorders>
            <w:shd w:val="clear" w:color="auto" w:fill="auto"/>
            <w:noWrap/>
            <w:vAlign w:val="center"/>
            <w:hideMark/>
          </w:tcPr>
          <w:p w14:paraId="11EA9F8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8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8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8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8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8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9F8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8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9F8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8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2.19</w:t>
            </w:r>
          </w:p>
        </w:tc>
        <w:tc>
          <w:tcPr>
            <w:tcW w:w="361" w:type="dxa"/>
            <w:tcBorders>
              <w:top w:val="nil"/>
              <w:left w:val="nil"/>
              <w:bottom w:val="single" w:sz="4" w:space="0" w:color="auto"/>
              <w:right w:val="single" w:sz="4" w:space="0" w:color="auto"/>
            </w:tcBorders>
            <w:shd w:val="clear" w:color="auto" w:fill="auto"/>
            <w:noWrap/>
            <w:vAlign w:val="center"/>
            <w:hideMark/>
          </w:tcPr>
          <w:p w14:paraId="11EA9F8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8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3.63</w:t>
            </w:r>
          </w:p>
        </w:tc>
        <w:tc>
          <w:tcPr>
            <w:tcW w:w="361" w:type="dxa"/>
            <w:tcBorders>
              <w:top w:val="nil"/>
              <w:left w:val="nil"/>
              <w:bottom w:val="single" w:sz="4" w:space="0" w:color="auto"/>
              <w:right w:val="single" w:sz="4" w:space="0" w:color="auto"/>
            </w:tcBorders>
            <w:shd w:val="clear" w:color="auto" w:fill="auto"/>
            <w:noWrap/>
            <w:vAlign w:val="center"/>
            <w:hideMark/>
          </w:tcPr>
          <w:p w14:paraId="11EA9F9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9F9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9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9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r>
      <w:tr w:rsidR="00B33EEE" w:rsidRPr="00B33EEE" w14:paraId="11EA9FBB"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9F95"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F96"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Franklands West</w:t>
            </w:r>
          </w:p>
        </w:tc>
        <w:tc>
          <w:tcPr>
            <w:tcW w:w="320" w:type="dxa"/>
            <w:tcBorders>
              <w:top w:val="nil"/>
              <w:left w:val="nil"/>
              <w:bottom w:val="single" w:sz="4" w:space="0" w:color="auto"/>
              <w:right w:val="single" w:sz="4" w:space="0" w:color="auto"/>
            </w:tcBorders>
            <w:shd w:val="clear" w:color="auto" w:fill="auto"/>
            <w:noWrap/>
            <w:vAlign w:val="center"/>
            <w:hideMark/>
          </w:tcPr>
          <w:p w14:paraId="11EA9F9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9F9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12.95</w:t>
            </w:r>
          </w:p>
        </w:tc>
        <w:tc>
          <w:tcPr>
            <w:tcW w:w="360" w:type="dxa"/>
            <w:tcBorders>
              <w:top w:val="nil"/>
              <w:left w:val="nil"/>
              <w:bottom w:val="single" w:sz="4" w:space="0" w:color="auto"/>
              <w:right w:val="single" w:sz="4" w:space="0" w:color="auto"/>
            </w:tcBorders>
            <w:shd w:val="clear" w:color="auto" w:fill="auto"/>
            <w:noWrap/>
            <w:vAlign w:val="center"/>
            <w:hideMark/>
          </w:tcPr>
          <w:p w14:paraId="11EA9F9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9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9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9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9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9F9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9F9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A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A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9FA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FA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A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1.06</w:t>
            </w:r>
          </w:p>
        </w:tc>
        <w:tc>
          <w:tcPr>
            <w:tcW w:w="361" w:type="dxa"/>
            <w:tcBorders>
              <w:top w:val="nil"/>
              <w:left w:val="nil"/>
              <w:bottom w:val="single" w:sz="4" w:space="0" w:color="auto"/>
              <w:right w:val="single" w:sz="4" w:space="0" w:color="auto"/>
            </w:tcBorders>
            <w:shd w:val="clear" w:color="auto" w:fill="auto"/>
            <w:noWrap/>
            <w:vAlign w:val="center"/>
            <w:hideMark/>
          </w:tcPr>
          <w:p w14:paraId="11EA9FA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A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A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A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A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A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FA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A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A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5.38</w:t>
            </w:r>
          </w:p>
        </w:tc>
        <w:tc>
          <w:tcPr>
            <w:tcW w:w="361" w:type="dxa"/>
            <w:tcBorders>
              <w:top w:val="nil"/>
              <w:left w:val="nil"/>
              <w:bottom w:val="single" w:sz="4" w:space="0" w:color="auto"/>
              <w:right w:val="single" w:sz="4" w:space="0" w:color="auto"/>
            </w:tcBorders>
            <w:shd w:val="clear" w:color="auto" w:fill="auto"/>
            <w:noWrap/>
            <w:vAlign w:val="center"/>
            <w:hideMark/>
          </w:tcPr>
          <w:p w14:paraId="11EA9FA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A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B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B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B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9FB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B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22.14</w:t>
            </w:r>
          </w:p>
        </w:tc>
        <w:tc>
          <w:tcPr>
            <w:tcW w:w="361" w:type="dxa"/>
            <w:tcBorders>
              <w:top w:val="nil"/>
              <w:left w:val="nil"/>
              <w:bottom w:val="single" w:sz="4" w:space="0" w:color="auto"/>
              <w:right w:val="single" w:sz="4" w:space="0" w:color="auto"/>
            </w:tcBorders>
            <w:shd w:val="clear" w:color="auto" w:fill="auto"/>
            <w:noWrap/>
            <w:vAlign w:val="center"/>
            <w:hideMark/>
          </w:tcPr>
          <w:p w14:paraId="11EA9FB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FB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1.69</w:t>
            </w:r>
          </w:p>
        </w:tc>
        <w:tc>
          <w:tcPr>
            <w:tcW w:w="361" w:type="dxa"/>
            <w:tcBorders>
              <w:top w:val="nil"/>
              <w:left w:val="nil"/>
              <w:bottom w:val="single" w:sz="4" w:space="0" w:color="auto"/>
              <w:right w:val="single" w:sz="4" w:space="0" w:color="auto"/>
            </w:tcBorders>
            <w:shd w:val="clear" w:color="auto" w:fill="auto"/>
            <w:noWrap/>
            <w:vAlign w:val="center"/>
            <w:hideMark/>
          </w:tcPr>
          <w:p w14:paraId="11EA9FB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B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B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B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r>
      <w:tr w:rsidR="00B33EEE" w:rsidRPr="00B33EEE" w14:paraId="11EA9FE2"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9FBC"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9FBD"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9FB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9FB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9FC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C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C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C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C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C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9FC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C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C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FC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C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C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C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C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C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C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D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D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D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D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D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3.50</w:t>
            </w:r>
          </w:p>
        </w:tc>
        <w:tc>
          <w:tcPr>
            <w:tcW w:w="361" w:type="dxa"/>
            <w:tcBorders>
              <w:top w:val="nil"/>
              <w:left w:val="nil"/>
              <w:bottom w:val="single" w:sz="4" w:space="0" w:color="auto"/>
              <w:right w:val="single" w:sz="4" w:space="0" w:color="auto"/>
            </w:tcBorders>
            <w:shd w:val="clear" w:color="auto" w:fill="auto"/>
            <w:noWrap/>
            <w:vAlign w:val="center"/>
            <w:hideMark/>
          </w:tcPr>
          <w:p w14:paraId="11EA9FD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D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D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D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D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D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D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61.13</w:t>
            </w:r>
          </w:p>
        </w:tc>
        <w:tc>
          <w:tcPr>
            <w:tcW w:w="361" w:type="dxa"/>
            <w:tcBorders>
              <w:top w:val="nil"/>
              <w:left w:val="nil"/>
              <w:bottom w:val="single" w:sz="4" w:space="0" w:color="auto"/>
              <w:right w:val="single" w:sz="4" w:space="0" w:color="auto"/>
            </w:tcBorders>
            <w:shd w:val="clear" w:color="auto" w:fill="auto"/>
            <w:noWrap/>
            <w:vAlign w:val="center"/>
            <w:hideMark/>
          </w:tcPr>
          <w:p w14:paraId="11EA9FD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D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9FD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D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E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E1" w14:textId="77777777" w:rsidR="00B33EEE" w:rsidRPr="00B33EEE" w:rsidRDefault="00B33EEE" w:rsidP="00B33EEE">
            <w:pPr>
              <w:spacing w:after="0"/>
              <w:jc w:val="center"/>
              <w:rPr>
                <w:rFonts w:ascii="Arial Narrow" w:hAnsi="Arial Narrow"/>
                <w:color w:val="000000"/>
                <w:sz w:val="14"/>
                <w:szCs w:val="14"/>
                <w:lang w:val="en-AU" w:eastAsia="en-AU"/>
              </w:rPr>
            </w:pPr>
          </w:p>
        </w:tc>
      </w:tr>
      <w:tr w:rsidR="00B33EEE" w:rsidRPr="00B33EEE" w14:paraId="11EAA009"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9FE3"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9FE4"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High East</w:t>
            </w:r>
          </w:p>
        </w:tc>
        <w:tc>
          <w:tcPr>
            <w:tcW w:w="320" w:type="dxa"/>
            <w:tcBorders>
              <w:top w:val="nil"/>
              <w:left w:val="nil"/>
              <w:bottom w:val="single" w:sz="4" w:space="0" w:color="auto"/>
              <w:right w:val="single" w:sz="4" w:space="0" w:color="auto"/>
            </w:tcBorders>
            <w:shd w:val="clear" w:color="auto" w:fill="auto"/>
            <w:noWrap/>
            <w:vAlign w:val="center"/>
            <w:hideMark/>
          </w:tcPr>
          <w:p w14:paraId="11EA9FE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9FE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32.64</w:t>
            </w:r>
          </w:p>
        </w:tc>
        <w:tc>
          <w:tcPr>
            <w:tcW w:w="360" w:type="dxa"/>
            <w:tcBorders>
              <w:top w:val="nil"/>
              <w:left w:val="nil"/>
              <w:bottom w:val="single" w:sz="4" w:space="0" w:color="auto"/>
              <w:right w:val="single" w:sz="4" w:space="0" w:color="auto"/>
            </w:tcBorders>
            <w:shd w:val="clear" w:color="auto" w:fill="auto"/>
            <w:noWrap/>
            <w:vAlign w:val="center"/>
            <w:hideMark/>
          </w:tcPr>
          <w:p w14:paraId="11EA9FE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E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E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9FE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E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9FE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c>
          <w:tcPr>
            <w:tcW w:w="360" w:type="dxa"/>
            <w:tcBorders>
              <w:top w:val="nil"/>
              <w:left w:val="nil"/>
              <w:bottom w:val="single" w:sz="4" w:space="0" w:color="auto"/>
              <w:right w:val="single" w:sz="4" w:space="0" w:color="auto"/>
            </w:tcBorders>
            <w:shd w:val="clear" w:color="auto" w:fill="auto"/>
            <w:noWrap/>
            <w:vAlign w:val="center"/>
            <w:hideMark/>
          </w:tcPr>
          <w:p w14:paraId="11EA9FE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9FE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0" w:type="dxa"/>
            <w:tcBorders>
              <w:top w:val="nil"/>
              <w:left w:val="nil"/>
              <w:bottom w:val="single" w:sz="4" w:space="0" w:color="auto"/>
              <w:right w:val="single" w:sz="4" w:space="0" w:color="auto"/>
            </w:tcBorders>
            <w:shd w:val="clear" w:color="auto" w:fill="auto"/>
            <w:noWrap/>
            <w:vAlign w:val="center"/>
            <w:hideMark/>
          </w:tcPr>
          <w:p w14:paraId="11EA9FE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F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F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9FF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9FF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F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F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F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F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9FF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w:t>
            </w:r>
          </w:p>
        </w:tc>
        <w:tc>
          <w:tcPr>
            <w:tcW w:w="361" w:type="dxa"/>
            <w:tcBorders>
              <w:top w:val="nil"/>
              <w:left w:val="nil"/>
              <w:bottom w:val="single" w:sz="4" w:space="0" w:color="auto"/>
              <w:right w:val="single" w:sz="4" w:space="0" w:color="auto"/>
            </w:tcBorders>
            <w:shd w:val="clear" w:color="auto" w:fill="auto"/>
            <w:noWrap/>
            <w:vAlign w:val="center"/>
            <w:hideMark/>
          </w:tcPr>
          <w:p w14:paraId="11EA9FF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F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F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F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9FF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9FF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c>
          <w:tcPr>
            <w:tcW w:w="361" w:type="dxa"/>
            <w:tcBorders>
              <w:top w:val="nil"/>
              <w:left w:val="nil"/>
              <w:bottom w:val="single" w:sz="4" w:space="0" w:color="auto"/>
              <w:right w:val="single" w:sz="4" w:space="0" w:color="auto"/>
            </w:tcBorders>
            <w:shd w:val="clear" w:color="auto" w:fill="auto"/>
            <w:noWrap/>
            <w:vAlign w:val="center"/>
            <w:hideMark/>
          </w:tcPr>
          <w:p w14:paraId="11EA9FF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0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1" w:type="dxa"/>
            <w:tcBorders>
              <w:top w:val="nil"/>
              <w:left w:val="nil"/>
              <w:bottom w:val="single" w:sz="4" w:space="0" w:color="auto"/>
              <w:right w:val="single" w:sz="4" w:space="0" w:color="auto"/>
            </w:tcBorders>
            <w:shd w:val="clear" w:color="auto" w:fill="auto"/>
            <w:noWrap/>
            <w:vAlign w:val="center"/>
            <w:hideMark/>
          </w:tcPr>
          <w:p w14:paraId="11EAA00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0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4.94</w:t>
            </w:r>
          </w:p>
        </w:tc>
        <w:tc>
          <w:tcPr>
            <w:tcW w:w="361" w:type="dxa"/>
            <w:tcBorders>
              <w:top w:val="nil"/>
              <w:left w:val="nil"/>
              <w:bottom w:val="single" w:sz="4" w:space="0" w:color="auto"/>
              <w:right w:val="single" w:sz="4" w:space="0" w:color="auto"/>
            </w:tcBorders>
            <w:shd w:val="clear" w:color="auto" w:fill="auto"/>
            <w:noWrap/>
            <w:vAlign w:val="center"/>
            <w:hideMark/>
          </w:tcPr>
          <w:p w14:paraId="11EAA00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00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0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0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1.38</w:t>
            </w:r>
          </w:p>
        </w:tc>
        <w:tc>
          <w:tcPr>
            <w:tcW w:w="361" w:type="dxa"/>
            <w:tcBorders>
              <w:top w:val="nil"/>
              <w:left w:val="nil"/>
              <w:bottom w:val="single" w:sz="4" w:space="0" w:color="auto"/>
              <w:right w:val="single" w:sz="4" w:space="0" w:color="auto"/>
            </w:tcBorders>
            <w:shd w:val="clear" w:color="auto" w:fill="auto"/>
            <w:noWrap/>
            <w:vAlign w:val="center"/>
            <w:hideMark/>
          </w:tcPr>
          <w:p w14:paraId="11EAA00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00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r>
      <w:tr w:rsidR="00B33EEE" w:rsidRPr="00B33EEE" w14:paraId="11EAA030"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00A"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00B"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00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00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14.81</w:t>
            </w:r>
          </w:p>
        </w:tc>
        <w:tc>
          <w:tcPr>
            <w:tcW w:w="360" w:type="dxa"/>
            <w:tcBorders>
              <w:top w:val="nil"/>
              <w:left w:val="nil"/>
              <w:bottom w:val="single" w:sz="4" w:space="0" w:color="auto"/>
              <w:right w:val="single" w:sz="4" w:space="0" w:color="auto"/>
            </w:tcBorders>
            <w:shd w:val="clear" w:color="auto" w:fill="auto"/>
            <w:noWrap/>
            <w:vAlign w:val="center"/>
            <w:hideMark/>
          </w:tcPr>
          <w:p w14:paraId="11EAA00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0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1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A01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1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1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2.69</w:t>
            </w:r>
          </w:p>
        </w:tc>
        <w:tc>
          <w:tcPr>
            <w:tcW w:w="360" w:type="dxa"/>
            <w:tcBorders>
              <w:top w:val="nil"/>
              <w:left w:val="nil"/>
              <w:bottom w:val="single" w:sz="4" w:space="0" w:color="auto"/>
              <w:right w:val="single" w:sz="4" w:space="0" w:color="auto"/>
            </w:tcBorders>
            <w:shd w:val="clear" w:color="auto" w:fill="auto"/>
            <w:noWrap/>
            <w:vAlign w:val="center"/>
            <w:hideMark/>
          </w:tcPr>
          <w:p w14:paraId="11EAA01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A01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0" w:type="dxa"/>
            <w:tcBorders>
              <w:top w:val="nil"/>
              <w:left w:val="nil"/>
              <w:bottom w:val="single" w:sz="4" w:space="0" w:color="auto"/>
              <w:right w:val="single" w:sz="4" w:space="0" w:color="auto"/>
            </w:tcBorders>
            <w:shd w:val="clear" w:color="auto" w:fill="auto"/>
            <w:noWrap/>
            <w:vAlign w:val="center"/>
            <w:hideMark/>
          </w:tcPr>
          <w:p w14:paraId="11EAA01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1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01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01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01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1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1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1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01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01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9.88</w:t>
            </w:r>
          </w:p>
        </w:tc>
        <w:tc>
          <w:tcPr>
            <w:tcW w:w="361" w:type="dxa"/>
            <w:tcBorders>
              <w:top w:val="nil"/>
              <w:left w:val="nil"/>
              <w:bottom w:val="single" w:sz="4" w:space="0" w:color="auto"/>
              <w:right w:val="single" w:sz="4" w:space="0" w:color="auto"/>
            </w:tcBorders>
            <w:shd w:val="clear" w:color="auto" w:fill="auto"/>
            <w:noWrap/>
            <w:vAlign w:val="center"/>
            <w:hideMark/>
          </w:tcPr>
          <w:p w14:paraId="11EAA02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2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2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02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2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2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02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2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02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2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13.13</w:t>
            </w:r>
          </w:p>
        </w:tc>
        <w:tc>
          <w:tcPr>
            <w:tcW w:w="361" w:type="dxa"/>
            <w:tcBorders>
              <w:top w:val="nil"/>
              <w:left w:val="nil"/>
              <w:bottom w:val="single" w:sz="4" w:space="0" w:color="auto"/>
              <w:right w:val="single" w:sz="4" w:space="0" w:color="auto"/>
            </w:tcBorders>
            <w:shd w:val="clear" w:color="auto" w:fill="auto"/>
            <w:noWrap/>
            <w:vAlign w:val="center"/>
            <w:hideMark/>
          </w:tcPr>
          <w:p w14:paraId="11EAA02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02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2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02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2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02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r>
      <w:tr w:rsidR="00B33EEE" w:rsidRPr="00B33EEE" w14:paraId="11EAA057"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031"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032"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High West</w:t>
            </w:r>
          </w:p>
        </w:tc>
        <w:tc>
          <w:tcPr>
            <w:tcW w:w="320" w:type="dxa"/>
            <w:tcBorders>
              <w:top w:val="nil"/>
              <w:left w:val="nil"/>
              <w:bottom w:val="single" w:sz="4" w:space="0" w:color="auto"/>
              <w:right w:val="single" w:sz="4" w:space="0" w:color="auto"/>
            </w:tcBorders>
            <w:shd w:val="clear" w:color="auto" w:fill="auto"/>
            <w:noWrap/>
            <w:vAlign w:val="center"/>
            <w:hideMark/>
          </w:tcPr>
          <w:p w14:paraId="11EAA03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03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10.75</w:t>
            </w:r>
          </w:p>
        </w:tc>
        <w:tc>
          <w:tcPr>
            <w:tcW w:w="360" w:type="dxa"/>
            <w:tcBorders>
              <w:top w:val="nil"/>
              <w:left w:val="nil"/>
              <w:bottom w:val="single" w:sz="4" w:space="0" w:color="auto"/>
              <w:right w:val="single" w:sz="4" w:space="0" w:color="auto"/>
            </w:tcBorders>
            <w:shd w:val="clear" w:color="auto" w:fill="auto"/>
            <w:noWrap/>
            <w:vAlign w:val="center"/>
            <w:hideMark/>
          </w:tcPr>
          <w:p w14:paraId="11EAA03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3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3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3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3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3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0" w:type="dxa"/>
            <w:tcBorders>
              <w:top w:val="nil"/>
              <w:left w:val="nil"/>
              <w:bottom w:val="single" w:sz="4" w:space="0" w:color="auto"/>
              <w:right w:val="single" w:sz="4" w:space="0" w:color="auto"/>
            </w:tcBorders>
            <w:shd w:val="clear" w:color="auto" w:fill="auto"/>
            <w:noWrap/>
            <w:vAlign w:val="center"/>
            <w:hideMark/>
          </w:tcPr>
          <w:p w14:paraId="11EAA03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3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A03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3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1" w:type="dxa"/>
            <w:tcBorders>
              <w:top w:val="nil"/>
              <w:left w:val="nil"/>
              <w:bottom w:val="single" w:sz="4" w:space="0" w:color="auto"/>
              <w:right w:val="single" w:sz="4" w:space="0" w:color="auto"/>
            </w:tcBorders>
            <w:shd w:val="clear" w:color="auto" w:fill="auto"/>
            <w:noWrap/>
            <w:vAlign w:val="center"/>
            <w:hideMark/>
          </w:tcPr>
          <w:p w14:paraId="11EAA03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04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3.38</w:t>
            </w:r>
          </w:p>
        </w:tc>
        <w:tc>
          <w:tcPr>
            <w:tcW w:w="361" w:type="dxa"/>
            <w:tcBorders>
              <w:top w:val="nil"/>
              <w:left w:val="nil"/>
              <w:bottom w:val="single" w:sz="4" w:space="0" w:color="auto"/>
              <w:right w:val="single" w:sz="4" w:space="0" w:color="auto"/>
            </w:tcBorders>
            <w:shd w:val="clear" w:color="auto" w:fill="auto"/>
            <w:noWrap/>
            <w:vAlign w:val="center"/>
            <w:hideMark/>
          </w:tcPr>
          <w:p w14:paraId="11EAA04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4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4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4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04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4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1.13</w:t>
            </w:r>
          </w:p>
        </w:tc>
        <w:tc>
          <w:tcPr>
            <w:tcW w:w="361" w:type="dxa"/>
            <w:tcBorders>
              <w:top w:val="nil"/>
              <w:left w:val="nil"/>
              <w:bottom w:val="single" w:sz="4" w:space="0" w:color="auto"/>
              <w:right w:val="single" w:sz="4" w:space="0" w:color="auto"/>
            </w:tcBorders>
            <w:shd w:val="clear" w:color="auto" w:fill="auto"/>
            <w:noWrap/>
            <w:vAlign w:val="center"/>
            <w:hideMark/>
          </w:tcPr>
          <w:p w14:paraId="11EAA04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4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4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04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04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04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04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4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c>
          <w:tcPr>
            <w:tcW w:w="361" w:type="dxa"/>
            <w:tcBorders>
              <w:top w:val="nil"/>
              <w:left w:val="nil"/>
              <w:bottom w:val="single" w:sz="4" w:space="0" w:color="auto"/>
              <w:right w:val="single" w:sz="4" w:space="0" w:color="auto"/>
            </w:tcBorders>
            <w:shd w:val="clear" w:color="auto" w:fill="auto"/>
            <w:noWrap/>
            <w:vAlign w:val="center"/>
            <w:hideMark/>
          </w:tcPr>
          <w:p w14:paraId="11EAA04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05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39.13</w:t>
            </w:r>
          </w:p>
        </w:tc>
        <w:tc>
          <w:tcPr>
            <w:tcW w:w="361" w:type="dxa"/>
            <w:tcBorders>
              <w:top w:val="nil"/>
              <w:left w:val="nil"/>
              <w:bottom w:val="single" w:sz="4" w:space="0" w:color="auto"/>
              <w:right w:val="single" w:sz="4" w:space="0" w:color="auto"/>
            </w:tcBorders>
            <w:shd w:val="clear" w:color="auto" w:fill="auto"/>
            <w:noWrap/>
            <w:vAlign w:val="center"/>
            <w:hideMark/>
          </w:tcPr>
          <w:p w14:paraId="11EAA05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05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5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5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05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5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r>
      <w:tr w:rsidR="00B33EEE" w:rsidRPr="00B33EEE" w14:paraId="11EAA07E" w14:textId="77777777" w:rsidTr="00B66372">
        <w:trPr>
          <w:cantSplit/>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058"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059"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05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05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1.50</w:t>
            </w:r>
          </w:p>
        </w:tc>
        <w:tc>
          <w:tcPr>
            <w:tcW w:w="360" w:type="dxa"/>
            <w:tcBorders>
              <w:top w:val="nil"/>
              <w:left w:val="nil"/>
              <w:bottom w:val="single" w:sz="4" w:space="0" w:color="auto"/>
              <w:right w:val="single" w:sz="4" w:space="0" w:color="auto"/>
            </w:tcBorders>
            <w:shd w:val="clear" w:color="auto" w:fill="auto"/>
            <w:noWrap/>
            <w:vAlign w:val="center"/>
            <w:hideMark/>
          </w:tcPr>
          <w:p w14:paraId="11EAA05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5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5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5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6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6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6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0" w:type="dxa"/>
            <w:tcBorders>
              <w:top w:val="nil"/>
              <w:left w:val="nil"/>
              <w:bottom w:val="single" w:sz="4" w:space="0" w:color="auto"/>
              <w:right w:val="single" w:sz="4" w:space="0" w:color="auto"/>
            </w:tcBorders>
            <w:shd w:val="clear" w:color="auto" w:fill="auto"/>
            <w:noWrap/>
            <w:vAlign w:val="center"/>
            <w:hideMark/>
          </w:tcPr>
          <w:p w14:paraId="11EAA06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0" w:type="dxa"/>
            <w:tcBorders>
              <w:top w:val="nil"/>
              <w:left w:val="nil"/>
              <w:bottom w:val="single" w:sz="4" w:space="0" w:color="auto"/>
              <w:right w:val="single" w:sz="4" w:space="0" w:color="auto"/>
            </w:tcBorders>
            <w:shd w:val="clear" w:color="auto" w:fill="auto"/>
            <w:noWrap/>
            <w:vAlign w:val="center"/>
            <w:hideMark/>
          </w:tcPr>
          <w:p w14:paraId="11EAA06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06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06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06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5.26</w:t>
            </w:r>
          </w:p>
        </w:tc>
        <w:tc>
          <w:tcPr>
            <w:tcW w:w="361" w:type="dxa"/>
            <w:tcBorders>
              <w:top w:val="nil"/>
              <w:left w:val="nil"/>
              <w:bottom w:val="single" w:sz="4" w:space="0" w:color="auto"/>
              <w:right w:val="single" w:sz="4" w:space="0" w:color="auto"/>
            </w:tcBorders>
            <w:shd w:val="clear" w:color="auto" w:fill="auto"/>
            <w:noWrap/>
            <w:vAlign w:val="center"/>
            <w:hideMark/>
          </w:tcPr>
          <w:p w14:paraId="11EAA06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6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6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6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06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06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06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06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07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1" w:type="dxa"/>
            <w:tcBorders>
              <w:top w:val="nil"/>
              <w:left w:val="nil"/>
              <w:bottom w:val="single" w:sz="4" w:space="0" w:color="auto"/>
              <w:right w:val="single" w:sz="4" w:space="0" w:color="auto"/>
            </w:tcBorders>
            <w:shd w:val="clear" w:color="auto" w:fill="auto"/>
            <w:noWrap/>
            <w:vAlign w:val="center"/>
            <w:hideMark/>
          </w:tcPr>
          <w:p w14:paraId="11EAA07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1.13</w:t>
            </w:r>
          </w:p>
        </w:tc>
        <w:tc>
          <w:tcPr>
            <w:tcW w:w="361" w:type="dxa"/>
            <w:tcBorders>
              <w:top w:val="nil"/>
              <w:left w:val="nil"/>
              <w:bottom w:val="single" w:sz="4" w:space="0" w:color="auto"/>
              <w:right w:val="single" w:sz="4" w:space="0" w:color="auto"/>
            </w:tcBorders>
            <w:shd w:val="clear" w:color="auto" w:fill="auto"/>
            <w:noWrap/>
            <w:vAlign w:val="center"/>
            <w:hideMark/>
          </w:tcPr>
          <w:p w14:paraId="11EAA07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7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07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7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07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7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19.26</w:t>
            </w:r>
          </w:p>
        </w:tc>
        <w:tc>
          <w:tcPr>
            <w:tcW w:w="361" w:type="dxa"/>
            <w:tcBorders>
              <w:top w:val="nil"/>
              <w:left w:val="nil"/>
              <w:bottom w:val="single" w:sz="4" w:space="0" w:color="auto"/>
              <w:right w:val="single" w:sz="4" w:space="0" w:color="auto"/>
            </w:tcBorders>
            <w:shd w:val="clear" w:color="auto" w:fill="auto"/>
            <w:noWrap/>
            <w:vAlign w:val="center"/>
            <w:hideMark/>
          </w:tcPr>
          <w:p w14:paraId="11EAA07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7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7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7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7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7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1.38</w:t>
            </w:r>
          </w:p>
        </w:tc>
      </w:tr>
      <w:tr w:rsidR="00B33EEE" w:rsidRPr="00B33EEE" w14:paraId="11EAA0A5" w14:textId="77777777" w:rsidTr="00B66372">
        <w:trPr>
          <w:trHeight w:hRule="exact" w:val="397"/>
        </w:trPr>
        <w:tc>
          <w:tcPr>
            <w:tcW w:w="398"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A07F"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Tully</w:t>
            </w: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080"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Barnards</w:t>
            </w:r>
          </w:p>
        </w:tc>
        <w:tc>
          <w:tcPr>
            <w:tcW w:w="320" w:type="dxa"/>
            <w:tcBorders>
              <w:top w:val="nil"/>
              <w:left w:val="nil"/>
              <w:bottom w:val="single" w:sz="4" w:space="0" w:color="auto"/>
              <w:right w:val="single" w:sz="4" w:space="0" w:color="auto"/>
            </w:tcBorders>
            <w:shd w:val="clear" w:color="auto" w:fill="auto"/>
            <w:noWrap/>
            <w:vAlign w:val="center"/>
            <w:hideMark/>
          </w:tcPr>
          <w:p w14:paraId="11EAA08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08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16.15</w:t>
            </w:r>
          </w:p>
        </w:tc>
        <w:tc>
          <w:tcPr>
            <w:tcW w:w="360" w:type="dxa"/>
            <w:tcBorders>
              <w:top w:val="nil"/>
              <w:left w:val="nil"/>
              <w:bottom w:val="single" w:sz="4" w:space="0" w:color="auto"/>
              <w:right w:val="single" w:sz="4" w:space="0" w:color="auto"/>
            </w:tcBorders>
            <w:shd w:val="clear" w:color="auto" w:fill="auto"/>
            <w:noWrap/>
            <w:vAlign w:val="center"/>
            <w:hideMark/>
          </w:tcPr>
          <w:p w14:paraId="11EAA08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8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8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08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8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8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8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8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08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8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08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8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8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9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9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9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9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9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8.38</w:t>
            </w:r>
          </w:p>
        </w:tc>
        <w:tc>
          <w:tcPr>
            <w:tcW w:w="361" w:type="dxa"/>
            <w:tcBorders>
              <w:top w:val="nil"/>
              <w:left w:val="nil"/>
              <w:bottom w:val="single" w:sz="4" w:space="0" w:color="auto"/>
              <w:right w:val="single" w:sz="4" w:space="0" w:color="auto"/>
            </w:tcBorders>
            <w:shd w:val="clear" w:color="auto" w:fill="auto"/>
            <w:noWrap/>
            <w:vAlign w:val="center"/>
            <w:hideMark/>
          </w:tcPr>
          <w:p w14:paraId="11EAA09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9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9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09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9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9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09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9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1" w:type="dxa"/>
            <w:tcBorders>
              <w:top w:val="nil"/>
              <w:left w:val="nil"/>
              <w:bottom w:val="single" w:sz="4" w:space="0" w:color="auto"/>
              <w:right w:val="single" w:sz="4" w:space="0" w:color="auto"/>
            </w:tcBorders>
            <w:shd w:val="clear" w:color="auto" w:fill="auto"/>
            <w:noWrap/>
            <w:vAlign w:val="center"/>
            <w:hideMark/>
          </w:tcPr>
          <w:p w14:paraId="11EAA09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9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09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A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A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A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A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0A4" w14:textId="77777777" w:rsidR="00B33EEE" w:rsidRPr="00B33EEE" w:rsidRDefault="00B33EEE" w:rsidP="00B33EEE">
            <w:pPr>
              <w:spacing w:after="0"/>
              <w:jc w:val="center"/>
              <w:rPr>
                <w:rFonts w:ascii="Arial Narrow" w:hAnsi="Arial Narrow"/>
                <w:color w:val="000000"/>
                <w:sz w:val="14"/>
                <w:szCs w:val="14"/>
                <w:lang w:val="en-AU" w:eastAsia="en-AU"/>
              </w:rPr>
            </w:pPr>
          </w:p>
        </w:tc>
      </w:tr>
      <w:tr w:rsidR="00B33EEE" w:rsidRPr="00B33EEE" w14:paraId="11EAA0CC"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0A6"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0A7"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0A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0A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8.31</w:t>
            </w:r>
          </w:p>
        </w:tc>
        <w:tc>
          <w:tcPr>
            <w:tcW w:w="360" w:type="dxa"/>
            <w:tcBorders>
              <w:top w:val="nil"/>
              <w:left w:val="nil"/>
              <w:bottom w:val="single" w:sz="4" w:space="0" w:color="auto"/>
              <w:right w:val="single" w:sz="4" w:space="0" w:color="auto"/>
            </w:tcBorders>
            <w:shd w:val="clear" w:color="auto" w:fill="auto"/>
            <w:noWrap/>
            <w:vAlign w:val="center"/>
            <w:hideMark/>
          </w:tcPr>
          <w:p w14:paraId="11EAA0A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A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A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0" w:type="dxa"/>
            <w:tcBorders>
              <w:top w:val="nil"/>
              <w:left w:val="nil"/>
              <w:bottom w:val="single" w:sz="4" w:space="0" w:color="auto"/>
              <w:right w:val="single" w:sz="4" w:space="0" w:color="auto"/>
            </w:tcBorders>
            <w:shd w:val="clear" w:color="auto" w:fill="auto"/>
            <w:noWrap/>
            <w:vAlign w:val="center"/>
            <w:hideMark/>
          </w:tcPr>
          <w:p w14:paraId="11EAA0A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A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0" w:type="dxa"/>
            <w:tcBorders>
              <w:top w:val="nil"/>
              <w:left w:val="nil"/>
              <w:bottom w:val="single" w:sz="4" w:space="0" w:color="auto"/>
              <w:right w:val="single" w:sz="4" w:space="0" w:color="auto"/>
            </w:tcBorders>
            <w:shd w:val="clear" w:color="auto" w:fill="auto"/>
            <w:noWrap/>
            <w:vAlign w:val="center"/>
            <w:hideMark/>
          </w:tcPr>
          <w:p w14:paraId="11EAA0A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0B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0" w:type="dxa"/>
            <w:tcBorders>
              <w:top w:val="nil"/>
              <w:left w:val="nil"/>
              <w:bottom w:val="single" w:sz="4" w:space="0" w:color="auto"/>
              <w:right w:val="single" w:sz="4" w:space="0" w:color="auto"/>
            </w:tcBorders>
            <w:shd w:val="clear" w:color="auto" w:fill="auto"/>
            <w:noWrap/>
            <w:vAlign w:val="center"/>
            <w:hideMark/>
          </w:tcPr>
          <w:p w14:paraId="11EAA0B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0B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B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0B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B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0B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0B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B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B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0B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0B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10.75</w:t>
            </w:r>
          </w:p>
        </w:tc>
        <w:tc>
          <w:tcPr>
            <w:tcW w:w="361" w:type="dxa"/>
            <w:tcBorders>
              <w:top w:val="nil"/>
              <w:left w:val="nil"/>
              <w:bottom w:val="single" w:sz="4" w:space="0" w:color="auto"/>
              <w:right w:val="single" w:sz="4" w:space="0" w:color="auto"/>
            </w:tcBorders>
            <w:shd w:val="clear" w:color="auto" w:fill="auto"/>
            <w:noWrap/>
            <w:vAlign w:val="center"/>
            <w:hideMark/>
          </w:tcPr>
          <w:p w14:paraId="11EAA0B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0B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0B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B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C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C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C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C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1.50</w:t>
            </w:r>
          </w:p>
        </w:tc>
        <w:tc>
          <w:tcPr>
            <w:tcW w:w="361" w:type="dxa"/>
            <w:tcBorders>
              <w:top w:val="nil"/>
              <w:left w:val="nil"/>
              <w:bottom w:val="single" w:sz="4" w:space="0" w:color="auto"/>
              <w:right w:val="single" w:sz="4" w:space="0" w:color="auto"/>
            </w:tcBorders>
            <w:shd w:val="clear" w:color="auto" w:fill="auto"/>
            <w:noWrap/>
            <w:vAlign w:val="center"/>
            <w:hideMark/>
          </w:tcPr>
          <w:p w14:paraId="11EAA0C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0C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1.13</w:t>
            </w:r>
          </w:p>
        </w:tc>
        <w:tc>
          <w:tcPr>
            <w:tcW w:w="361" w:type="dxa"/>
            <w:tcBorders>
              <w:top w:val="nil"/>
              <w:left w:val="nil"/>
              <w:bottom w:val="single" w:sz="4" w:space="0" w:color="auto"/>
              <w:right w:val="single" w:sz="4" w:space="0" w:color="auto"/>
            </w:tcBorders>
            <w:shd w:val="clear" w:color="auto" w:fill="auto"/>
            <w:noWrap/>
            <w:vAlign w:val="center"/>
            <w:hideMark/>
          </w:tcPr>
          <w:p w14:paraId="11EAA0C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0C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0C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0C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C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1.00</w:t>
            </w:r>
          </w:p>
        </w:tc>
        <w:tc>
          <w:tcPr>
            <w:tcW w:w="361" w:type="dxa"/>
            <w:tcBorders>
              <w:top w:val="nil"/>
              <w:left w:val="nil"/>
              <w:bottom w:val="single" w:sz="4" w:space="0" w:color="auto"/>
              <w:right w:val="single" w:sz="4" w:space="0" w:color="auto"/>
            </w:tcBorders>
            <w:shd w:val="clear" w:color="auto" w:fill="auto"/>
            <w:noWrap/>
            <w:vAlign w:val="center"/>
            <w:hideMark/>
          </w:tcPr>
          <w:p w14:paraId="11EAA0C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r>
      <w:tr w:rsidR="00B33EEE" w:rsidRPr="00B33EEE" w14:paraId="11EAA0F3"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0CD"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0CE"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Dunk North</w:t>
            </w:r>
          </w:p>
        </w:tc>
        <w:tc>
          <w:tcPr>
            <w:tcW w:w="320" w:type="dxa"/>
            <w:tcBorders>
              <w:top w:val="nil"/>
              <w:left w:val="nil"/>
              <w:bottom w:val="single" w:sz="4" w:space="0" w:color="auto"/>
              <w:right w:val="single" w:sz="4" w:space="0" w:color="auto"/>
            </w:tcBorders>
            <w:shd w:val="clear" w:color="auto" w:fill="auto"/>
            <w:noWrap/>
            <w:vAlign w:val="center"/>
            <w:hideMark/>
          </w:tcPr>
          <w:p w14:paraId="11EAA0C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0D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6.50</w:t>
            </w:r>
          </w:p>
        </w:tc>
        <w:tc>
          <w:tcPr>
            <w:tcW w:w="360" w:type="dxa"/>
            <w:tcBorders>
              <w:top w:val="nil"/>
              <w:left w:val="nil"/>
              <w:bottom w:val="single" w:sz="4" w:space="0" w:color="auto"/>
              <w:right w:val="single" w:sz="4" w:space="0" w:color="auto"/>
            </w:tcBorders>
            <w:shd w:val="clear" w:color="auto" w:fill="auto"/>
            <w:noWrap/>
            <w:vAlign w:val="center"/>
            <w:hideMark/>
          </w:tcPr>
          <w:p w14:paraId="11EAA0D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0D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D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0" w:type="dxa"/>
            <w:tcBorders>
              <w:top w:val="nil"/>
              <w:left w:val="nil"/>
              <w:bottom w:val="single" w:sz="4" w:space="0" w:color="auto"/>
              <w:right w:val="single" w:sz="4" w:space="0" w:color="auto"/>
            </w:tcBorders>
            <w:shd w:val="clear" w:color="auto" w:fill="auto"/>
            <w:noWrap/>
            <w:vAlign w:val="center"/>
            <w:hideMark/>
          </w:tcPr>
          <w:p w14:paraId="11EAA0D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D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D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D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0D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0" w:type="dxa"/>
            <w:tcBorders>
              <w:top w:val="nil"/>
              <w:left w:val="nil"/>
              <w:bottom w:val="single" w:sz="4" w:space="0" w:color="auto"/>
              <w:right w:val="single" w:sz="4" w:space="0" w:color="auto"/>
            </w:tcBorders>
            <w:shd w:val="clear" w:color="auto" w:fill="auto"/>
            <w:noWrap/>
            <w:vAlign w:val="center"/>
            <w:hideMark/>
          </w:tcPr>
          <w:p w14:paraId="11EAA0D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D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0D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0D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0D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0D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D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E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E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E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4.19</w:t>
            </w:r>
          </w:p>
        </w:tc>
        <w:tc>
          <w:tcPr>
            <w:tcW w:w="361" w:type="dxa"/>
            <w:tcBorders>
              <w:top w:val="nil"/>
              <w:left w:val="nil"/>
              <w:bottom w:val="single" w:sz="4" w:space="0" w:color="auto"/>
              <w:right w:val="single" w:sz="4" w:space="0" w:color="auto"/>
            </w:tcBorders>
            <w:shd w:val="clear" w:color="auto" w:fill="auto"/>
            <w:noWrap/>
            <w:vAlign w:val="center"/>
            <w:hideMark/>
          </w:tcPr>
          <w:p w14:paraId="11EAA0E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E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E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E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E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E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0E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E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1.94</w:t>
            </w:r>
          </w:p>
        </w:tc>
        <w:tc>
          <w:tcPr>
            <w:tcW w:w="361" w:type="dxa"/>
            <w:tcBorders>
              <w:top w:val="nil"/>
              <w:left w:val="nil"/>
              <w:bottom w:val="single" w:sz="4" w:space="0" w:color="auto"/>
              <w:right w:val="single" w:sz="4" w:space="0" w:color="auto"/>
            </w:tcBorders>
            <w:shd w:val="clear" w:color="auto" w:fill="auto"/>
            <w:noWrap/>
            <w:vAlign w:val="center"/>
            <w:hideMark/>
          </w:tcPr>
          <w:p w14:paraId="11EAA0E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E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0E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0E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E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F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0F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2.25</w:t>
            </w:r>
          </w:p>
        </w:tc>
        <w:tc>
          <w:tcPr>
            <w:tcW w:w="361" w:type="dxa"/>
            <w:tcBorders>
              <w:top w:val="nil"/>
              <w:left w:val="nil"/>
              <w:bottom w:val="single" w:sz="4" w:space="0" w:color="auto"/>
              <w:right w:val="single" w:sz="4" w:space="0" w:color="auto"/>
            </w:tcBorders>
            <w:shd w:val="clear" w:color="auto" w:fill="auto"/>
            <w:noWrap/>
            <w:vAlign w:val="center"/>
            <w:hideMark/>
          </w:tcPr>
          <w:p w14:paraId="11EAA0F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r>
      <w:tr w:rsidR="00B33EEE" w:rsidRPr="00B33EEE" w14:paraId="11EAA11A"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0F4"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0F5"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0F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0F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2.69</w:t>
            </w:r>
          </w:p>
        </w:tc>
        <w:tc>
          <w:tcPr>
            <w:tcW w:w="360" w:type="dxa"/>
            <w:tcBorders>
              <w:top w:val="nil"/>
              <w:left w:val="nil"/>
              <w:bottom w:val="single" w:sz="4" w:space="0" w:color="auto"/>
              <w:right w:val="single" w:sz="4" w:space="0" w:color="auto"/>
            </w:tcBorders>
            <w:shd w:val="clear" w:color="auto" w:fill="auto"/>
            <w:noWrap/>
            <w:vAlign w:val="center"/>
            <w:hideMark/>
          </w:tcPr>
          <w:p w14:paraId="11EAA0F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0" w:type="dxa"/>
            <w:tcBorders>
              <w:top w:val="nil"/>
              <w:left w:val="nil"/>
              <w:bottom w:val="single" w:sz="4" w:space="0" w:color="auto"/>
              <w:right w:val="single" w:sz="4" w:space="0" w:color="auto"/>
            </w:tcBorders>
            <w:shd w:val="clear" w:color="auto" w:fill="auto"/>
            <w:noWrap/>
            <w:vAlign w:val="center"/>
            <w:hideMark/>
          </w:tcPr>
          <w:p w14:paraId="11EAA0F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F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A0F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F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F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0F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A0F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0" w:type="dxa"/>
            <w:tcBorders>
              <w:top w:val="nil"/>
              <w:left w:val="nil"/>
              <w:bottom w:val="single" w:sz="4" w:space="0" w:color="auto"/>
              <w:right w:val="single" w:sz="4" w:space="0" w:color="auto"/>
            </w:tcBorders>
            <w:shd w:val="clear" w:color="auto" w:fill="auto"/>
            <w:noWrap/>
            <w:vAlign w:val="center"/>
            <w:hideMark/>
          </w:tcPr>
          <w:p w14:paraId="11EAA10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0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0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10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10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10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0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0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10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0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4.56</w:t>
            </w:r>
          </w:p>
        </w:tc>
        <w:tc>
          <w:tcPr>
            <w:tcW w:w="361" w:type="dxa"/>
            <w:tcBorders>
              <w:top w:val="nil"/>
              <w:left w:val="nil"/>
              <w:bottom w:val="single" w:sz="4" w:space="0" w:color="auto"/>
              <w:right w:val="single" w:sz="4" w:space="0" w:color="auto"/>
            </w:tcBorders>
            <w:shd w:val="clear" w:color="auto" w:fill="auto"/>
            <w:noWrap/>
            <w:vAlign w:val="center"/>
            <w:hideMark/>
          </w:tcPr>
          <w:p w14:paraId="11EAA10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0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10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10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0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0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11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1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c>
          <w:tcPr>
            <w:tcW w:w="361" w:type="dxa"/>
            <w:tcBorders>
              <w:top w:val="nil"/>
              <w:left w:val="nil"/>
              <w:bottom w:val="single" w:sz="4" w:space="0" w:color="auto"/>
              <w:right w:val="single" w:sz="4" w:space="0" w:color="auto"/>
            </w:tcBorders>
            <w:shd w:val="clear" w:color="auto" w:fill="auto"/>
            <w:noWrap/>
            <w:vAlign w:val="center"/>
            <w:hideMark/>
          </w:tcPr>
          <w:p w14:paraId="11EAA11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11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11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11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11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1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1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4.19</w:t>
            </w:r>
          </w:p>
        </w:tc>
        <w:tc>
          <w:tcPr>
            <w:tcW w:w="361" w:type="dxa"/>
            <w:tcBorders>
              <w:top w:val="nil"/>
              <w:left w:val="nil"/>
              <w:bottom w:val="single" w:sz="4" w:space="0" w:color="auto"/>
              <w:right w:val="single" w:sz="4" w:space="0" w:color="auto"/>
            </w:tcBorders>
            <w:shd w:val="clear" w:color="auto" w:fill="auto"/>
            <w:noWrap/>
            <w:vAlign w:val="center"/>
            <w:hideMark/>
          </w:tcPr>
          <w:p w14:paraId="11EAA11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r>
      <w:tr w:rsidR="00B33EEE" w:rsidRPr="00B33EEE" w14:paraId="11EAA141"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11B"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11C"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Dunk South</w:t>
            </w:r>
          </w:p>
        </w:tc>
        <w:tc>
          <w:tcPr>
            <w:tcW w:w="320" w:type="dxa"/>
            <w:tcBorders>
              <w:top w:val="nil"/>
              <w:left w:val="nil"/>
              <w:bottom w:val="single" w:sz="4" w:space="0" w:color="auto"/>
              <w:right w:val="single" w:sz="4" w:space="0" w:color="auto"/>
            </w:tcBorders>
            <w:shd w:val="clear" w:color="auto" w:fill="auto"/>
            <w:noWrap/>
            <w:vAlign w:val="center"/>
            <w:hideMark/>
          </w:tcPr>
          <w:p w14:paraId="11EAA11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11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7.63</w:t>
            </w:r>
          </w:p>
        </w:tc>
        <w:tc>
          <w:tcPr>
            <w:tcW w:w="360" w:type="dxa"/>
            <w:tcBorders>
              <w:top w:val="nil"/>
              <w:left w:val="nil"/>
              <w:bottom w:val="single" w:sz="4" w:space="0" w:color="auto"/>
              <w:right w:val="single" w:sz="4" w:space="0" w:color="auto"/>
            </w:tcBorders>
            <w:shd w:val="clear" w:color="auto" w:fill="auto"/>
            <w:noWrap/>
            <w:vAlign w:val="center"/>
            <w:hideMark/>
          </w:tcPr>
          <w:p w14:paraId="11EAA11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2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2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1.75</w:t>
            </w:r>
          </w:p>
        </w:tc>
        <w:tc>
          <w:tcPr>
            <w:tcW w:w="360" w:type="dxa"/>
            <w:tcBorders>
              <w:top w:val="nil"/>
              <w:left w:val="nil"/>
              <w:bottom w:val="single" w:sz="4" w:space="0" w:color="auto"/>
              <w:right w:val="single" w:sz="4" w:space="0" w:color="auto"/>
            </w:tcBorders>
            <w:shd w:val="clear" w:color="auto" w:fill="auto"/>
            <w:noWrap/>
            <w:vAlign w:val="center"/>
            <w:hideMark/>
          </w:tcPr>
          <w:p w14:paraId="11EAA12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2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2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2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0" w:type="dxa"/>
            <w:tcBorders>
              <w:top w:val="nil"/>
              <w:left w:val="nil"/>
              <w:bottom w:val="single" w:sz="4" w:space="0" w:color="auto"/>
              <w:right w:val="single" w:sz="4" w:space="0" w:color="auto"/>
            </w:tcBorders>
            <w:shd w:val="clear" w:color="auto" w:fill="auto"/>
            <w:noWrap/>
            <w:vAlign w:val="center"/>
            <w:hideMark/>
          </w:tcPr>
          <w:p w14:paraId="11EAA12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A12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2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12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2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2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2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2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2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12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3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1.69</w:t>
            </w:r>
          </w:p>
        </w:tc>
        <w:tc>
          <w:tcPr>
            <w:tcW w:w="361" w:type="dxa"/>
            <w:tcBorders>
              <w:top w:val="nil"/>
              <w:left w:val="nil"/>
              <w:bottom w:val="single" w:sz="4" w:space="0" w:color="auto"/>
              <w:right w:val="single" w:sz="4" w:space="0" w:color="auto"/>
            </w:tcBorders>
            <w:shd w:val="clear" w:color="auto" w:fill="auto"/>
            <w:noWrap/>
            <w:vAlign w:val="center"/>
            <w:hideMark/>
          </w:tcPr>
          <w:p w14:paraId="11EAA13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3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3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3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13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3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3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3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3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3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2.38</w:t>
            </w:r>
          </w:p>
        </w:tc>
        <w:tc>
          <w:tcPr>
            <w:tcW w:w="361" w:type="dxa"/>
            <w:tcBorders>
              <w:top w:val="nil"/>
              <w:left w:val="nil"/>
              <w:bottom w:val="single" w:sz="4" w:space="0" w:color="auto"/>
              <w:right w:val="single" w:sz="4" w:space="0" w:color="auto"/>
            </w:tcBorders>
            <w:shd w:val="clear" w:color="auto" w:fill="auto"/>
            <w:noWrap/>
            <w:vAlign w:val="center"/>
            <w:hideMark/>
          </w:tcPr>
          <w:p w14:paraId="11EAA13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13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3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3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3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14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1.00</w:t>
            </w:r>
          </w:p>
        </w:tc>
      </w:tr>
      <w:tr w:rsidR="00B33EEE" w:rsidRPr="00B33EEE" w14:paraId="11EAA168"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142"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143"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14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14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2.56</w:t>
            </w:r>
          </w:p>
        </w:tc>
        <w:tc>
          <w:tcPr>
            <w:tcW w:w="360" w:type="dxa"/>
            <w:tcBorders>
              <w:top w:val="nil"/>
              <w:left w:val="nil"/>
              <w:bottom w:val="single" w:sz="4" w:space="0" w:color="auto"/>
              <w:right w:val="single" w:sz="4" w:space="0" w:color="auto"/>
            </w:tcBorders>
            <w:shd w:val="clear" w:color="auto" w:fill="auto"/>
            <w:noWrap/>
            <w:vAlign w:val="center"/>
            <w:hideMark/>
          </w:tcPr>
          <w:p w14:paraId="11EAA14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4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14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0" w:type="dxa"/>
            <w:tcBorders>
              <w:top w:val="nil"/>
              <w:left w:val="nil"/>
              <w:bottom w:val="single" w:sz="4" w:space="0" w:color="auto"/>
              <w:right w:val="single" w:sz="4" w:space="0" w:color="auto"/>
            </w:tcBorders>
            <w:shd w:val="clear" w:color="auto" w:fill="auto"/>
            <w:noWrap/>
            <w:vAlign w:val="center"/>
            <w:hideMark/>
          </w:tcPr>
          <w:p w14:paraId="11EAA14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4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14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0" w:type="dxa"/>
            <w:tcBorders>
              <w:top w:val="nil"/>
              <w:left w:val="nil"/>
              <w:bottom w:val="single" w:sz="4" w:space="0" w:color="auto"/>
              <w:right w:val="single" w:sz="4" w:space="0" w:color="auto"/>
            </w:tcBorders>
            <w:shd w:val="clear" w:color="auto" w:fill="auto"/>
            <w:noWrap/>
            <w:vAlign w:val="center"/>
            <w:hideMark/>
          </w:tcPr>
          <w:p w14:paraId="11EAA14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3.00</w:t>
            </w:r>
          </w:p>
        </w:tc>
        <w:tc>
          <w:tcPr>
            <w:tcW w:w="360" w:type="dxa"/>
            <w:tcBorders>
              <w:top w:val="nil"/>
              <w:left w:val="nil"/>
              <w:bottom w:val="single" w:sz="4" w:space="0" w:color="auto"/>
              <w:right w:val="single" w:sz="4" w:space="0" w:color="auto"/>
            </w:tcBorders>
            <w:shd w:val="clear" w:color="auto" w:fill="auto"/>
            <w:noWrap/>
            <w:vAlign w:val="center"/>
            <w:hideMark/>
          </w:tcPr>
          <w:p w14:paraId="11EAA14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0.88</w:t>
            </w:r>
          </w:p>
        </w:tc>
        <w:tc>
          <w:tcPr>
            <w:tcW w:w="360" w:type="dxa"/>
            <w:tcBorders>
              <w:top w:val="nil"/>
              <w:left w:val="nil"/>
              <w:bottom w:val="single" w:sz="4" w:space="0" w:color="auto"/>
              <w:right w:val="single" w:sz="4" w:space="0" w:color="auto"/>
            </w:tcBorders>
            <w:shd w:val="clear" w:color="auto" w:fill="auto"/>
            <w:noWrap/>
            <w:vAlign w:val="center"/>
            <w:hideMark/>
          </w:tcPr>
          <w:p w14:paraId="11EAA14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4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15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1.25</w:t>
            </w:r>
          </w:p>
        </w:tc>
        <w:tc>
          <w:tcPr>
            <w:tcW w:w="361" w:type="dxa"/>
            <w:tcBorders>
              <w:top w:val="nil"/>
              <w:left w:val="nil"/>
              <w:bottom w:val="single" w:sz="4" w:space="0" w:color="auto"/>
              <w:right w:val="single" w:sz="4" w:space="0" w:color="auto"/>
            </w:tcBorders>
            <w:shd w:val="clear" w:color="auto" w:fill="auto"/>
            <w:noWrap/>
            <w:vAlign w:val="center"/>
            <w:hideMark/>
          </w:tcPr>
          <w:p w14:paraId="11EAA15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15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5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5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15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15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4.13</w:t>
            </w:r>
          </w:p>
        </w:tc>
        <w:tc>
          <w:tcPr>
            <w:tcW w:w="361" w:type="dxa"/>
            <w:tcBorders>
              <w:top w:val="nil"/>
              <w:left w:val="nil"/>
              <w:bottom w:val="single" w:sz="4" w:space="0" w:color="auto"/>
              <w:right w:val="single" w:sz="4" w:space="0" w:color="auto"/>
            </w:tcBorders>
            <w:shd w:val="clear" w:color="auto" w:fill="auto"/>
            <w:noWrap/>
            <w:vAlign w:val="center"/>
            <w:hideMark/>
          </w:tcPr>
          <w:p w14:paraId="11EAA15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2.31</w:t>
            </w:r>
          </w:p>
        </w:tc>
        <w:tc>
          <w:tcPr>
            <w:tcW w:w="361" w:type="dxa"/>
            <w:tcBorders>
              <w:top w:val="nil"/>
              <w:left w:val="nil"/>
              <w:bottom w:val="single" w:sz="4" w:space="0" w:color="auto"/>
              <w:right w:val="single" w:sz="4" w:space="0" w:color="auto"/>
            </w:tcBorders>
            <w:shd w:val="clear" w:color="auto" w:fill="auto"/>
            <w:noWrap/>
            <w:vAlign w:val="center"/>
            <w:hideMark/>
          </w:tcPr>
          <w:p w14:paraId="11EAA15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1.75</w:t>
            </w:r>
          </w:p>
        </w:tc>
        <w:tc>
          <w:tcPr>
            <w:tcW w:w="361" w:type="dxa"/>
            <w:tcBorders>
              <w:top w:val="nil"/>
              <w:left w:val="nil"/>
              <w:bottom w:val="single" w:sz="4" w:space="0" w:color="auto"/>
              <w:right w:val="single" w:sz="4" w:space="0" w:color="auto"/>
            </w:tcBorders>
            <w:shd w:val="clear" w:color="auto" w:fill="auto"/>
            <w:noWrap/>
            <w:vAlign w:val="center"/>
            <w:hideMark/>
          </w:tcPr>
          <w:p w14:paraId="11EAA15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1" w:type="dxa"/>
            <w:tcBorders>
              <w:top w:val="nil"/>
              <w:left w:val="nil"/>
              <w:bottom w:val="single" w:sz="4" w:space="0" w:color="auto"/>
              <w:right w:val="single" w:sz="4" w:space="0" w:color="auto"/>
            </w:tcBorders>
            <w:shd w:val="clear" w:color="auto" w:fill="auto"/>
            <w:noWrap/>
            <w:vAlign w:val="center"/>
            <w:hideMark/>
          </w:tcPr>
          <w:p w14:paraId="11EAA15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3.75</w:t>
            </w:r>
          </w:p>
        </w:tc>
        <w:tc>
          <w:tcPr>
            <w:tcW w:w="361" w:type="dxa"/>
            <w:tcBorders>
              <w:top w:val="nil"/>
              <w:left w:val="nil"/>
              <w:bottom w:val="single" w:sz="4" w:space="0" w:color="auto"/>
              <w:right w:val="single" w:sz="4" w:space="0" w:color="auto"/>
            </w:tcBorders>
            <w:shd w:val="clear" w:color="auto" w:fill="auto"/>
            <w:noWrap/>
            <w:vAlign w:val="center"/>
            <w:hideMark/>
          </w:tcPr>
          <w:p w14:paraId="11EAA15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15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0.88</w:t>
            </w:r>
          </w:p>
        </w:tc>
        <w:tc>
          <w:tcPr>
            <w:tcW w:w="361" w:type="dxa"/>
            <w:tcBorders>
              <w:top w:val="nil"/>
              <w:left w:val="nil"/>
              <w:bottom w:val="single" w:sz="4" w:space="0" w:color="auto"/>
              <w:right w:val="single" w:sz="4" w:space="0" w:color="auto"/>
            </w:tcBorders>
            <w:shd w:val="clear" w:color="auto" w:fill="auto"/>
            <w:noWrap/>
            <w:vAlign w:val="center"/>
            <w:hideMark/>
          </w:tcPr>
          <w:p w14:paraId="11EAA15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1" w:type="dxa"/>
            <w:tcBorders>
              <w:top w:val="nil"/>
              <w:left w:val="nil"/>
              <w:bottom w:val="single" w:sz="4" w:space="0" w:color="auto"/>
              <w:right w:val="single" w:sz="4" w:space="0" w:color="auto"/>
            </w:tcBorders>
            <w:shd w:val="clear" w:color="auto" w:fill="auto"/>
            <w:noWrap/>
            <w:vAlign w:val="center"/>
            <w:hideMark/>
          </w:tcPr>
          <w:p w14:paraId="11EAA15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5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16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16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1.88</w:t>
            </w:r>
          </w:p>
        </w:tc>
        <w:tc>
          <w:tcPr>
            <w:tcW w:w="361" w:type="dxa"/>
            <w:tcBorders>
              <w:top w:val="nil"/>
              <w:left w:val="nil"/>
              <w:bottom w:val="single" w:sz="4" w:space="0" w:color="auto"/>
              <w:right w:val="single" w:sz="4" w:space="0" w:color="auto"/>
            </w:tcBorders>
            <w:shd w:val="clear" w:color="auto" w:fill="auto"/>
            <w:noWrap/>
            <w:vAlign w:val="center"/>
            <w:hideMark/>
          </w:tcPr>
          <w:p w14:paraId="11EAA16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6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16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6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6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4.38</w:t>
            </w:r>
          </w:p>
        </w:tc>
        <w:tc>
          <w:tcPr>
            <w:tcW w:w="361" w:type="dxa"/>
            <w:tcBorders>
              <w:top w:val="nil"/>
              <w:left w:val="nil"/>
              <w:bottom w:val="single" w:sz="4" w:space="0" w:color="auto"/>
              <w:right w:val="single" w:sz="4" w:space="0" w:color="auto"/>
            </w:tcBorders>
            <w:shd w:val="clear" w:color="auto" w:fill="auto"/>
            <w:noWrap/>
            <w:vAlign w:val="center"/>
            <w:hideMark/>
          </w:tcPr>
          <w:p w14:paraId="11EAA16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r>
      <w:tr w:rsidR="00B33EEE" w:rsidRPr="00B33EEE" w14:paraId="11EAA18F"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169"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16A"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Bedarra</w:t>
            </w:r>
          </w:p>
        </w:tc>
        <w:tc>
          <w:tcPr>
            <w:tcW w:w="320" w:type="dxa"/>
            <w:tcBorders>
              <w:top w:val="nil"/>
              <w:left w:val="nil"/>
              <w:bottom w:val="single" w:sz="4" w:space="0" w:color="auto"/>
              <w:right w:val="single" w:sz="4" w:space="0" w:color="auto"/>
            </w:tcBorders>
            <w:shd w:val="clear" w:color="auto" w:fill="auto"/>
            <w:noWrap/>
            <w:vAlign w:val="center"/>
            <w:hideMark/>
          </w:tcPr>
          <w:p w14:paraId="11EAA16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16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1.81</w:t>
            </w:r>
          </w:p>
        </w:tc>
        <w:tc>
          <w:tcPr>
            <w:tcW w:w="360" w:type="dxa"/>
            <w:tcBorders>
              <w:top w:val="nil"/>
              <w:left w:val="nil"/>
              <w:bottom w:val="single" w:sz="4" w:space="0" w:color="auto"/>
              <w:right w:val="single" w:sz="4" w:space="0" w:color="auto"/>
            </w:tcBorders>
            <w:shd w:val="clear" w:color="auto" w:fill="auto"/>
            <w:noWrap/>
            <w:vAlign w:val="center"/>
            <w:hideMark/>
          </w:tcPr>
          <w:p w14:paraId="11EAA16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6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6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0" w:type="dxa"/>
            <w:tcBorders>
              <w:top w:val="nil"/>
              <w:left w:val="nil"/>
              <w:bottom w:val="single" w:sz="4" w:space="0" w:color="auto"/>
              <w:right w:val="single" w:sz="4" w:space="0" w:color="auto"/>
            </w:tcBorders>
            <w:shd w:val="clear" w:color="auto" w:fill="auto"/>
            <w:noWrap/>
            <w:vAlign w:val="center"/>
            <w:hideMark/>
          </w:tcPr>
          <w:p w14:paraId="11EAA17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7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7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7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A17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0" w:type="dxa"/>
            <w:tcBorders>
              <w:top w:val="nil"/>
              <w:left w:val="nil"/>
              <w:bottom w:val="single" w:sz="4" w:space="0" w:color="auto"/>
              <w:right w:val="single" w:sz="4" w:space="0" w:color="auto"/>
            </w:tcBorders>
            <w:shd w:val="clear" w:color="auto" w:fill="auto"/>
            <w:noWrap/>
            <w:vAlign w:val="center"/>
            <w:hideMark/>
          </w:tcPr>
          <w:p w14:paraId="11EAA17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17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17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7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17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7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7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7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0.88</w:t>
            </w:r>
          </w:p>
        </w:tc>
        <w:tc>
          <w:tcPr>
            <w:tcW w:w="361" w:type="dxa"/>
            <w:tcBorders>
              <w:top w:val="nil"/>
              <w:left w:val="nil"/>
              <w:bottom w:val="single" w:sz="4" w:space="0" w:color="auto"/>
              <w:right w:val="single" w:sz="4" w:space="0" w:color="auto"/>
            </w:tcBorders>
            <w:shd w:val="clear" w:color="auto" w:fill="auto"/>
            <w:noWrap/>
            <w:vAlign w:val="center"/>
            <w:hideMark/>
          </w:tcPr>
          <w:p w14:paraId="11EAA17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7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1" w:type="dxa"/>
            <w:tcBorders>
              <w:top w:val="nil"/>
              <w:left w:val="nil"/>
              <w:bottom w:val="single" w:sz="4" w:space="0" w:color="auto"/>
              <w:right w:val="single" w:sz="4" w:space="0" w:color="auto"/>
            </w:tcBorders>
            <w:shd w:val="clear" w:color="auto" w:fill="auto"/>
            <w:noWrap/>
            <w:vAlign w:val="center"/>
            <w:hideMark/>
          </w:tcPr>
          <w:p w14:paraId="11EAA17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8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8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8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8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8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18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8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8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8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4.75</w:t>
            </w:r>
          </w:p>
        </w:tc>
        <w:tc>
          <w:tcPr>
            <w:tcW w:w="361" w:type="dxa"/>
            <w:tcBorders>
              <w:top w:val="nil"/>
              <w:left w:val="nil"/>
              <w:bottom w:val="single" w:sz="4" w:space="0" w:color="auto"/>
              <w:right w:val="single" w:sz="4" w:space="0" w:color="auto"/>
            </w:tcBorders>
            <w:shd w:val="clear" w:color="auto" w:fill="auto"/>
            <w:noWrap/>
            <w:vAlign w:val="center"/>
            <w:hideMark/>
          </w:tcPr>
          <w:p w14:paraId="11EAA18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8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8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8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8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1.00</w:t>
            </w:r>
          </w:p>
        </w:tc>
        <w:tc>
          <w:tcPr>
            <w:tcW w:w="361" w:type="dxa"/>
            <w:tcBorders>
              <w:top w:val="nil"/>
              <w:left w:val="nil"/>
              <w:bottom w:val="single" w:sz="4" w:space="0" w:color="auto"/>
              <w:right w:val="single" w:sz="4" w:space="0" w:color="auto"/>
            </w:tcBorders>
            <w:shd w:val="clear" w:color="auto" w:fill="auto"/>
            <w:noWrap/>
            <w:vAlign w:val="center"/>
            <w:hideMark/>
          </w:tcPr>
          <w:p w14:paraId="11EAA18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r>
      <w:tr w:rsidR="00B33EEE" w:rsidRPr="00B33EEE" w14:paraId="11EAA1B6"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190"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191"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19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19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0" w:type="dxa"/>
            <w:tcBorders>
              <w:top w:val="nil"/>
              <w:left w:val="nil"/>
              <w:bottom w:val="single" w:sz="4" w:space="0" w:color="auto"/>
              <w:right w:val="single" w:sz="4" w:space="0" w:color="auto"/>
            </w:tcBorders>
            <w:shd w:val="clear" w:color="auto" w:fill="auto"/>
            <w:noWrap/>
            <w:vAlign w:val="center"/>
            <w:hideMark/>
          </w:tcPr>
          <w:p w14:paraId="11EAA19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9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9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A19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9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0" w:type="dxa"/>
            <w:tcBorders>
              <w:top w:val="nil"/>
              <w:left w:val="nil"/>
              <w:bottom w:val="single" w:sz="4" w:space="0" w:color="auto"/>
              <w:right w:val="single" w:sz="4" w:space="0" w:color="auto"/>
            </w:tcBorders>
            <w:shd w:val="clear" w:color="auto" w:fill="auto"/>
            <w:noWrap/>
            <w:vAlign w:val="center"/>
            <w:hideMark/>
          </w:tcPr>
          <w:p w14:paraId="11EAA19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9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1.75</w:t>
            </w:r>
          </w:p>
        </w:tc>
        <w:tc>
          <w:tcPr>
            <w:tcW w:w="360" w:type="dxa"/>
            <w:tcBorders>
              <w:top w:val="nil"/>
              <w:left w:val="nil"/>
              <w:bottom w:val="single" w:sz="4" w:space="0" w:color="auto"/>
              <w:right w:val="single" w:sz="4" w:space="0" w:color="auto"/>
            </w:tcBorders>
            <w:shd w:val="clear" w:color="auto" w:fill="auto"/>
            <w:noWrap/>
            <w:vAlign w:val="center"/>
            <w:hideMark/>
          </w:tcPr>
          <w:p w14:paraId="11EAA19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0" w:type="dxa"/>
            <w:tcBorders>
              <w:top w:val="nil"/>
              <w:left w:val="nil"/>
              <w:bottom w:val="single" w:sz="4" w:space="0" w:color="auto"/>
              <w:right w:val="single" w:sz="4" w:space="0" w:color="auto"/>
            </w:tcBorders>
            <w:shd w:val="clear" w:color="auto" w:fill="auto"/>
            <w:noWrap/>
            <w:vAlign w:val="center"/>
            <w:hideMark/>
          </w:tcPr>
          <w:p w14:paraId="11EAA19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19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19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9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3.00</w:t>
            </w:r>
          </w:p>
        </w:tc>
        <w:tc>
          <w:tcPr>
            <w:tcW w:w="361" w:type="dxa"/>
            <w:tcBorders>
              <w:top w:val="nil"/>
              <w:left w:val="nil"/>
              <w:bottom w:val="single" w:sz="4" w:space="0" w:color="auto"/>
              <w:right w:val="single" w:sz="4" w:space="0" w:color="auto"/>
            </w:tcBorders>
            <w:shd w:val="clear" w:color="auto" w:fill="auto"/>
            <w:noWrap/>
            <w:vAlign w:val="center"/>
            <w:hideMark/>
          </w:tcPr>
          <w:p w14:paraId="11EAA1A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A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A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A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1.50</w:t>
            </w:r>
          </w:p>
        </w:tc>
        <w:tc>
          <w:tcPr>
            <w:tcW w:w="361" w:type="dxa"/>
            <w:tcBorders>
              <w:top w:val="nil"/>
              <w:left w:val="nil"/>
              <w:bottom w:val="single" w:sz="4" w:space="0" w:color="auto"/>
              <w:right w:val="single" w:sz="4" w:space="0" w:color="auto"/>
            </w:tcBorders>
            <w:shd w:val="clear" w:color="auto" w:fill="auto"/>
            <w:noWrap/>
            <w:vAlign w:val="center"/>
            <w:hideMark/>
          </w:tcPr>
          <w:p w14:paraId="11EAA1A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1A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1A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A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1A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1A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A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A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A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A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1A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1A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4.94</w:t>
            </w:r>
          </w:p>
        </w:tc>
        <w:tc>
          <w:tcPr>
            <w:tcW w:w="361" w:type="dxa"/>
            <w:tcBorders>
              <w:top w:val="nil"/>
              <w:left w:val="nil"/>
              <w:bottom w:val="single" w:sz="4" w:space="0" w:color="auto"/>
              <w:right w:val="single" w:sz="4" w:space="0" w:color="auto"/>
            </w:tcBorders>
            <w:shd w:val="clear" w:color="auto" w:fill="auto"/>
            <w:noWrap/>
            <w:vAlign w:val="center"/>
            <w:hideMark/>
          </w:tcPr>
          <w:p w14:paraId="11EAA1B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B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1B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B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B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1B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1.06</w:t>
            </w:r>
          </w:p>
        </w:tc>
      </w:tr>
      <w:tr w:rsidR="00B33EEE" w:rsidRPr="00B33EEE" w14:paraId="11EAA1DD" w14:textId="77777777" w:rsidTr="00B66372">
        <w:trPr>
          <w:trHeight w:hRule="exact" w:val="397"/>
        </w:trPr>
        <w:tc>
          <w:tcPr>
            <w:tcW w:w="398"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A1B7"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Burdekin</w:t>
            </w: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1B8"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Palms East</w:t>
            </w:r>
          </w:p>
        </w:tc>
        <w:tc>
          <w:tcPr>
            <w:tcW w:w="320" w:type="dxa"/>
            <w:tcBorders>
              <w:top w:val="nil"/>
              <w:left w:val="nil"/>
              <w:bottom w:val="single" w:sz="4" w:space="0" w:color="auto"/>
              <w:right w:val="single" w:sz="4" w:space="0" w:color="auto"/>
            </w:tcBorders>
            <w:shd w:val="clear" w:color="auto" w:fill="auto"/>
            <w:noWrap/>
            <w:vAlign w:val="center"/>
            <w:hideMark/>
          </w:tcPr>
          <w:p w14:paraId="11EAA1B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1B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12.06</w:t>
            </w:r>
          </w:p>
        </w:tc>
        <w:tc>
          <w:tcPr>
            <w:tcW w:w="360" w:type="dxa"/>
            <w:tcBorders>
              <w:top w:val="nil"/>
              <w:left w:val="nil"/>
              <w:bottom w:val="single" w:sz="4" w:space="0" w:color="auto"/>
              <w:right w:val="single" w:sz="4" w:space="0" w:color="auto"/>
            </w:tcBorders>
            <w:shd w:val="clear" w:color="auto" w:fill="auto"/>
            <w:noWrap/>
            <w:vAlign w:val="center"/>
            <w:hideMark/>
          </w:tcPr>
          <w:p w14:paraId="11EAA1B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B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B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0" w:type="dxa"/>
            <w:tcBorders>
              <w:top w:val="nil"/>
              <w:left w:val="nil"/>
              <w:bottom w:val="single" w:sz="4" w:space="0" w:color="auto"/>
              <w:right w:val="single" w:sz="4" w:space="0" w:color="auto"/>
            </w:tcBorders>
            <w:shd w:val="clear" w:color="auto" w:fill="auto"/>
            <w:noWrap/>
            <w:vAlign w:val="center"/>
            <w:hideMark/>
          </w:tcPr>
          <w:p w14:paraId="11EAA1B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B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C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1C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C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C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C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C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1C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C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C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C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C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C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C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0.94</w:t>
            </w:r>
          </w:p>
        </w:tc>
        <w:tc>
          <w:tcPr>
            <w:tcW w:w="361" w:type="dxa"/>
            <w:tcBorders>
              <w:top w:val="nil"/>
              <w:left w:val="nil"/>
              <w:bottom w:val="single" w:sz="4" w:space="0" w:color="auto"/>
              <w:right w:val="single" w:sz="4" w:space="0" w:color="auto"/>
            </w:tcBorders>
            <w:shd w:val="clear" w:color="auto" w:fill="auto"/>
            <w:noWrap/>
            <w:vAlign w:val="center"/>
            <w:hideMark/>
          </w:tcPr>
          <w:p w14:paraId="11EAA1C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C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C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D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D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D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D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D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D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D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1.00</w:t>
            </w:r>
          </w:p>
        </w:tc>
        <w:tc>
          <w:tcPr>
            <w:tcW w:w="361" w:type="dxa"/>
            <w:tcBorders>
              <w:top w:val="nil"/>
              <w:left w:val="nil"/>
              <w:bottom w:val="single" w:sz="4" w:space="0" w:color="auto"/>
              <w:right w:val="single" w:sz="4" w:space="0" w:color="auto"/>
            </w:tcBorders>
            <w:shd w:val="clear" w:color="auto" w:fill="auto"/>
            <w:noWrap/>
            <w:vAlign w:val="center"/>
            <w:hideMark/>
          </w:tcPr>
          <w:p w14:paraId="11EAA1D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D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D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D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D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D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r>
      <w:tr w:rsidR="00B33EEE" w:rsidRPr="00B33EEE" w14:paraId="11EAA204"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1DE"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1DF"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1E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1E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7.38</w:t>
            </w:r>
          </w:p>
        </w:tc>
        <w:tc>
          <w:tcPr>
            <w:tcW w:w="360" w:type="dxa"/>
            <w:tcBorders>
              <w:top w:val="nil"/>
              <w:left w:val="nil"/>
              <w:bottom w:val="single" w:sz="4" w:space="0" w:color="auto"/>
              <w:right w:val="single" w:sz="4" w:space="0" w:color="auto"/>
            </w:tcBorders>
            <w:shd w:val="clear" w:color="auto" w:fill="auto"/>
            <w:noWrap/>
            <w:vAlign w:val="center"/>
            <w:hideMark/>
          </w:tcPr>
          <w:p w14:paraId="11EAA1E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E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E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1E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E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E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E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1E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0" w:type="dxa"/>
            <w:tcBorders>
              <w:top w:val="nil"/>
              <w:left w:val="nil"/>
              <w:bottom w:val="single" w:sz="4" w:space="0" w:color="auto"/>
              <w:right w:val="single" w:sz="4" w:space="0" w:color="auto"/>
            </w:tcBorders>
            <w:shd w:val="clear" w:color="auto" w:fill="auto"/>
            <w:noWrap/>
            <w:vAlign w:val="center"/>
            <w:hideMark/>
          </w:tcPr>
          <w:p w14:paraId="11EAA1E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E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E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1E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E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E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F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F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F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F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1.19</w:t>
            </w:r>
          </w:p>
        </w:tc>
        <w:tc>
          <w:tcPr>
            <w:tcW w:w="361" w:type="dxa"/>
            <w:tcBorders>
              <w:top w:val="nil"/>
              <w:left w:val="nil"/>
              <w:bottom w:val="single" w:sz="4" w:space="0" w:color="auto"/>
              <w:right w:val="single" w:sz="4" w:space="0" w:color="auto"/>
            </w:tcBorders>
            <w:shd w:val="clear" w:color="auto" w:fill="auto"/>
            <w:noWrap/>
            <w:vAlign w:val="center"/>
            <w:hideMark/>
          </w:tcPr>
          <w:p w14:paraId="11EAA1F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F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F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F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F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F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F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F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1F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F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0.88</w:t>
            </w:r>
          </w:p>
        </w:tc>
        <w:tc>
          <w:tcPr>
            <w:tcW w:w="361" w:type="dxa"/>
            <w:tcBorders>
              <w:top w:val="nil"/>
              <w:left w:val="nil"/>
              <w:bottom w:val="single" w:sz="4" w:space="0" w:color="auto"/>
              <w:right w:val="single" w:sz="4" w:space="0" w:color="auto"/>
            </w:tcBorders>
            <w:shd w:val="clear" w:color="auto" w:fill="auto"/>
            <w:noWrap/>
            <w:vAlign w:val="center"/>
            <w:hideMark/>
          </w:tcPr>
          <w:p w14:paraId="11EAA1F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1F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0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0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0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0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r>
      <w:tr w:rsidR="00B33EEE" w:rsidRPr="00B33EEE" w14:paraId="11EAA22B"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205"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206"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Palms West</w:t>
            </w:r>
          </w:p>
        </w:tc>
        <w:tc>
          <w:tcPr>
            <w:tcW w:w="320" w:type="dxa"/>
            <w:tcBorders>
              <w:top w:val="nil"/>
              <w:left w:val="nil"/>
              <w:bottom w:val="single" w:sz="4" w:space="0" w:color="auto"/>
              <w:right w:val="single" w:sz="4" w:space="0" w:color="auto"/>
            </w:tcBorders>
            <w:shd w:val="clear" w:color="auto" w:fill="auto"/>
            <w:noWrap/>
            <w:vAlign w:val="center"/>
            <w:hideMark/>
          </w:tcPr>
          <w:p w14:paraId="11EAA20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20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3.81</w:t>
            </w:r>
          </w:p>
        </w:tc>
        <w:tc>
          <w:tcPr>
            <w:tcW w:w="360" w:type="dxa"/>
            <w:tcBorders>
              <w:top w:val="nil"/>
              <w:left w:val="nil"/>
              <w:bottom w:val="single" w:sz="4" w:space="0" w:color="auto"/>
              <w:right w:val="single" w:sz="4" w:space="0" w:color="auto"/>
            </w:tcBorders>
            <w:shd w:val="clear" w:color="auto" w:fill="auto"/>
            <w:noWrap/>
            <w:vAlign w:val="center"/>
            <w:hideMark/>
          </w:tcPr>
          <w:p w14:paraId="11EAA20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0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0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0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0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0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0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1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21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1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1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21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1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1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1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1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1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1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21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1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1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21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1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2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22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2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5.88</w:t>
            </w:r>
          </w:p>
        </w:tc>
        <w:tc>
          <w:tcPr>
            <w:tcW w:w="361" w:type="dxa"/>
            <w:tcBorders>
              <w:top w:val="nil"/>
              <w:left w:val="nil"/>
              <w:bottom w:val="single" w:sz="4" w:space="0" w:color="auto"/>
              <w:right w:val="single" w:sz="4" w:space="0" w:color="auto"/>
            </w:tcBorders>
            <w:shd w:val="clear" w:color="auto" w:fill="auto"/>
            <w:noWrap/>
            <w:vAlign w:val="center"/>
            <w:hideMark/>
          </w:tcPr>
          <w:p w14:paraId="11EAA22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2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22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2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2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22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2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2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r>
      <w:tr w:rsidR="00B33EEE" w:rsidRPr="00B33EEE" w14:paraId="11EAA252"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22C"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22D"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22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22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3.50</w:t>
            </w:r>
          </w:p>
        </w:tc>
        <w:tc>
          <w:tcPr>
            <w:tcW w:w="360" w:type="dxa"/>
            <w:tcBorders>
              <w:top w:val="nil"/>
              <w:left w:val="nil"/>
              <w:bottom w:val="single" w:sz="4" w:space="0" w:color="auto"/>
              <w:right w:val="single" w:sz="4" w:space="0" w:color="auto"/>
            </w:tcBorders>
            <w:shd w:val="clear" w:color="auto" w:fill="auto"/>
            <w:noWrap/>
            <w:vAlign w:val="center"/>
            <w:hideMark/>
          </w:tcPr>
          <w:p w14:paraId="11EAA23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3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3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23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3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23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3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A23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3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23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3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23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23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3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23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3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24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24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24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4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4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24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24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24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24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24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24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4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5.13</w:t>
            </w:r>
          </w:p>
        </w:tc>
        <w:tc>
          <w:tcPr>
            <w:tcW w:w="361" w:type="dxa"/>
            <w:tcBorders>
              <w:top w:val="nil"/>
              <w:left w:val="nil"/>
              <w:bottom w:val="single" w:sz="4" w:space="0" w:color="auto"/>
              <w:right w:val="single" w:sz="4" w:space="0" w:color="auto"/>
            </w:tcBorders>
            <w:shd w:val="clear" w:color="auto" w:fill="auto"/>
            <w:noWrap/>
            <w:vAlign w:val="center"/>
            <w:hideMark/>
          </w:tcPr>
          <w:p w14:paraId="11EAA24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4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24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4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5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5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r>
      <w:tr w:rsidR="00B33EEE" w:rsidRPr="00B33EEE" w14:paraId="11EAA279"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253"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tcBorders>
              <w:top w:val="nil"/>
              <w:left w:val="nil"/>
              <w:bottom w:val="single" w:sz="4" w:space="0" w:color="auto"/>
              <w:right w:val="single" w:sz="4" w:space="0" w:color="auto"/>
            </w:tcBorders>
            <w:shd w:val="clear" w:color="auto" w:fill="auto"/>
            <w:noWrap/>
            <w:vAlign w:val="center"/>
            <w:hideMark/>
          </w:tcPr>
          <w:p w14:paraId="11EAA254"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Havannah North</w:t>
            </w:r>
          </w:p>
        </w:tc>
        <w:tc>
          <w:tcPr>
            <w:tcW w:w="320" w:type="dxa"/>
            <w:tcBorders>
              <w:top w:val="nil"/>
              <w:left w:val="nil"/>
              <w:bottom w:val="single" w:sz="4" w:space="0" w:color="auto"/>
              <w:right w:val="single" w:sz="4" w:space="0" w:color="auto"/>
            </w:tcBorders>
            <w:shd w:val="clear" w:color="auto" w:fill="auto"/>
            <w:noWrap/>
            <w:vAlign w:val="center"/>
            <w:hideMark/>
          </w:tcPr>
          <w:p w14:paraId="11EAA25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25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0.90</w:t>
            </w:r>
          </w:p>
        </w:tc>
        <w:tc>
          <w:tcPr>
            <w:tcW w:w="360" w:type="dxa"/>
            <w:tcBorders>
              <w:top w:val="nil"/>
              <w:left w:val="nil"/>
              <w:bottom w:val="single" w:sz="4" w:space="0" w:color="auto"/>
              <w:right w:val="single" w:sz="4" w:space="0" w:color="auto"/>
            </w:tcBorders>
            <w:shd w:val="clear" w:color="auto" w:fill="auto"/>
            <w:noWrap/>
            <w:vAlign w:val="center"/>
            <w:hideMark/>
          </w:tcPr>
          <w:p w14:paraId="11EAA25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5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5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0" w:type="dxa"/>
            <w:tcBorders>
              <w:top w:val="nil"/>
              <w:left w:val="nil"/>
              <w:bottom w:val="single" w:sz="4" w:space="0" w:color="auto"/>
              <w:right w:val="single" w:sz="4" w:space="0" w:color="auto"/>
            </w:tcBorders>
            <w:shd w:val="clear" w:color="auto" w:fill="auto"/>
            <w:noWrap/>
            <w:vAlign w:val="center"/>
            <w:hideMark/>
          </w:tcPr>
          <w:p w14:paraId="11EAA25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5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0.17</w:t>
            </w:r>
          </w:p>
        </w:tc>
        <w:tc>
          <w:tcPr>
            <w:tcW w:w="360" w:type="dxa"/>
            <w:tcBorders>
              <w:top w:val="nil"/>
              <w:left w:val="nil"/>
              <w:bottom w:val="single" w:sz="4" w:space="0" w:color="auto"/>
              <w:right w:val="single" w:sz="4" w:space="0" w:color="auto"/>
            </w:tcBorders>
            <w:shd w:val="clear" w:color="auto" w:fill="auto"/>
            <w:noWrap/>
            <w:vAlign w:val="center"/>
            <w:hideMark/>
          </w:tcPr>
          <w:p w14:paraId="11EAA25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5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5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5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1" w:type="dxa"/>
            <w:tcBorders>
              <w:top w:val="nil"/>
              <w:left w:val="nil"/>
              <w:bottom w:val="single" w:sz="4" w:space="0" w:color="auto"/>
              <w:right w:val="single" w:sz="4" w:space="0" w:color="auto"/>
            </w:tcBorders>
            <w:shd w:val="clear" w:color="auto" w:fill="auto"/>
            <w:noWrap/>
            <w:vAlign w:val="center"/>
            <w:hideMark/>
          </w:tcPr>
          <w:p w14:paraId="11EAA26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0.17</w:t>
            </w:r>
          </w:p>
        </w:tc>
        <w:tc>
          <w:tcPr>
            <w:tcW w:w="361" w:type="dxa"/>
            <w:tcBorders>
              <w:top w:val="nil"/>
              <w:left w:val="nil"/>
              <w:bottom w:val="single" w:sz="4" w:space="0" w:color="auto"/>
              <w:right w:val="single" w:sz="4" w:space="0" w:color="auto"/>
            </w:tcBorders>
            <w:shd w:val="clear" w:color="auto" w:fill="auto"/>
            <w:noWrap/>
            <w:vAlign w:val="center"/>
            <w:hideMark/>
          </w:tcPr>
          <w:p w14:paraId="11EAA26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26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1" w:type="dxa"/>
            <w:tcBorders>
              <w:top w:val="nil"/>
              <w:left w:val="nil"/>
              <w:bottom w:val="single" w:sz="4" w:space="0" w:color="auto"/>
              <w:right w:val="single" w:sz="4" w:space="0" w:color="auto"/>
            </w:tcBorders>
            <w:shd w:val="clear" w:color="auto" w:fill="auto"/>
            <w:noWrap/>
            <w:vAlign w:val="center"/>
            <w:hideMark/>
          </w:tcPr>
          <w:p w14:paraId="11EAA26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26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6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6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6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6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0.57</w:t>
            </w:r>
          </w:p>
        </w:tc>
        <w:tc>
          <w:tcPr>
            <w:tcW w:w="361" w:type="dxa"/>
            <w:tcBorders>
              <w:top w:val="nil"/>
              <w:left w:val="nil"/>
              <w:bottom w:val="single" w:sz="4" w:space="0" w:color="auto"/>
              <w:right w:val="single" w:sz="4" w:space="0" w:color="auto"/>
            </w:tcBorders>
            <w:shd w:val="clear" w:color="auto" w:fill="auto"/>
            <w:noWrap/>
            <w:vAlign w:val="center"/>
            <w:hideMark/>
          </w:tcPr>
          <w:p w14:paraId="11EAA26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0.17</w:t>
            </w:r>
          </w:p>
        </w:tc>
        <w:tc>
          <w:tcPr>
            <w:tcW w:w="361" w:type="dxa"/>
            <w:tcBorders>
              <w:top w:val="nil"/>
              <w:left w:val="nil"/>
              <w:bottom w:val="single" w:sz="4" w:space="0" w:color="auto"/>
              <w:right w:val="single" w:sz="4" w:space="0" w:color="auto"/>
            </w:tcBorders>
            <w:shd w:val="clear" w:color="auto" w:fill="auto"/>
            <w:noWrap/>
            <w:vAlign w:val="center"/>
            <w:hideMark/>
          </w:tcPr>
          <w:p w14:paraId="11EAA26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1" w:type="dxa"/>
            <w:tcBorders>
              <w:top w:val="nil"/>
              <w:left w:val="nil"/>
              <w:bottom w:val="single" w:sz="4" w:space="0" w:color="auto"/>
              <w:right w:val="single" w:sz="4" w:space="0" w:color="auto"/>
            </w:tcBorders>
            <w:shd w:val="clear" w:color="auto" w:fill="auto"/>
            <w:noWrap/>
            <w:vAlign w:val="center"/>
            <w:hideMark/>
          </w:tcPr>
          <w:p w14:paraId="11EAA26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6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A26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6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6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7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7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7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0.20</w:t>
            </w:r>
          </w:p>
        </w:tc>
        <w:tc>
          <w:tcPr>
            <w:tcW w:w="361" w:type="dxa"/>
            <w:tcBorders>
              <w:top w:val="nil"/>
              <w:left w:val="nil"/>
              <w:bottom w:val="single" w:sz="4" w:space="0" w:color="auto"/>
              <w:right w:val="single" w:sz="4" w:space="0" w:color="auto"/>
            </w:tcBorders>
            <w:shd w:val="clear" w:color="auto" w:fill="auto"/>
            <w:noWrap/>
            <w:vAlign w:val="center"/>
            <w:hideMark/>
          </w:tcPr>
          <w:p w14:paraId="11EAA27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0.17</w:t>
            </w:r>
          </w:p>
        </w:tc>
        <w:tc>
          <w:tcPr>
            <w:tcW w:w="361" w:type="dxa"/>
            <w:tcBorders>
              <w:top w:val="nil"/>
              <w:left w:val="nil"/>
              <w:bottom w:val="single" w:sz="4" w:space="0" w:color="auto"/>
              <w:right w:val="single" w:sz="4" w:space="0" w:color="auto"/>
            </w:tcBorders>
            <w:shd w:val="clear" w:color="auto" w:fill="auto"/>
            <w:noWrap/>
            <w:vAlign w:val="center"/>
            <w:hideMark/>
          </w:tcPr>
          <w:p w14:paraId="11EAA27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0.20</w:t>
            </w:r>
          </w:p>
        </w:tc>
        <w:tc>
          <w:tcPr>
            <w:tcW w:w="361" w:type="dxa"/>
            <w:tcBorders>
              <w:top w:val="nil"/>
              <w:left w:val="nil"/>
              <w:bottom w:val="single" w:sz="4" w:space="0" w:color="auto"/>
              <w:right w:val="single" w:sz="4" w:space="0" w:color="auto"/>
            </w:tcBorders>
            <w:shd w:val="clear" w:color="auto" w:fill="auto"/>
            <w:noWrap/>
            <w:vAlign w:val="center"/>
            <w:hideMark/>
          </w:tcPr>
          <w:p w14:paraId="11EAA27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27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7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0.10</w:t>
            </w:r>
          </w:p>
        </w:tc>
        <w:tc>
          <w:tcPr>
            <w:tcW w:w="361" w:type="dxa"/>
            <w:tcBorders>
              <w:top w:val="nil"/>
              <w:left w:val="nil"/>
              <w:bottom w:val="single" w:sz="4" w:space="0" w:color="auto"/>
              <w:right w:val="single" w:sz="4" w:space="0" w:color="auto"/>
            </w:tcBorders>
            <w:shd w:val="clear" w:color="auto" w:fill="auto"/>
            <w:noWrap/>
            <w:vAlign w:val="center"/>
            <w:hideMark/>
          </w:tcPr>
          <w:p w14:paraId="11EAA27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r>
      <w:tr w:rsidR="00B33EEE" w:rsidRPr="00B33EEE" w14:paraId="11EAA2A0"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27A"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27B"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Havannah</w:t>
            </w:r>
          </w:p>
        </w:tc>
        <w:tc>
          <w:tcPr>
            <w:tcW w:w="320" w:type="dxa"/>
            <w:tcBorders>
              <w:top w:val="nil"/>
              <w:left w:val="nil"/>
              <w:bottom w:val="single" w:sz="4" w:space="0" w:color="auto"/>
              <w:right w:val="single" w:sz="4" w:space="0" w:color="auto"/>
            </w:tcBorders>
            <w:shd w:val="clear" w:color="auto" w:fill="auto"/>
            <w:noWrap/>
            <w:vAlign w:val="center"/>
            <w:hideMark/>
          </w:tcPr>
          <w:p w14:paraId="11EAA27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27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34.31</w:t>
            </w:r>
          </w:p>
        </w:tc>
        <w:tc>
          <w:tcPr>
            <w:tcW w:w="360" w:type="dxa"/>
            <w:tcBorders>
              <w:top w:val="nil"/>
              <w:left w:val="nil"/>
              <w:bottom w:val="single" w:sz="4" w:space="0" w:color="auto"/>
              <w:right w:val="single" w:sz="4" w:space="0" w:color="auto"/>
            </w:tcBorders>
            <w:shd w:val="clear" w:color="auto" w:fill="auto"/>
            <w:noWrap/>
            <w:vAlign w:val="center"/>
            <w:hideMark/>
          </w:tcPr>
          <w:p w14:paraId="11EAA27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7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8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8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8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8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0" w:type="dxa"/>
            <w:tcBorders>
              <w:top w:val="nil"/>
              <w:left w:val="nil"/>
              <w:bottom w:val="single" w:sz="4" w:space="0" w:color="auto"/>
              <w:right w:val="single" w:sz="4" w:space="0" w:color="auto"/>
            </w:tcBorders>
            <w:shd w:val="clear" w:color="auto" w:fill="auto"/>
            <w:noWrap/>
            <w:vAlign w:val="center"/>
            <w:hideMark/>
          </w:tcPr>
          <w:p w14:paraId="11EAA28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28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A28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8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1.00</w:t>
            </w:r>
          </w:p>
        </w:tc>
        <w:tc>
          <w:tcPr>
            <w:tcW w:w="361" w:type="dxa"/>
            <w:tcBorders>
              <w:top w:val="nil"/>
              <w:left w:val="nil"/>
              <w:bottom w:val="single" w:sz="4" w:space="0" w:color="auto"/>
              <w:right w:val="single" w:sz="4" w:space="0" w:color="auto"/>
            </w:tcBorders>
            <w:shd w:val="clear" w:color="auto" w:fill="auto"/>
            <w:noWrap/>
            <w:vAlign w:val="center"/>
            <w:hideMark/>
          </w:tcPr>
          <w:p w14:paraId="11EAA28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28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28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8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1.88</w:t>
            </w:r>
          </w:p>
        </w:tc>
        <w:tc>
          <w:tcPr>
            <w:tcW w:w="361" w:type="dxa"/>
            <w:tcBorders>
              <w:top w:val="nil"/>
              <w:left w:val="nil"/>
              <w:bottom w:val="single" w:sz="4" w:space="0" w:color="auto"/>
              <w:right w:val="single" w:sz="4" w:space="0" w:color="auto"/>
            </w:tcBorders>
            <w:shd w:val="clear" w:color="auto" w:fill="auto"/>
            <w:noWrap/>
            <w:vAlign w:val="center"/>
            <w:hideMark/>
          </w:tcPr>
          <w:p w14:paraId="11EAA28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8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28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28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6.75</w:t>
            </w:r>
          </w:p>
        </w:tc>
        <w:tc>
          <w:tcPr>
            <w:tcW w:w="361" w:type="dxa"/>
            <w:tcBorders>
              <w:top w:val="nil"/>
              <w:left w:val="nil"/>
              <w:bottom w:val="single" w:sz="4" w:space="0" w:color="auto"/>
              <w:right w:val="single" w:sz="4" w:space="0" w:color="auto"/>
            </w:tcBorders>
            <w:shd w:val="clear" w:color="auto" w:fill="auto"/>
            <w:noWrap/>
            <w:vAlign w:val="center"/>
            <w:hideMark/>
          </w:tcPr>
          <w:p w14:paraId="11EAA29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9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9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9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29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9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1.00</w:t>
            </w:r>
          </w:p>
        </w:tc>
        <w:tc>
          <w:tcPr>
            <w:tcW w:w="361" w:type="dxa"/>
            <w:tcBorders>
              <w:top w:val="nil"/>
              <w:left w:val="nil"/>
              <w:bottom w:val="single" w:sz="4" w:space="0" w:color="auto"/>
              <w:right w:val="single" w:sz="4" w:space="0" w:color="auto"/>
            </w:tcBorders>
            <w:shd w:val="clear" w:color="auto" w:fill="auto"/>
            <w:noWrap/>
            <w:vAlign w:val="center"/>
            <w:hideMark/>
          </w:tcPr>
          <w:p w14:paraId="11EAA29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9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29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29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2.88</w:t>
            </w:r>
          </w:p>
        </w:tc>
        <w:tc>
          <w:tcPr>
            <w:tcW w:w="361" w:type="dxa"/>
            <w:tcBorders>
              <w:top w:val="nil"/>
              <w:left w:val="nil"/>
              <w:bottom w:val="single" w:sz="4" w:space="0" w:color="auto"/>
              <w:right w:val="single" w:sz="4" w:space="0" w:color="auto"/>
            </w:tcBorders>
            <w:shd w:val="clear" w:color="auto" w:fill="auto"/>
            <w:noWrap/>
            <w:vAlign w:val="center"/>
            <w:hideMark/>
          </w:tcPr>
          <w:p w14:paraId="11EAA29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29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9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29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9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2.13</w:t>
            </w:r>
          </w:p>
        </w:tc>
        <w:tc>
          <w:tcPr>
            <w:tcW w:w="361" w:type="dxa"/>
            <w:tcBorders>
              <w:top w:val="nil"/>
              <w:left w:val="nil"/>
              <w:bottom w:val="single" w:sz="4" w:space="0" w:color="auto"/>
              <w:right w:val="single" w:sz="4" w:space="0" w:color="auto"/>
            </w:tcBorders>
            <w:shd w:val="clear" w:color="auto" w:fill="auto"/>
            <w:noWrap/>
            <w:vAlign w:val="center"/>
            <w:hideMark/>
          </w:tcPr>
          <w:p w14:paraId="11EAA29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r>
      <w:tr w:rsidR="00B33EEE" w:rsidRPr="00B33EEE" w14:paraId="11EAA2C7"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2A1"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2A2"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2A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2A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5.25</w:t>
            </w:r>
          </w:p>
        </w:tc>
        <w:tc>
          <w:tcPr>
            <w:tcW w:w="360" w:type="dxa"/>
            <w:tcBorders>
              <w:top w:val="nil"/>
              <w:left w:val="nil"/>
              <w:bottom w:val="single" w:sz="4" w:space="0" w:color="auto"/>
              <w:right w:val="single" w:sz="4" w:space="0" w:color="auto"/>
            </w:tcBorders>
            <w:shd w:val="clear" w:color="auto" w:fill="auto"/>
            <w:noWrap/>
            <w:vAlign w:val="center"/>
            <w:hideMark/>
          </w:tcPr>
          <w:p w14:paraId="11EAA2A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A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A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A2A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1.56</w:t>
            </w:r>
          </w:p>
        </w:tc>
        <w:tc>
          <w:tcPr>
            <w:tcW w:w="360" w:type="dxa"/>
            <w:tcBorders>
              <w:top w:val="nil"/>
              <w:left w:val="nil"/>
              <w:bottom w:val="single" w:sz="4" w:space="0" w:color="auto"/>
              <w:right w:val="single" w:sz="4" w:space="0" w:color="auto"/>
            </w:tcBorders>
            <w:shd w:val="clear" w:color="auto" w:fill="auto"/>
            <w:noWrap/>
            <w:vAlign w:val="center"/>
            <w:hideMark/>
          </w:tcPr>
          <w:p w14:paraId="11EAA2A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A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1.13</w:t>
            </w:r>
          </w:p>
        </w:tc>
        <w:tc>
          <w:tcPr>
            <w:tcW w:w="360" w:type="dxa"/>
            <w:tcBorders>
              <w:top w:val="nil"/>
              <w:left w:val="nil"/>
              <w:bottom w:val="single" w:sz="4" w:space="0" w:color="auto"/>
              <w:right w:val="single" w:sz="4" w:space="0" w:color="auto"/>
            </w:tcBorders>
            <w:shd w:val="clear" w:color="auto" w:fill="auto"/>
            <w:noWrap/>
            <w:vAlign w:val="center"/>
            <w:hideMark/>
          </w:tcPr>
          <w:p w14:paraId="11EAA2A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A2A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0" w:type="dxa"/>
            <w:tcBorders>
              <w:top w:val="nil"/>
              <w:left w:val="nil"/>
              <w:bottom w:val="single" w:sz="4" w:space="0" w:color="auto"/>
              <w:right w:val="single" w:sz="4" w:space="0" w:color="auto"/>
            </w:tcBorders>
            <w:shd w:val="clear" w:color="auto" w:fill="auto"/>
            <w:noWrap/>
            <w:vAlign w:val="center"/>
            <w:hideMark/>
          </w:tcPr>
          <w:p w14:paraId="11EAA2A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1.75</w:t>
            </w:r>
          </w:p>
        </w:tc>
        <w:tc>
          <w:tcPr>
            <w:tcW w:w="361" w:type="dxa"/>
            <w:tcBorders>
              <w:top w:val="nil"/>
              <w:left w:val="nil"/>
              <w:bottom w:val="single" w:sz="4" w:space="0" w:color="auto"/>
              <w:right w:val="single" w:sz="4" w:space="0" w:color="auto"/>
            </w:tcBorders>
            <w:shd w:val="clear" w:color="auto" w:fill="auto"/>
            <w:noWrap/>
            <w:vAlign w:val="center"/>
            <w:hideMark/>
          </w:tcPr>
          <w:p w14:paraId="11EAA2A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1.44</w:t>
            </w:r>
          </w:p>
        </w:tc>
        <w:tc>
          <w:tcPr>
            <w:tcW w:w="361" w:type="dxa"/>
            <w:tcBorders>
              <w:top w:val="nil"/>
              <w:left w:val="nil"/>
              <w:bottom w:val="single" w:sz="4" w:space="0" w:color="auto"/>
              <w:right w:val="single" w:sz="4" w:space="0" w:color="auto"/>
            </w:tcBorders>
            <w:shd w:val="clear" w:color="auto" w:fill="auto"/>
            <w:noWrap/>
            <w:vAlign w:val="center"/>
            <w:hideMark/>
          </w:tcPr>
          <w:p w14:paraId="11EAA2A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2B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2B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2B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B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B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1" w:type="dxa"/>
            <w:tcBorders>
              <w:top w:val="nil"/>
              <w:left w:val="nil"/>
              <w:bottom w:val="single" w:sz="4" w:space="0" w:color="auto"/>
              <w:right w:val="single" w:sz="4" w:space="0" w:color="auto"/>
            </w:tcBorders>
            <w:shd w:val="clear" w:color="auto" w:fill="auto"/>
            <w:noWrap/>
            <w:vAlign w:val="center"/>
            <w:hideMark/>
          </w:tcPr>
          <w:p w14:paraId="11EAA2B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3.38</w:t>
            </w:r>
          </w:p>
        </w:tc>
        <w:tc>
          <w:tcPr>
            <w:tcW w:w="361" w:type="dxa"/>
            <w:tcBorders>
              <w:top w:val="nil"/>
              <w:left w:val="nil"/>
              <w:bottom w:val="single" w:sz="4" w:space="0" w:color="auto"/>
              <w:right w:val="single" w:sz="4" w:space="0" w:color="auto"/>
            </w:tcBorders>
            <w:shd w:val="clear" w:color="auto" w:fill="auto"/>
            <w:noWrap/>
            <w:vAlign w:val="center"/>
            <w:hideMark/>
          </w:tcPr>
          <w:p w14:paraId="11EAA2B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2.88</w:t>
            </w:r>
          </w:p>
        </w:tc>
        <w:tc>
          <w:tcPr>
            <w:tcW w:w="361" w:type="dxa"/>
            <w:tcBorders>
              <w:top w:val="nil"/>
              <w:left w:val="nil"/>
              <w:bottom w:val="single" w:sz="4" w:space="0" w:color="auto"/>
              <w:right w:val="single" w:sz="4" w:space="0" w:color="auto"/>
            </w:tcBorders>
            <w:shd w:val="clear" w:color="auto" w:fill="auto"/>
            <w:noWrap/>
            <w:vAlign w:val="center"/>
            <w:hideMark/>
          </w:tcPr>
          <w:p w14:paraId="11EAA2B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2B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c>
          <w:tcPr>
            <w:tcW w:w="361" w:type="dxa"/>
            <w:tcBorders>
              <w:top w:val="nil"/>
              <w:left w:val="nil"/>
              <w:bottom w:val="single" w:sz="4" w:space="0" w:color="auto"/>
              <w:right w:val="single" w:sz="4" w:space="0" w:color="auto"/>
            </w:tcBorders>
            <w:shd w:val="clear" w:color="auto" w:fill="auto"/>
            <w:noWrap/>
            <w:vAlign w:val="center"/>
            <w:hideMark/>
          </w:tcPr>
          <w:p w14:paraId="11EAA2B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1" w:type="dxa"/>
            <w:tcBorders>
              <w:top w:val="nil"/>
              <w:left w:val="nil"/>
              <w:bottom w:val="single" w:sz="4" w:space="0" w:color="auto"/>
              <w:right w:val="single" w:sz="4" w:space="0" w:color="auto"/>
            </w:tcBorders>
            <w:shd w:val="clear" w:color="auto" w:fill="auto"/>
            <w:noWrap/>
            <w:vAlign w:val="center"/>
            <w:hideMark/>
          </w:tcPr>
          <w:p w14:paraId="11EAA2B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2B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2B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2B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B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2B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2C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1.50</w:t>
            </w:r>
          </w:p>
        </w:tc>
        <w:tc>
          <w:tcPr>
            <w:tcW w:w="361" w:type="dxa"/>
            <w:tcBorders>
              <w:top w:val="nil"/>
              <w:left w:val="nil"/>
              <w:bottom w:val="single" w:sz="4" w:space="0" w:color="auto"/>
              <w:right w:val="single" w:sz="4" w:space="0" w:color="auto"/>
            </w:tcBorders>
            <w:shd w:val="clear" w:color="auto" w:fill="auto"/>
            <w:noWrap/>
            <w:vAlign w:val="center"/>
            <w:hideMark/>
          </w:tcPr>
          <w:p w14:paraId="11EAA2C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2C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C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1" w:type="dxa"/>
            <w:tcBorders>
              <w:top w:val="nil"/>
              <w:left w:val="nil"/>
              <w:bottom w:val="single" w:sz="4" w:space="0" w:color="auto"/>
              <w:right w:val="single" w:sz="4" w:space="0" w:color="auto"/>
            </w:tcBorders>
            <w:shd w:val="clear" w:color="auto" w:fill="auto"/>
            <w:noWrap/>
            <w:vAlign w:val="center"/>
            <w:hideMark/>
          </w:tcPr>
          <w:p w14:paraId="11EAA2C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C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2.31</w:t>
            </w:r>
          </w:p>
        </w:tc>
        <w:tc>
          <w:tcPr>
            <w:tcW w:w="361" w:type="dxa"/>
            <w:tcBorders>
              <w:top w:val="nil"/>
              <w:left w:val="nil"/>
              <w:bottom w:val="single" w:sz="4" w:space="0" w:color="auto"/>
              <w:right w:val="single" w:sz="4" w:space="0" w:color="auto"/>
            </w:tcBorders>
            <w:shd w:val="clear" w:color="auto" w:fill="auto"/>
            <w:noWrap/>
            <w:vAlign w:val="center"/>
            <w:hideMark/>
          </w:tcPr>
          <w:p w14:paraId="11EAA2C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1.44</w:t>
            </w:r>
          </w:p>
        </w:tc>
      </w:tr>
      <w:tr w:rsidR="00B33EEE" w:rsidRPr="00B33EEE" w14:paraId="11EAA2EE"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2C8"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tcBorders>
              <w:top w:val="nil"/>
              <w:left w:val="nil"/>
              <w:bottom w:val="single" w:sz="4" w:space="0" w:color="auto"/>
              <w:right w:val="single" w:sz="4" w:space="0" w:color="auto"/>
            </w:tcBorders>
            <w:shd w:val="clear" w:color="auto" w:fill="auto"/>
            <w:noWrap/>
            <w:vAlign w:val="center"/>
            <w:hideMark/>
          </w:tcPr>
          <w:p w14:paraId="11EAA2C9"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Pandora North</w:t>
            </w:r>
          </w:p>
        </w:tc>
        <w:tc>
          <w:tcPr>
            <w:tcW w:w="320" w:type="dxa"/>
            <w:tcBorders>
              <w:top w:val="nil"/>
              <w:left w:val="nil"/>
              <w:bottom w:val="single" w:sz="4" w:space="0" w:color="auto"/>
              <w:right w:val="single" w:sz="4" w:space="0" w:color="auto"/>
            </w:tcBorders>
            <w:shd w:val="clear" w:color="auto" w:fill="auto"/>
            <w:noWrap/>
            <w:vAlign w:val="center"/>
            <w:hideMark/>
          </w:tcPr>
          <w:p w14:paraId="11EAA2C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2C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0.97</w:t>
            </w:r>
          </w:p>
        </w:tc>
        <w:tc>
          <w:tcPr>
            <w:tcW w:w="360" w:type="dxa"/>
            <w:tcBorders>
              <w:top w:val="nil"/>
              <w:left w:val="nil"/>
              <w:bottom w:val="single" w:sz="4" w:space="0" w:color="auto"/>
              <w:right w:val="single" w:sz="4" w:space="0" w:color="auto"/>
            </w:tcBorders>
            <w:shd w:val="clear" w:color="auto" w:fill="auto"/>
            <w:noWrap/>
            <w:vAlign w:val="center"/>
            <w:hideMark/>
          </w:tcPr>
          <w:p w14:paraId="11EAA2C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C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0" w:type="dxa"/>
            <w:tcBorders>
              <w:top w:val="nil"/>
              <w:left w:val="nil"/>
              <w:bottom w:val="single" w:sz="4" w:space="0" w:color="auto"/>
              <w:right w:val="single" w:sz="4" w:space="0" w:color="auto"/>
            </w:tcBorders>
            <w:shd w:val="clear" w:color="auto" w:fill="auto"/>
            <w:noWrap/>
            <w:vAlign w:val="center"/>
            <w:hideMark/>
          </w:tcPr>
          <w:p w14:paraId="11EAA2C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0.10</w:t>
            </w:r>
          </w:p>
        </w:tc>
        <w:tc>
          <w:tcPr>
            <w:tcW w:w="360" w:type="dxa"/>
            <w:tcBorders>
              <w:top w:val="nil"/>
              <w:left w:val="nil"/>
              <w:bottom w:val="single" w:sz="4" w:space="0" w:color="auto"/>
              <w:right w:val="single" w:sz="4" w:space="0" w:color="auto"/>
            </w:tcBorders>
            <w:shd w:val="clear" w:color="auto" w:fill="auto"/>
            <w:noWrap/>
            <w:vAlign w:val="center"/>
            <w:hideMark/>
          </w:tcPr>
          <w:p w14:paraId="11EAA2C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D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0" w:type="dxa"/>
            <w:tcBorders>
              <w:top w:val="nil"/>
              <w:left w:val="nil"/>
              <w:bottom w:val="single" w:sz="4" w:space="0" w:color="auto"/>
              <w:right w:val="single" w:sz="4" w:space="0" w:color="auto"/>
            </w:tcBorders>
            <w:shd w:val="clear" w:color="auto" w:fill="auto"/>
            <w:noWrap/>
            <w:vAlign w:val="center"/>
            <w:hideMark/>
          </w:tcPr>
          <w:p w14:paraId="11EAA2D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0.53</w:t>
            </w:r>
          </w:p>
        </w:tc>
        <w:tc>
          <w:tcPr>
            <w:tcW w:w="360" w:type="dxa"/>
            <w:tcBorders>
              <w:top w:val="nil"/>
              <w:left w:val="nil"/>
              <w:bottom w:val="single" w:sz="4" w:space="0" w:color="auto"/>
              <w:right w:val="single" w:sz="4" w:space="0" w:color="auto"/>
            </w:tcBorders>
            <w:shd w:val="clear" w:color="auto" w:fill="auto"/>
            <w:noWrap/>
            <w:vAlign w:val="center"/>
            <w:hideMark/>
          </w:tcPr>
          <w:p w14:paraId="11EAA2D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2D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0" w:type="dxa"/>
            <w:tcBorders>
              <w:top w:val="nil"/>
              <w:left w:val="nil"/>
              <w:bottom w:val="single" w:sz="4" w:space="0" w:color="auto"/>
              <w:right w:val="single" w:sz="4" w:space="0" w:color="auto"/>
            </w:tcBorders>
            <w:shd w:val="clear" w:color="auto" w:fill="auto"/>
            <w:noWrap/>
            <w:vAlign w:val="center"/>
            <w:hideMark/>
          </w:tcPr>
          <w:p w14:paraId="11EAA2D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0.73</w:t>
            </w:r>
          </w:p>
        </w:tc>
        <w:tc>
          <w:tcPr>
            <w:tcW w:w="361" w:type="dxa"/>
            <w:tcBorders>
              <w:top w:val="nil"/>
              <w:left w:val="nil"/>
              <w:bottom w:val="single" w:sz="4" w:space="0" w:color="auto"/>
              <w:right w:val="single" w:sz="4" w:space="0" w:color="auto"/>
            </w:tcBorders>
            <w:shd w:val="clear" w:color="auto" w:fill="auto"/>
            <w:noWrap/>
            <w:vAlign w:val="center"/>
            <w:hideMark/>
          </w:tcPr>
          <w:p w14:paraId="11EAA2D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1.50</w:t>
            </w:r>
          </w:p>
        </w:tc>
        <w:tc>
          <w:tcPr>
            <w:tcW w:w="361" w:type="dxa"/>
            <w:tcBorders>
              <w:top w:val="nil"/>
              <w:left w:val="nil"/>
              <w:bottom w:val="single" w:sz="4" w:space="0" w:color="auto"/>
              <w:right w:val="single" w:sz="4" w:space="0" w:color="auto"/>
            </w:tcBorders>
            <w:shd w:val="clear" w:color="auto" w:fill="auto"/>
            <w:noWrap/>
            <w:vAlign w:val="center"/>
            <w:hideMark/>
          </w:tcPr>
          <w:p w14:paraId="11EAA2D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D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14.73</w:t>
            </w:r>
          </w:p>
        </w:tc>
        <w:tc>
          <w:tcPr>
            <w:tcW w:w="361" w:type="dxa"/>
            <w:tcBorders>
              <w:top w:val="nil"/>
              <w:left w:val="nil"/>
              <w:bottom w:val="single" w:sz="4" w:space="0" w:color="auto"/>
              <w:right w:val="single" w:sz="4" w:space="0" w:color="auto"/>
            </w:tcBorders>
            <w:shd w:val="clear" w:color="auto" w:fill="auto"/>
            <w:noWrap/>
            <w:vAlign w:val="center"/>
            <w:hideMark/>
          </w:tcPr>
          <w:p w14:paraId="11EAA2D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1" w:type="dxa"/>
            <w:tcBorders>
              <w:top w:val="nil"/>
              <w:left w:val="nil"/>
              <w:bottom w:val="single" w:sz="4" w:space="0" w:color="auto"/>
              <w:right w:val="single" w:sz="4" w:space="0" w:color="auto"/>
            </w:tcBorders>
            <w:shd w:val="clear" w:color="auto" w:fill="auto"/>
            <w:noWrap/>
            <w:vAlign w:val="center"/>
            <w:hideMark/>
          </w:tcPr>
          <w:p w14:paraId="11EAA2D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0.27</w:t>
            </w:r>
          </w:p>
        </w:tc>
        <w:tc>
          <w:tcPr>
            <w:tcW w:w="361" w:type="dxa"/>
            <w:tcBorders>
              <w:top w:val="nil"/>
              <w:left w:val="nil"/>
              <w:bottom w:val="single" w:sz="4" w:space="0" w:color="auto"/>
              <w:right w:val="single" w:sz="4" w:space="0" w:color="auto"/>
            </w:tcBorders>
            <w:shd w:val="clear" w:color="auto" w:fill="auto"/>
            <w:noWrap/>
            <w:vAlign w:val="center"/>
            <w:hideMark/>
          </w:tcPr>
          <w:p w14:paraId="11EAA2D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0.87</w:t>
            </w:r>
          </w:p>
        </w:tc>
        <w:tc>
          <w:tcPr>
            <w:tcW w:w="361" w:type="dxa"/>
            <w:tcBorders>
              <w:top w:val="nil"/>
              <w:left w:val="nil"/>
              <w:bottom w:val="single" w:sz="4" w:space="0" w:color="auto"/>
              <w:right w:val="single" w:sz="4" w:space="0" w:color="auto"/>
            </w:tcBorders>
            <w:shd w:val="clear" w:color="auto" w:fill="auto"/>
            <w:noWrap/>
            <w:vAlign w:val="center"/>
            <w:hideMark/>
          </w:tcPr>
          <w:p w14:paraId="11EAA2D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0.17</w:t>
            </w:r>
          </w:p>
        </w:tc>
        <w:tc>
          <w:tcPr>
            <w:tcW w:w="361" w:type="dxa"/>
            <w:tcBorders>
              <w:top w:val="nil"/>
              <w:left w:val="nil"/>
              <w:bottom w:val="single" w:sz="4" w:space="0" w:color="auto"/>
              <w:right w:val="single" w:sz="4" w:space="0" w:color="auto"/>
            </w:tcBorders>
            <w:shd w:val="clear" w:color="auto" w:fill="auto"/>
            <w:noWrap/>
            <w:vAlign w:val="center"/>
            <w:hideMark/>
          </w:tcPr>
          <w:p w14:paraId="11EAA2D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2D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1.07</w:t>
            </w:r>
          </w:p>
        </w:tc>
        <w:tc>
          <w:tcPr>
            <w:tcW w:w="361" w:type="dxa"/>
            <w:tcBorders>
              <w:top w:val="nil"/>
              <w:left w:val="nil"/>
              <w:bottom w:val="single" w:sz="4" w:space="0" w:color="auto"/>
              <w:right w:val="single" w:sz="4" w:space="0" w:color="auto"/>
            </w:tcBorders>
            <w:shd w:val="clear" w:color="auto" w:fill="auto"/>
            <w:noWrap/>
            <w:vAlign w:val="center"/>
            <w:hideMark/>
          </w:tcPr>
          <w:p w14:paraId="11EAA2D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0.60</w:t>
            </w:r>
          </w:p>
        </w:tc>
        <w:tc>
          <w:tcPr>
            <w:tcW w:w="361" w:type="dxa"/>
            <w:tcBorders>
              <w:top w:val="nil"/>
              <w:left w:val="nil"/>
              <w:bottom w:val="single" w:sz="4" w:space="0" w:color="auto"/>
              <w:right w:val="single" w:sz="4" w:space="0" w:color="auto"/>
            </w:tcBorders>
            <w:shd w:val="clear" w:color="auto" w:fill="auto"/>
            <w:noWrap/>
            <w:vAlign w:val="center"/>
            <w:hideMark/>
          </w:tcPr>
          <w:p w14:paraId="11EAA2D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0.37</w:t>
            </w:r>
          </w:p>
        </w:tc>
        <w:tc>
          <w:tcPr>
            <w:tcW w:w="361" w:type="dxa"/>
            <w:tcBorders>
              <w:top w:val="nil"/>
              <w:left w:val="nil"/>
              <w:bottom w:val="single" w:sz="4" w:space="0" w:color="auto"/>
              <w:right w:val="single" w:sz="4" w:space="0" w:color="auto"/>
            </w:tcBorders>
            <w:shd w:val="clear" w:color="auto" w:fill="auto"/>
            <w:noWrap/>
            <w:vAlign w:val="center"/>
            <w:hideMark/>
          </w:tcPr>
          <w:p w14:paraId="11EAA2E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2.43</w:t>
            </w:r>
          </w:p>
        </w:tc>
        <w:tc>
          <w:tcPr>
            <w:tcW w:w="361" w:type="dxa"/>
            <w:tcBorders>
              <w:top w:val="nil"/>
              <w:left w:val="nil"/>
              <w:bottom w:val="single" w:sz="4" w:space="0" w:color="auto"/>
              <w:right w:val="single" w:sz="4" w:space="0" w:color="auto"/>
            </w:tcBorders>
            <w:shd w:val="clear" w:color="auto" w:fill="auto"/>
            <w:noWrap/>
            <w:vAlign w:val="center"/>
            <w:hideMark/>
          </w:tcPr>
          <w:p w14:paraId="11EAA2E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1" w:type="dxa"/>
            <w:tcBorders>
              <w:top w:val="nil"/>
              <w:left w:val="nil"/>
              <w:bottom w:val="single" w:sz="4" w:space="0" w:color="auto"/>
              <w:right w:val="single" w:sz="4" w:space="0" w:color="auto"/>
            </w:tcBorders>
            <w:shd w:val="clear" w:color="auto" w:fill="auto"/>
            <w:noWrap/>
            <w:vAlign w:val="center"/>
            <w:hideMark/>
          </w:tcPr>
          <w:p w14:paraId="11EAA2E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0.37</w:t>
            </w:r>
          </w:p>
        </w:tc>
        <w:tc>
          <w:tcPr>
            <w:tcW w:w="361" w:type="dxa"/>
            <w:tcBorders>
              <w:top w:val="nil"/>
              <w:left w:val="nil"/>
              <w:bottom w:val="single" w:sz="4" w:space="0" w:color="auto"/>
              <w:right w:val="single" w:sz="4" w:space="0" w:color="auto"/>
            </w:tcBorders>
            <w:shd w:val="clear" w:color="auto" w:fill="auto"/>
            <w:noWrap/>
            <w:vAlign w:val="center"/>
            <w:hideMark/>
          </w:tcPr>
          <w:p w14:paraId="11EAA2E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2E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E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0.20</w:t>
            </w:r>
          </w:p>
        </w:tc>
        <w:tc>
          <w:tcPr>
            <w:tcW w:w="361" w:type="dxa"/>
            <w:tcBorders>
              <w:top w:val="nil"/>
              <w:left w:val="nil"/>
              <w:bottom w:val="single" w:sz="4" w:space="0" w:color="auto"/>
              <w:right w:val="single" w:sz="4" w:space="0" w:color="auto"/>
            </w:tcBorders>
            <w:shd w:val="clear" w:color="auto" w:fill="auto"/>
            <w:noWrap/>
            <w:vAlign w:val="center"/>
            <w:hideMark/>
          </w:tcPr>
          <w:p w14:paraId="11EAA2E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0.10</w:t>
            </w:r>
          </w:p>
        </w:tc>
        <w:tc>
          <w:tcPr>
            <w:tcW w:w="361" w:type="dxa"/>
            <w:tcBorders>
              <w:top w:val="nil"/>
              <w:left w:val="nil"/>
              <w:bottom w:val="single" w:sz="4" w:space="0" w:color="auto"/>
              <w:right w:val="single" w:sz="4" w:space="0" w:color="auto"/>
            </w:tcBorders>
            <w:shd w:val="clear" w:color="auto" w:fill="auto"/>
            <w:noWrap/>
            <w:vAlign w:val="center"/>
            <w:hideMark/>
          </w:tcPr>
          <w:p w14:paraId="11EAA2E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7.07</w:t>
            </w:r>
          </w:p>
        </w:tc>
        <w:tc>
          <w:tcPr>
            <w:tcW w:w="361" w:type="dxa"/>
            <w:tcBorders>
              <w:top w:val="nil"/>
              <w:left w:val="nil"/>
              <w:bottom w:val="single" w:sz="4" w:space="0" w:color="auto"/>
              <w:right w:val="single" w:sz="4" w:space="0" w:color="auto"/>
            </w:tcBorders>
            <w:shd w:val="clear" w:color="auto" w:fill="auto"/>
            <w:noWrap/>
            <w:vAlign w:val="center"/>
            <w:hideMark/>
          </w:tcPr>
          <w:p w14:paraId="11EAA2E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0.23</w:t>
            </w:r>
          </w:p>
        </w:tc>
        <w:tc>
          <w:tcPr>
            <w:tcW w:w="361" w:type="dxa"/>
            <w:tcBorders>
              <w:top w:val="nil"/>
              <w:left w:val="nil"/>
              <w:bottom w:val="single" w:sz="4" w:space="0" w:color="auto"/>
              <w:right w:val="single" w:sz="4" w:space="0" w:color="auto"/>
            </w:tcBorders>
            <w:shd w:val="clear" w:color="auto" w:fill="auto"/>
            <w:noWrap/>
            <w:vAlign w:val="center"/>
            <w:hideMark/>
          </w:tcPr>
          <w:p w14:paraId="11EAA2E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A2E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E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A2E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4.20</w:t>
            </w:r>
          </w:p>
        </w:tc>
        <w:tc>
          <w:tcPr>
            <w:tcW w:w="361" w:type="dxa"/>
            <w:tcBorders>
              <w:top w:val="nil"/>
              <w:left w:val="nil"/>
              <w:bottom w:val="single" w:sz="4" w:space="0" w:color="auto"/>
              <w:right w:val="single" w:sz="4" w:space="0" w:color="auto"/>
            </w:tcBorders>
            <w:shd w:val="clear" w:color="auto" w:fill="auto"/>
            <w:noWrap/>
            <w:vAlign w:val="center"/>
            <w:hideMark/>
          </w:tcPr>
          <w:p w14:paraId="11EAA2E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0.30</w:t>
            </w:r>
          </w:p>
        </w:tc>
      </w:tr>
      <w:tr w:rsidR="00B33EEE" w:rsidRPr="00B33EEE" w14:paraId="11EAA315"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2EF"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2F0"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Pandora</w:t>
            </w:r>
          </w:p>
        </w:tc>
        <w:tc>
          <w:tcPr>
            <w:tcW w:w="320" w:type="dxa"/>
            <w:tcBorders>
              <w:top w:val="nil"/>
              <w:left w:val="nil"/>
              <w:bottom w:val="single" w:sz="4" w:space="0" w:color="auto"/>
              <w:right w:val="single" w:sz="4" w:space="0" w:color="auto"/>
            </w:tcBorders>
            <w:shd w:val="clear" w:color="auto" w:fill="auto"/>
            <w:noWrap/>
            <w:vAlign w:val="center"/>
            <w:hideMark/>
          </w:tcPr>
          <w:p w14:paraId="11EAA2F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2F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1.31</w:t>
            </w:r>
          </w:p>
        </w:tc>
        <w:tc>
          <w:tcPr>
            <w:tcW w:w="360" w:type="dxa"/>
            <w:tcBorders>
              <w:top w:val="nil"/>
              <w:left w:val="nil"/>
              <w:bottom w:val="single" w:sz="4" w:space="0" w:color="auto"/>
              <w:right w:val="single" w:sz="4" w:space="0" w:color="auto"/>
            </w:tcBorders>
            <w:shd w:val="clear" w:color="auto" w:fill="auto"/>
            <w:noWrap/>
            <w:vAlign w:val="center"/>
            <w:hideMark/>
          </w:tcPr>
          <w:p w14:paraId="11EAA2F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F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F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F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F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F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F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2F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0" w:type="dxa"/>
            <w:tcBorders>
              <w:top w:val="nil"/>
              <w:left w:val="nil"/>
              <w:bottom w:val="single" w:sz="4" w:space="0" w:color="auto"/>
              <w:right w:val="single" w:sz="4" w:space="0" w:color="auto"/>
            </w:tcBorders>
            <w:shd w:val="clear" w:color="auto" w:fill="auto"/>
            <w:noWrap/>
            <w:vAlign w:val="center"/>
            <w:hideMark/>
          </w:tcPr>
          <w:p w14:paraId="11EAA2F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F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F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2F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2F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30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0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0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0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30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30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0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0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0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0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0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30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0.94</w:t>
            </w:r>
          </w:p>
        </w:tc>
        <w:tc>
          <w:tcPr>
            <w:tcW w:w="361" w:type="dxa"/>
            <w:tcBorders>
              <w:top w:val="nil"/>
              <w:left w:val="nil"/>
              <w:bottom w:val="single" w:sz="4" w:space="0" w:color="auto"/>
              <w:right w:val="single" w:sz="4" w:space="0" w:color="auto"/>
            </w:tcBorders>
            <w:shd w:val="clear" w:color="auto" w:fill="auto"/>
            <w:noWrap/>
            <w:vAlign w:val="center"/>
            <w:hideMark/>
          </w:tcPr>
          <w:p w14:paraId="11EAA30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0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0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2.06</w:t>
            </w:r>
          </w:p>
        </w:tc>
        <w:tc>
          <w:tcPr>
            <w:tcW w:w="361" w:type="dxa"/>
            <w:tcBorders>
              <w:top w:val="nil"/>
              <w:left w:val="nil"/>
              <w:bottom w:val="single" w:sz="4" w:space="0" w:color="auto"/>
              <w:right w:val="single" w:sz="4" w:space="0" w:color="auto"/>
            </w:tcBorders>
            <w:shd w:val="clear" w:color="auto" w:fill="auto"/>
            <w:noWrap/>
            <w:vAlign w:val="center"/>
            <w:hideMark/>
          </w:tcPr>
          <w:p w14:paraId="11EAA30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31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1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1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1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314" w14:textId="77777777" w:rsidR="00B33EEE" w:rsidRPr="00B33EEE" w:rsidRDefault="00B33EEE" w:rsidP="00B33EEE">
            <w:pPr>
              <w:spacing w:after="0"/>
              <w:jc w:val="center"/>
              <w:rPr>
                <w:rFonts w:ascii="Arial Narrow" w:hAnsi="Arial Narrow"/>
                <w:color w:val="000000"/>
                <w:sz w:val="14"/>
                <w:szCs w:val="14"/>
                <w:lang w:val="en-AU" w:eastAsia="en-AU"/>
              </w:rPr>
            </w:pPr>
          </w:p>
        </w:tc>
      </w:tr>
      <w:tr w:rsidR="00B33EEE" w:rsidRPr="00B33EEE" w14:paraId="11EAA33C"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316"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317"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31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31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1.63</w:t>
            </w:r>
          </w:p>
        </w:tc>
        <w:tc>
          <w:tcPr>
            <w:tcW w:w="360" w:type="dxa"/>
            <w:tcBorders>
              <w:top w:val="nil"/>
              <w:left w:val="nil"/>
              <w:bottom w:val="single" w:sz="4" w:space="0" w:color="auto"/>
              <w:right w:val="single" w:sz="4" w:space="0" w:color="auto"/>
            </w:tcBorders>
            <w:shd w:val="clear" w:color="auto" w:fill="auto"/>
            <w:noWrap/>
            <w:vAlign w:val="center"/>
            <w:hideMark/>
          </w:tcPr>
          <w:p w14:paraId="11EAA31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1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1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1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2.06</w:t>
            </w:r>
          </w:p>
        </w:tc>
        <w:tc>
          <w:tcPr>
            <w:tcW w:w="360" w:type="dxa"/>
            <w:tcBorders>
              <w:top w:val="nil"/>
              <w:left w:val="nil"/>
              <w:bottom w:val="single" w:sz="4" w:space="0" w:color="auto"/>
              <w:right w:val="single" w:sz="4" w:space="0" w:color="auto"/>
            </w:tcBorders>
            <w:shd w:val="clear" w:color="auto" w:fill="auto"/>
            <w:noWrap/>
            <w:vAlign w:val="center"/>
            <w:hideMark/>
          </w:tcPr>
          <w:p w14:paraId="11EAA31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1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32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1.06</w:t>
            </w:r>
          </w:p>
        </w:tc>
        <w:tc>
          <w:tcPr>
            <w:tcW w:w="360" w:type="dxa"/>
            <w:tcBorders>
              <w:top w:val="nil"/>
              <w:left w:val="nil"/>
              <w:bottom w:val="single" w:sz="4" w:space="0" w:color="auto"/>
              <w:right w:val="single" w:sz="4" w:space="0" w:color="auto"/>
            </w:tcBorders>
            <w:shd w:val="clear" w:color="auto" w:fill="auto"/>
            <w:noWrap/>
            <w:vAlign w:val="center"/>
            <w:hideMark/>
          </w:tcPr>
          <w:p w14:paraId="11EAA32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A32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32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32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32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2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32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2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2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2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32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32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2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32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32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3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3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33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3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3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3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3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3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3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3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3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33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r>
      <w:tr w:rsidR="00B33EEE" w:rsidRPr="00B33EEE" w14:paraId="11EAA363"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33D"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33E"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Lady Elliot</w:t>
            </w:r>
          </w:p>
        </w:tc>
        <w:tc>
          <w:tcPr>
            <w:tcW w:w="320" w:type="dxa"/>
            <w:tcBorders>
              <w:top w:val="nil"/>
              <w:left w:val="nil"/>
              <w:bottom w:val="single" w:sz="4" w:space="0" w:color="auto"/>
              <w:right w:val="single" w:sz="4" w:space="0" w:color="auto"/>
            </w:tcBorders>
            <w:shd w:val="clear" w:color="auto" w:fill="auto"/>
            <w:noWrap/>
            <w:vAlign w:val="center"/>
            <w:hideMark/>
          </w:tcPr>
          <w:p w14:paraId="11EAA33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34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4.88</w:t>
            </w:r>
          </w:p>
        </w:tc>
        <w:tc>
          <w:tcPr>
            <w:tcW w:w="360" w:type="dxa"/>
            <w:tcBorders>
              <w:top w:val="nil"/>
              <w:left w:val="nil"/>
              <w:bottom w:val="single" w:sz="4" w:space="0" w:color="auto"/>
              <w:right w:val="single" w:sz="4" w:space="0" w:color="auto"/>
            </w:tcBorders>
            <w:shd w:val="clear" w:color="auto" w:fill="auto"/>
            <w:noWrap/>
            <w:vAlign w:val="center"/>
            <w:hideMark/>
          </w:tcPr>
          <w:p w14:paraId="11EAA34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4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4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34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4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4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4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34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4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3.50</w:t>
            </w:r>
          </w:p>
        </w:tc>
        <w:tc>
          <w:tcPr>
            <w:tcW w:w="361" w:type="dxa"/>
            <w:tcBorders>
              <w:top w:val="nil"/>
              <w:left w:val="nil"/>
              <w:bottom w:val="single" w:sz="4" w:space="0" w:color="auto"/>
              <w:right w:val="single" w:sz="4" w:space="0" w:color="auto"/>
            </w:tcBorders>
            <w:shd w:val="clear" w:color="auto" w:fill="auto"/>
            <w:noWrap/>
            <w:vAlign w:val="center"/>
            <w:hideMark/>
          </w:tcPr>
          <w:p w14:paraId="11EAA34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2.63</w:t>
            </w:r>
          </w:p>
        </w:tc>
        <w:tc>
          <w:tcPr>
            <w:tcW w:w="361" w:type="dxa"/>
            <w:tcBorders>
              <w:top w:val="nil"/>
              <w:left w:val="nil"/>
              <w:bottom w:val="single" w:sz="4" w:space="0" w:color="auto"/>
              <w:right w:val="single" w:sz="4" w:space="0" w:color="auto"/>
            </w:tcBorders>
            <w:shd w:val="clear" w:color="auto" w:fill="auto"/>
            <w:noWrap/>
            <w:vAlign w:val="center"/>
            <w:hideMark/>
          </w:tcPr>
          <w:p w14:paraId="11EAA34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4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34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34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4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5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5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5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3.94</w:t>
            </w:r>
          </w:p>
        </w:tc>
        <w:tc>
          <w:tcPr>
            <w:tcW w:w="361" w:type="dxa"/>
            <w:tcBorders>
              <w:top w:val="nil"/>
              <w:left w:val="nil"/>
              <w:bottom w:val="single" w:sz="4" w:space="0" w:color="auto"/>
              <w:right w:val="single" w:sz="4" w:space="0" w:color="auto"/>
            </w:tcBorders>
            <w:shd w:val="clear" w:color="auto" w:fill="auto"/>
            <w:noWrap/>
            <w:vAlign w:val="center"/>
            <w:hideMark/>
          </w:tcPr>
          <w:p w14:paraId="11EAA35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5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5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5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1.56</w:t>
            </w:r>
          </w:p>
        </w:tc>
        <w:tc>
          <w:tcPr>
            <w:tcW w:w="361" w:type="dxa"/>
            <w:tcBorders>
              <w:top w:val="nil"/>
              <w:left w:val="nil"/>
              <w:bottom w:val="single" w:sz="4" w:space="0" w:color="auto"/>
              <w:right w:val="single" w:sz="4" w:space="0" w:color="auto"/>
            </w:tcBorders>
            <w:shd w:val="clear" w:color="auto" w:fill="auto"/>
            <w:noWrap/>
            <w:vAlign w:val="center"/>
            <w:hideMark/>
          </w:tcPr>
          <w:p w14:paraId="11EAA35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5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5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5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5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35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1" w:type="dxa"/>
            <w:tcBorders>
              <w:top w:val="nil"/>
              <w:left w:val="nil"/>
              <w:bottom w:val="single" w:sz="4" w:space="0" w:color="auto"/>
              <w:right w:val="single" w:sz="4" w:space="0" w:color="auto"/>
            </w:tcBorders>
            <w:shd w:val="clear" w:color="auto" w:fill="auto"/>
            <w:noWrap/>
            <w:vAlign w:val="center"/>
            <w:hideMark/>
          </w:tcPr>
          <w:p w14:paraId="11EAA35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35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5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6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6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1.25</w:t>
            </w:r>
          </w:p>
        </w:tc>
        <w:tc>
          <w:tcPr>
            <w:tcW w:w="361" w:type="dxa"/>
            <w:tcBorders>
              <w:top w:val="nil"/>
              <w:left w:val="nil"/>
              <w:bottom w:val="single" w:sz="4" w:space="0" w:color="auto"/>
              <w:right w:val="single" w:sz="4" w:space="0" w:color="auto"/>
            </w:tcBorders>
            <w:shd w:val="clear" w:color="auto" w:fill="auto"/>
            <w:noWrap/>
            <w:vAlign w:val="center"/>
            <w:hideMark/>
          </w:tcPr>
          <w:p w14:paraId="11EAA36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r>
      <w:tr w:rsidR="00B33EEE" w:rsidRPr="00B33EEE" w14:paraId="11EAA38A"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364"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365"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36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36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0" w:type="dxa"/>
            <w:tcBorders>
              <w:top w:val="nil"/>
              <w:left w:val="nil"/>
              <w:bottom w:val="single" w:sz="4" w:space="0" w:color="auto"/>
              <w:right w:val="single" w:sz="4" w:space="0" w:color="auto"/>
            </w:tcBorders>
            <w:shd w:val="clear" w:color="auto" w:fill="auto"/>
            <w:noWrap/>
            <w:vAlign w:val="center"/>
            <w:hideMark/>
          </w:tcPr>
          <w:p w14:paraId="11EAA36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0" w:type="dxa"/>
            <w:tcBorders>
              <w:top w:val="nil"/>
              <w:left w:val="nil"/>
              <w:bottom w:val="single" w:sz="4" w:space="0" w:color="auto"/>
              <w:right w:val="single" w:sz="4" w:space="0" w:color="auto"/>
            </w:tcBorders>
            <w:shd w:val="clear" w:color="auto" w:fill="auto"/>
            <w:noWrap/>
            <w:vAlign w:val="center"/>
            <w:hideMark/>
          </w:tcPr>
          <w:p w14:paraId="11EAA36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6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A36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6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6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6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0.88</w:t>
            </w:r>
          </w:p>
        </w:tc>
        <w:tc>
          <w:tcPr>
            <w:tcW w:w="360" w:type="dxa"/>
            <w:tcBorders>
              <w:top w:val="nil"/>
              <w:left w:val="nil"/>
              <w:bottom w:val="single" w:sz="4" w:space="0" w:color="auto"/>
              <w:right w:val="single" w:sz="4" w:space="0" w:color="auto"/>
            </w:tcBorders>
            <w:shd w:val="clear" w:color="auto" w:fill="auto"/>
            <w:noWrap/>
            <w:vAlign w:val="center"/>
            <w:hideMark/>
          </w:tcPr>
          <w:p w14:paraId="11EAA36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0" w:type="dxa"/>
            <w:tcBorders>
              <w:top w:val="nil"/>
              <w:left w:val="nil"/>
              <w:bottom w:val="single" w:sz="4" w:space="0" w:color="auto"/>
              <w:right w:val="single" w:sz="4" w:space="0" w:color="auto"/>
            </w:tcBorders>
            <w:shd w:val="clear" w:color="auto" w:fill="auto"/>
            <w:noWrap/>
            <w:vAlign w:val="center"/>
            <w:hideMark/>
          </w:tcPr>
          <w:p w14:paraId="11EAA37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7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14.13</w:t>
            </w:r>
          </w:p>
        </w:tc>
        <w:tc>
          <w:tcPr>
            <w:tcW w:w="361" w:type="dxa"/>
            <w:tcBorders>
              <w:top w:val="nil"/>
              <w:left w:val="nil"/>
              <w:bottom w:val="single" w:sz="4" w:space="0" w:color="auto"/>
              <w:right w:val="single" w:sz="4" w:space="0" w:color="auto"/>
            </w:tcBorders>
            <w:shd w:val="clear" w:color="auto" w:fill="auto"/>
            <w:noWrap/>
            <w:vAlign w:val="center"/>
            <w:hideMark/>
          </w:tcPr>
          <w:p w14:paraId="11EAA37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1" w:type="dxa"/>
            <w:tcBorders>
              <w:top w:val="nil"/>
              <w:left w:val="nil"/>
              <w:bottom w:val="single" w:sz="4" w:space="0" w:color="auto"/>
              <w:right w:val="single" w:sz="4" w:space="0" w:color="auto"/>
            </w:tcBorders>
            <w:shd w:val="clear" w:color="auto" w:fill="auto"/>
            <w:noWrap/>
            <w:vAlign w:val="center"/>
            <w:hideMark/>
          </w:tcPr>
          <w:p w14:paraId="11EAA37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2.38</w:t>
            </w:r>
          </w:p>
        </w:tc>
        <w:tc>
          <w:tcPr>
            <w:tcW w:w="361" w:type="dxa"/>
            <w:tcBorders>
              <w:top w:val="nil"/>
              <w:left w:val="nil"/>
              <w:bottom w:val="single" w:sz="4" w:space="0" w:color="auto"/>
              <w:right w:val="single" w:sz="4" w:space="0" w:color="auto"/>
            </w:tcBorders>
            <w:shd w:val="clear" w:color="auto" w:fill="auto"/>
            <w:noWrap/>
            <w:vAlign w:val="center"/>
            <w:hideMark/>
          </w:tcPr>
          <w:p w14:paraId="11EAA37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37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7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7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1.63</w:t>
            </w:r>
          </w:p>
        </w:tc>
        <w:tc>
          <w:tcPr>
            <w:tcW w:w="361" w:type="dxa"/>
            <w:tcBorders>
              <w:top w:val="nil"/>
              <w:left w:val="nil"/>
              <w:bottom w:val="single" w:sz="4" w:space="0" w:color="auto"/>
              <w:right w:val="single" w:sz="4" w:space="0" w:color="auto"/>
            </w:tcBorders>
            <w:shd w:val="clear" w:color="auto" w:fill="auto"/>
            <w:noWrap/>
            <w:vAlign w:val="center"/>
            <w:hideMark/>
          </w:tcPr>
          <w:p w14:paraId="11EAA37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37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37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37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1" w:type="dxa"/>
            <w:tcBorders>
              <w:top w:val="nil"/>
              <w:left w:val="nil"/>
              <w:bottom w:val="single" w:sz="4" w:space="0" w:color="auto"/>
              <w:right w:val="single" w:sz="4" w:space="0" w:color="auto"/>
            </w:tcBorders>
            <w:shd w:val="clear" w:color="auto" w:fill="auto"/>
            <w:noWrap/>
            <w:vAlign w:val="center"/>
            <w:hideMark/>
          </w:tcPr>
          <w:p w14:paraId="11EAA37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1.94</w:t>
            </w:r>
          </w:p>
        </w:tc>
        <w:tc>
          <w:tcPr>
            <w:tcW w:w="361" w:type="dxa"/>
            <w:tcBorders>
              <w:top w:val="nil"/>
              <w:left w:val="nil"/>
              <w:bottom w:val="single" w:sz="4" w:space="0" w:color="auto"/>
              <w:right w:val="single" w:sz="4" w:space="0" w:color="auto"/>
            </w:tcBorders>
            <w:shd w:val="clear" w:color="auto" w:fill="auto"/>
            <w:noWrap/>
            <w:vAlign w:val="center"/>
            <w:hideMark/>
          </w:tcPr>
          <w:p w14:paraId="11EAA37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7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0.88</w:t>
            </w:r>
          </w:p>
        </w:tc>
        <w:tc>
          <w:tcPr>
            <w:tcW w:w="361" w:type="dxa"/>
            <w:tcBorders>
              <w:top w:val="nil"/>
              <w:left w:val="nil"/>
              <w:bottom w:val="single" w:sz="4" w:space="0" w:color="auto"/>
              <w:right w:val="single" w:sz="4" w:space="0" w:color="auto"/>
            </w:tcBorders>
            <w:shd w:val="clear" w:color="auto" w:fill="auto"/>
            <w:noWrap/>
            <w:vAlign w:val="center"/>
            <w:hideMark/>
          </w:tcPr>
          <w:p w14:paraId="11EAA37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8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8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8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1.00</w:t>
            </w:r>
          </w:p>
        </w:tc>
        <w:tc>
          <w:tcPr>
            <w:tcW w:w="361" w:type="dxa"/>
            <w:tcBorders>
              <w:top w:val="nil"/>
              <w:left w:val="nil"/>
              <w:bottom w:val="single" w:sz="4" w:space="0" w:color="auto"/>
              <w:right w:val="single" w:sz="4" w:space="0" w:color="auto"/>
            </w:tcBorders>
            <w:shd w:val="clear" w:color="auto" w:fill="auto"/>
            <w:noWrap/>
            <w:vAlign w:val="center"/>
            <w:hideMark/>
          </w:tcPr>
          <w:p w14:paraId="11EAA38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2.81</w:t>
            </w:r>
          </w:p>
        </w:tc>
        <w:tc>
          <w:tcPr>
            <w:tcW w:w="361" w:type="dxa"/>
            <w:tcBorders>
              <w:top w:val="nil"/>
              <w:left w:val="nil"/>
              <w:bottom w:val="single" w:sz="4" w:space="0" w:color="auto"/>
              <w:right w:val="single" w:sz="4" w:space="0" w:color="auto"/>
            </w:tcBorders>
            <w:shd w:val="clear" w:color="auto" w:fill="auto"/>
            <w:noWrap/>
            <w:vAlign w:val="center"/>
            <w:hideMark/>
          </w:tcPr>
          <w:p w14:paraId="11EAA38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38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8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8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8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1.81</w:t>
            </w:r>
          </w:p>
        </w:tc>
        <w:tc>
          <w:tcPr>
            <w:tcW w:w="361" w:type="dxa"/>
            <w:tcBorders>
              <w:top w:val="nil"/>
              <w:left w:val="nil"/>
              <w:bottom w:val="single" w:sz="4" w:space="0" w:color="auto"/>
              <w:right w:val="single" w:sz="4" w:space="0" w:color="auto"/>
            </w:tcBorders>
            <w:shd w:val="clear" w:color="auto" w:fill="auto"/>
            <w:noWrap/>
            <w:vAlign w:val="center"/>
            <w:hideMark/>
          </w:tcPr>
          <w:p w14:paraId="11EAA38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0.94</w:t>
            </w:r>
          </w:p>
        </w:tc>
      </w:tr>
      <w:tr w:rsidR="00B33EEE" w:rsidRPr="00B33EEE" w14:paraId="11EAA3B1"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38B"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tcBorders>
              <w:top w:val="nil"/>
              <w:left w:val="nil"/>
              <w:bottom w:val="single" w:sz="4" w:space="0" w:color="auto"/>
              <w:right w:val="single" w:sz="4" w:space="0" w:color="auto"/>
            </w:tcBorders>
            <w:shd w:val="clear" w:color="auto" w:fill="auto"/>
            <w:noWrap/>
            <w:vAlign w:val="center"/>
            <w:hideMark/>
          </w:tcPr>
          <w:p w14:paraId="11EAA38C"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Middle R</w:t>
            </w:r>
            <w:r w:rsidR="006428D8">
              <w:rPr>
                <w:rFonts w:ascii="Arial Narrow" w:hAnsi="Arial Narrow"/>
                <w:color w:val="000000"/>
                <w:sz w:val="18"/>
                <w:szCs w:val="18"/>
                <w:lang w:val="en-AU" w:eastAsia="en-AU"/>
              </w:rPr>
              <w:t>ee</w:t>
            </w:r>
            <w:r w:rsidRPr="00C422C5">
              <w:rPr>
                <w:rFonts w:ascii="Arial Narrow" w:hAnsi="Arial Narrow"/>
                <w:color w:val="000000"/>
                <w:sz w:val="18"/>
                <w:szCs w:val="18"/>
                <w:lang w:val="en-AU" w:eastAsia="en-AU"/>
              </w:rPr>
              <w:t>f LTMP</w:t>
            </w:r>
          </w:p>
        </w:tc>
        <w:tc>
          <w:tcPr>
            <w:tcW w:w="320" w:type="dxa"/>
            <w:tcBorders>
              <w:top w:val="nil"/>
              <w:left w:val="nil"/>
              <w:bottom w:val="single" w:sz="4" w:space="0" w:color="auto"/>
              <w:right w:val="single" w:sz="4" w:space="0" w:color="auto"/>
            </w:tcBorders>
            <w:shd w:val="clear" w:color="auto" w:fill="auto"/>
            <w:noWrap/>
            <w:vAlign w:val="center"/>
            <w:hideMark/>
          </w:tcPr>
          <w:p w14:paraId="11EAA38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38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1.47</w:t>
            </w:r>
          </w:p>
        </w:tc>
        <w:tc>
          <w:tcPr>
            <w:tcW w:w="360" w:type="dxa"/>
            <w:tcBorders>
              <w:top w:val="nil"/>
              <w:left w:val="nil"/>
              <w:bottom w:val="single" w:sz="4" w:space="0" w:color="auto"/>
              <w:right w:val="single" w:sz="4" w:space="0" w:color="auto"/>
            </w:tcBorders>
            <w:shd w:val="clear" w:color="auto" w:fill="auto"/>
            <w:noWrap/>
            <w:vAlign w:val="center"/>
            <w:hideMark/>
          </w:tcPr>
          <w:p w14:paraId="11EAA38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9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9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0" w:type="dxa"/>
            <w:tcBorders>
              <w:top w:val="nil"/>
              <w:left w:val="nil"/>
              <w:bottom w:val="single" w:sz="4" w:space="0" w:color="auto"/>
              <w:right w:val="single" w:sz="4" w:space="0" w:color="auto"/>
            </w:tcBorders>
            <w:shd w:val="clear" w:color="auto" w:fill="auto"/>
            <w:noWrap/>
            <w:vAlign w:val="center"/>
            <w:hideMark/>
          </w:tcPr>
          <w:p w14:paraId="11EAA39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9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0.40</w:t>
            </w:r>
          </w:p>
        </w:tc>
        <w:tc>
          <w:tcPr>
            <w:tcW w:w="360" w:type="dxa"/>
            <w:tcBorders>
              <w:top w:val="nil"/>
              <w:left w:val="nil"/>
              <w:bottom w:val="single" w:sz="4" w:space="0" w:color="auto"/>
              <w:right w:val="single" w:sz="4" w:space="0" w:color="auto"/>
            </w:tcBorders>
            <w:shd w:val="clear" w:color="auto" w:fill="auto"/>
            <w:noWrap/>
            <w:vAlign w:val="center"/>
            <w:hideMark/>
          </w:tcPr>
          <w:p w14:paraId="11EAA39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0" w:type="dxa"/>
            <w:tcBorders>
              <w:top w:val="nil"/>
              <w:left w:val="nil"/>
              <w:bottom w:val="single" w:sz="4" w:space="0" w:color="auto"/>
              <w:right w:val="single" w:sz="4" w:space="0" w:color="auto"/>
            </w:tcBorders>
            <w:shd w:val="clear" w:color="auto" w:fill="auto"/>
            <w:noWrap/>
            <w:vAlign w:val="center"/>
            <w:hideMark/>
          </w:tcPr>
          <w:p w14:paraId="11EAA39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0.91</w:t>
            </w:r>
          </w:p>
        </w:tc>
        <w:tc>
          <w:tcPr>
            <w:tcW w:w="360" w:type="dxa"/>
            <w:tcBorders>
              <w:top w:val="nil"/>
              <w:left w:val="nil"/>
              <w:bottom w:val="single" w:sz="4" w:space="0" w:color="auto"/>
              <w:right w:val="single" w:sz="4" w:space="0" w:color="auto"/>
            </w:tcBorders>
            <w:shd w:val="clear" w:color="auto" w:fill="auto"/>
            <w:noWrap/>
            <w:vAlign w:val="center"/>
            <w:hideMark/>
          </w:tcPr>
          <w:p w14:paraId="11EAA39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0.10</w:t>
            </w:r>
          </w:p>
        </w:tc>
        <w:tc>
          <w:tcPr>
            <w:tcW w:w="360" w:type="dxa"/>
            <w:tcBorders>
              <w:top w:val="nil"/>
              <w:left w:val="nil"/>
              <w:bottom w:val="single" w:sz="4" w:space="0" w:color="auto"/>
              <w:right w:val="single" w:sz="4" w:space="0" w:color="auto"/>
            </w:tcBorders>
            <w:shd w:val="clear" w:color="auto" w:fill="auto"/>
            <w:noWrap/>
            <w:vAlign w:val="center"/>
            <w:hideMark/>
          </w:tcPr>
          <w:p w14:paraId="11EAA39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A39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39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1" w:type="dxa"/>
            <w:tcBorders>
              <w:top w:val="nil"/>
              <w:left w:val="nil"/>
              <w:bottom w:val="single" w:sz="4" w:space="0" w:color="auto"/>
              <w:right w:val="single" w:sz="4" w:space="0" w:color="auto"/>
            </w:tcBorders>
            <w:shd w:val="clear" w:color="auto" w:fill="auto"/>
            <w:noWrap/>
            <w:vAlign w:val="center"/>
            <w:hideMark/>
          </w:tcPr>
          <w:p w14:paraId="11EAA39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15.38</w:t>
            </w:r>
          </w:p>
        </w:tc>
        <w:tc>
          <w:tcPr>
            <w:tcW w:w="361" w:type="dxa"/>
            <w:tcBorders>
              <w:top w:val="nil"/>
              <w:left w:val="nil"/>
              <w:bottom w:val="single" w:sz="4" w:space="0" w:color="auto"/>
              <w:right w:val="single" w:sz="4" w:space="0" w:color="auto"/>
            </w:tcBorders>
            <w:shd w:val="clear" w:color="auto" w:fill="auto"/>
            <w:noWrap/>
            <w:vAlign w:val="center"/>
            <w:hideMark/>
          </w:tcPr>
          <w:p w14:paraId="11EAA39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0.23</w:t>
            </w:r>
          </w:p>
        </w:tc>
        <w:tc>
          <w:tcPr>
            <w:tcW w:w="361" w:type="dxa"/>
            <w:tcBorders>
              <w:top w:val="nil"/>
              <w:left w:val="nil"/>
              <w:bottom w:val="single" w:sz="4" w:space="0" w:color="auto"/>
              <w:right w:val="single" w:sz="4" w:space="0" w:color="auto"/>
            </w:tcBorders>
            <w:shd w:val="clear" w:color="auto" w:fill="auto"/>
            <w:noWrap/>
            <w:vAlign w:val="center"/>
            <w:hideMark/>
          </w:tcPr>
          <w:p w14:paraId="11EAA39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0.23</w:t>
            </w:r>
          </w:p>
        </w:tc>
        <w:tc>
          <w:tcPr>
            <w:tcW w:w="361" w:type="dxa"/>
            <w:tcBorders>
              <w:top w:val="nil"/>
              <w:left w:val="nil"/>
              <w:bottom w:val="single" w:sz="4" w:space="0" w:color="auto"/>
              <w:right w:val="single" w:sz="4" w:space="0" w:color="auto"/>
            </w:tcBorders>
            <w:shd w:val="clear" w:color="auto" w:fill="auto"/>
            <w:noWrap/>
            <w:vAlign w:val="center"/>
            <w:hideMark/>
          </w:tcPr>
          <w:p w14:paraId="11EAA39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9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0.24</w:t>
            </w:r>
          </w:p>
        </w:tc>
        <w:tc>
          <w:tcPr>
            <w:tcW w:w="361" w:type="dxa"/>
            <w:tcBorders>
              <w:top w:val="nil"/>
              <w:left w:val="nil"/>
              <w:bottom w:val="single" w:sz="4" w:space="0" w:color="auto"/>
              <w:right w:val="single" w:sz="4" w:space="0" w:color="auto"/>
            </w:tcBorders>
            <w:shd w:val="clear" w:color="auto" w:fill="auto"/>
            <w:noWrap/>
            <w:vAlign w:val="center"/>
            <w:hideMark/>
          </w:tcPr>
          <w:p w14:paraId="11EAA39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0.47</w:t>
            </w:r>
          </w:p>
        </w:tc>
        <w:tc>
          <w:tcPr>
            <w:tcW w:w="361" w:type="dxa"/>
            <w:tcBorders>
              <w:top w:val="nil"/>
              <w:left w:val="nil"/>
              <w:bottom w:val="single" w:sz="4" w:space="0" w:color="auto"/>
              <w:right w:val="single" w:sz="4" w:space="0" w:color="auto"/>
            </w:tcBorders>
            <w:shd w:val="clear" w:color="auto" w:fill="auto"/>
            <w:noWrap/>
            <w:vAlign w:val="center"/>
            <w:hideMark/>
          </w:tcPr>
          <w:p w14:paraId="11EAA3A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5.54</w:t>
            </w:r>
          </w:p>
        </w:tc>
        <w:tc>
          <w:tcPr>
            <w:tcW w:w="361" w:type="dxa"/>
            <w:tcBorders>
              <w:top w:val="nil"/>
              <w:left w:val="nil"/>
              <w:bottom w:val="single" w:sz="4" w:space="0" w:color="auto"/>
              <w:right w:val="single" w:sz="4" w:space="0" w:color="auto"/>
            </w:tcBorders>
            <w:shd w:val="clear" w:color="auto" w:fill="auto"/>
            <w:noWrap/>
            <w:vAlign w:val="center"/>
            <w:hideMark/>
          </w:tcPr>
          <w:p w14:paraId="11EAA3A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1" w:type="dxa"/>
            <w:tcBorders>
              <w:top w:val="nil"/>
              <w:left w:val="nil"/>
              <w:bottom w:val="single" w:sz="4" w:space="0" w:color="auto"/>
              <w:right w:val="single" w:sz="4" w:space="0" w:color="auto"/>
            </w:tcBorders>
            <w:shd w:val="clear" w:color="auto" w:fill="auto"/>
            <w:noWrap/>
            <w:vAlign w:val="center"/>
            <w:hideMark/>
          </w:tcPr>
          <w:p w14:paraId="11EAA3A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0.20</w:t>
            </w:r>
          </w:p>
        </w:tc>
        <w:tc>
          <w:tcPr>
            <w:tcW w:w="361" w:type="dxa"/>
            <w:tcBorders>
              <w:top w:val="nil"/>
              <w:left w:val="nil"/>
              <w:bottom w:val="single" w:sz="4" w:space="0" w:color="auto"/>
              <w:right w:val="single" w:sz="4" w:space="0" w:color="auto"/>
            </w:tcBorders>
            <w:shd w:val="clear" w:color="auto" w:fill="auto"/>
            <w:noWrap/>
            <w:vAlign w:val="center"/>
            <w:hideMark/>
          </w:tcPr>
          <w:p w14:paraId="11EAA3A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4.27</w:t>
            </w:r>
          </w:p>
        </w:tc>
        <w:tc>
          <w:tcPr>
            <w:tcW w:w="361" w:type="dxa"/>
            <w:tcBorders>
              <w:top w:val="nil"/>
              <w:left w:val="nil"/>
              <w:bottom w:val="single" w:sz="4" w:space="0" w:color="auto"/>
              <w:right w:val="single" w:sz="4" w:space="0" w:color="auto"/>
            </w:tcBorders>
            <w:shd w:val="clear" w:color="auto" w:fill="auto"/>
            <w:noWrap/>
            <w:vAlign w:val="center"/>
            <w:hideMark/>
          </w:tcPr>
          <w:p w14:paraId="11EAA3A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3A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0.41</w:t>
            </w:r>
          </w:p>
        </w:tc>
        <w:tc>
          <w:tcPr>
            <w:tcW w:w="361" w:type="dxa"/>
            <w:tcBorders>
              <w:top w:val="nil"/>
              <w:left w:val="nil"/>
              <w:bottom w:val="single" w:sz="4" w:space="0" w:color="auto"/>
              <w:right w:val="single" w:sz="4" w:space="0" w:color="auto"/>
            </w:tcBorders>
            <w:shd w:val="clear" w:color="auto" w:fill="auto"/>
            <w:noWrap/>
            <w:vAlign w:val="center"/>
            <w:hideMark/>
          </w:tcPr>
          <w:p w14:paraId="11EAA3A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0.24</w:t>
            </w:r>
          </w:p>
        </w:tc>
        <w:tc>
          <w:tcPr>
            <w:tcW w:w="361" w:type="dxa"/>
            <w:tcBorders>
              <w:top w:val="nil"/>
              <w:left w:val="nil"/>
              <w:bottom w:val="single" w:sz="4" w:space="0" w:color="auto"/>
              <w:right w:val="single" w:sz="4" w:space="0" w:color="auto"/>
            </w:tcBorders>
            <w:shd w:val="clear" w:color="auto" w:fill="auto"/>
            <w:noWrap/>
            <w:vAlign w:val="center"/>
            <w:hideMark/>
          </w:tcPr>
          <w:p w14:paraId="11EAA3A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A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3A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0.23</w:t>
            </w:r>
          </w:p>
        </w:tc>
        <w:tc>
          <w:tcPr>
            <w:tcW w:w="361" w:type="dxa"/>
            <w:tcBorders>
              <w:top w:val="nil"/>
              <w:left w:val="nil"/>
              <w:bottom w:val="single" w:sz="4" w:space="0" w:color="auto"/>
              <w:right w:val="single" w:sz="4" w:space="0" w:color="auto"/>
            </w:tcBorders>
            <w:shd w:val="clear" w:color="auto" w:fill="auto"/>
            <w:noWrap/>
            <w:vAlign w:val="center"/>
            <w:hideMark/>
          </w:tcPr>
          <w:p w14:paraId="11EAA3A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1.31</w:t>
            </w:r>
          </w:p>
        </w:tc>
        <w:tc>
          <w:tcPr>
            <w:tcW w:w="361" w:type="dxa"/>
            <w:tcBorders>
              <w:top w:val="nil"/>
              <w:left w:val="nil"/>
              <w:bottom w:val="single" w:sz="4" w:space="0" w:color="auto"/>
              <w:right w:val="single" w:sz="4" w:space="0" w:color="auto"/>
            </w:tcBorders>
            <w:shd w:val="clear" w:color="auto" w:fill="auto"/>
            <w:noWrap/>
            <w:vAlign w:val="center"/>
            <w:hideMark/>
          </w:tcPr>
          <w:p w14:paraId="11EAA3A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A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A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A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A3A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0.37</w:t>
            </w:r>
          </w:p>
        </w:tc>
        <w:tc>
          <w:tcPr>
            <w:tcW w:w="361" w:type="dxa"/>
            <w:tcBorders>
              <w:top w:val="nil"/>
              <w:left w:val="nil"/>
              <w:bottom w:val="single" w:sz="4" w:space="0" w:color="auto"/>
              <w:right w:val="single" w:sz="4" w:space="0" w:color="auto"/>
            </w:tcBorders>
            <w:shd w:val="clear" w:color="auto" w:fill="auto"/>
            <w:noWrap/>
            <w:vAlign w:val="center"/>
            <w:hideMark/>
          </w:tcPr>
          <w:p w14:paraId="11EAA3B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0.57</w:t>
            </w:r>
          </w:p>
        </w:tc>
      </w:tr>
      <w:tr w:rsidR="00B33EEE" w:rsidRPr="00B33EEE" w14:paraId="11EAA3D8"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3B2"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3B3"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Magnetic</w:t>
            </w:r>
          </w:p>
        </w:tc>
        <w:tc>
          <w:tcPr>
            <w:tcW w:w="320" w:type="dxa"/>
            <w:tcBorders>
              <w:top w:val="nil"/>
              <w:left w:val="nil"/>
              <w:bottom w:val="single" w:sz="4" w:space="0" w:color="auto"/>
              <w:right w:val="single" w:sz="4" w:space="0" w:color="auto"/>
            </w:tcBorders>
            <w:shd w:val="clear" w:color="auto" w:fill="auto"/>
            <w:noWrap/>
            <w:vAlign w:val="center"/>
            <w:hideMark/>
          </w:tcPr>
          <w:p w14:paraId="11EAA3B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3B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1.63</w:t>
            </w:r>
          </w:p>
        </w:tc>
        <w:tc>
          <w:tcPr>
            <w:tcW w:w="360" w:type="dxa"/>
            <w:tcBorders>
              <w:top w:val="nil"/>
              <w:left w:val="nil"/>
              <w:bottom w:val="single" w:sz="4" w:space="0" w:color="auto"/>
              <w:right w:val="single" w:sz="4" w:space="0" w:color="auto"/>
            </w:tcBorders>
            <w:shd w:val="clear" w:color="auto" w:fill="auto"/>
            <w:noWrap/>
            <w:vAlign w:val="center"/>
            <w:hideMark/>
          </w:tcPr>
          <w:p w14:paraId="11EAA3B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B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B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1.50</w:t>
            </w:r>
          </w:p>
        </w:tc>
        <w:tc>
          <w:tcPr>
            <w:tcW w:w="360" w:type="dxa"/>
            <w:tcBorders>
              <w:top w:val="nil"/>
              <w:left w:val="nil"/>
              <w:bottom w:val="single" w:sz="4" w:space="0" w:color="auto"/>
              <w:right w:val="single" w:sz="4" w:space="0" w:color="auto"/>
            </w:tcBorders>
            <w:shd w:val="clear" w:color="auto" w:fill="auto"/>
            <w:noWrap/>
            <w:vAlign w:val="center"/>
            <w:hideMark/>
          </w:tcPr>
          <w:p w14:paraId="11EAA3B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B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B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3B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A3B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0" w:type="dxa"/>
            <w:tcBorders>
              <w:top w:val="nil"/>
              <w:left w:val="nil"/>
              <w:bottom w:val="single" w:sz="4" w:space="0" w:color="auto"/>
              <w:right w:val="single" w:sz="4" w:space="0" w:color="auto"/>
            </w:tcBorders>
            <w:shd w:val="clear" w:color="auto" w:fill="auto"/>
            <w:noWrap/>
            <w:vAlign w:val="center"/>
            <w:hideMark/>
          </w:tcPr>
          <w:p w14:paraId="11EAA3B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B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3C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C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3C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3C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C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C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C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3C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7.94</w:t>
            </w:r>
          </w:p>
        </w:tc>
        <w:tc>
          <w:tcPr>
            <w:tcW w:w="361" w:type="dxa"/>
            <w:tcBorders>
              <w:top w:val="nil"/>
              <w:left w:val="nil"/>
              <w:bottom w:val="single" w:sz="4" w:space="0" w:color="auto"/>
              <w:right w:val="single" w:sz="4" w:space="0" w:color="auto"/>
            </w:tcBorders>
            <w:shd w:val="clear" w:color="auto" w:fill="auto"/>
            <w:noWrap/>
            <w:vAlign w:val="center"/>
            <w:hideMark/>
          </w:tcPr>
          <w:p w14:paraId="11EAA3C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C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C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3C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3C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C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C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3C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3D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D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1.94</w:t>
            </w:r>
          </w:p>
        </w:tc>
        <w:tc>
          <w:tcPr>
            <w:tcW w:w="361" w:type="dxa"/>
            <w:tcBorders>
              <w:top w:val="nil"/>
              <w:left w:val="nil"/>
              <w:bottom w:val="single" w:sz="4" w:space="0" w:color="auto"/>
              <w:right w:val="single" w:sz="4" w:space="0" w:color="auto"/>
            </w:tcBorders>
            <w:shd w:val="clear" w:color="auto" w:fill="auto"/>
            <w:noWrap/>
            <w:vAlign w:val="center"/>
            <w:hideMark/>
          </w:tcPr>
          <w:p w14:paraId="11EAA3D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1" w:type="dxa"/>
            <w:tcBorders>
              <w:top w:val="nil"/>
              <w:left w:val="nil"/>
              <w:bottom w:val="single" w:sz="4" w:space="0" w:color="auto"/>
              <w:right w:val="single" w:sz="4" w:space="0" w:color="auto"/>
            </w:tcBorders>
            <w:shd w:val="clear" w:color="auto" w:fill="auto"/>
            <w:noWrap/>
            <w:vAlign w:val="center"/>
            <w:hideMark/>
          </w:tcPr>
          <w:p w14:paraId="11EAA3D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D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D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D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1.94</w:t>
            </w:r>
          </w:p>
        </w:tc>
        <w:tc>
          <w:tcPr>
            <w:tcW w:w="361" w:type="dxa"/>
            <w:tcBorders>
              <w:top w:val="nil"/>
              <w:left w:val="nil"/>
              <w:bottom w:val="single" w:sz="4" w:space="0" w:color="auto"/>
              <w:right w:val="single" w:sz="4" w:space="0" w:color="auto"/>
            </w:tcBorders>
            <w:shd w:val="clear" w:color="auto" w:fill="auto"/>
            <w:noWrap/>
            <w:vAlign w:val="center"/>
            <w:hideMark/>
          </w:tcPr>
          <w:p w14:paraId="11EAA3D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r>
      <w:tr w:rsidR="00B33EEE" w:rsidRPr="00B33EEE" w14:paraId="11EAA3FF"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3D9"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3DA"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3D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3D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1.81</w:t>
            </w:r>
          </w:p>
        </w:tc>
        <w:tc>
          <w:tcPr>
            <w:tcW w:w="360" w:type="dxa"/>
            <w:tcBorders>
              <w:top w:val="nil"/>
              <w:left w:val="nil"/>
              <w:bottom w:val="single" w:sz="4" w:space="0" w:color="auto"/>
              <w:right w:val="single" w:sz="4" w:space="0" w:color="auto"/>
            </w:tcBorders>
            <w:shd w:val="clear" w:color="auto" w:fill="auto"/>
            <w:noWrap/>
            <w:vAlign w:val="center"/>
            <w:hideMark/>
          </w:tcPr>
          <w:p w14:paraId="11EAA3D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D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D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0" w:type="dxa"/>
            <w:tcBorders>
              <w:top w:val="nil"/>
              <w:left w:val="nil"/>
              <w:bottom w:val="single" w:sz="4" w:space="0" w:color="auto"/>
              <w:right w:val="single" w:sz="4" w:space="0" w:color="auto"/>
            </w:tcBorders>
            <w:shd w:val="clear" w:color="auto" w:fill="auto"/>
            <w:noWrap/>
            <w:vAlign w:val="center"/>
            <w:hideMark/>
          </w:tcPr>
          <w:p w14:paraId="11EAA3E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E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E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3E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2.06</w:t>
            </w:r>
          </w:p>
        </w:tc>
        <w:tc>
          <w:tcPr>
            <w:tcW w:w="360" w:type="dxa"/>
            <w:tcBorders>
              <w:top w:val="nil"/>
              <w:left w:val="nil"/>
              <w:bottom w:val="single" w:sz="4" w:space="0" w:color="auto"/>
              <w:right w:val="single" w:sz="4" w:space="0" w:color="auto"/>
            </w:tcBorders>
            <w:shd w:val="clear" w:color="auto" w:fill="auto"/>
            <w:noWrap/>
            <w:vAlign w:val="center"/>
            <w:hideMark/>
          </w:tcPr>
          <w:p w14:paraId="11EAA3E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1.06</w:t>
            </w:r>
          </w:p>
        </w:tc>
        <w:tc>
          <w:tcPr>
            <w:tcW w:w="360" w:type="dxa"/>
            <w:tcBorders>
              <w:top w:val="nil"/>
              <w:left w:val="nil"/>
              <w:bottom w:val="single" w:sz="4" w:space="0" w:color="auto"/>
              <w:right w:val="single" w:sz="4" w:space="0" w:color="auto"/>
            </w:tcBorders>
            <w:shd w:val="clear" w:color="auto" w:fill="auto"/>
            <w:noWrap/>
            <w:vAlign w:val="center"/>
            <w:hideMark/>
          </w:tcPr>
          <w:p w14:paraId="11EAA3E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3E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3E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3E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2.81</w:t>
            </w:r>
          </w:p>
        </w:tc>
        <w:tc>
          <w:tcPr>
            <w:tcW w:w="361" w:type="dxa"/>
            <w:tcBorders>
              <w:top w:val="nil"/>
              <w:left w:val="nil"/>
              <w:bottom w:val="single" w:sz="4" w:space="0" w:color="auto"/>
              <w:right w:val="single" w:sz="4" w:space="0" w:color="auto"/>
            </w:tcBorders>
            <w:shd w:val="clear" w:color="auto" w:fill="auto"/>
            <w:noWrap/>
            <w:vAlign w:val="center"/>
            <w:hideMark/>
          </w:tcPr>
          <w:p w14:paraId="11EAA3E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1" w:type="dxa"/>
            <w:tcBorders>
              <w:top w:val="nil"/>
              <w:left w:val="nil"/>
              <w:bottom w:val="single" w:sz="4" w:space="0" w:color="auto"/>
              <w:right w:val="single" w:sz="4" w:space="0" w:color="auto"/>
            </w:tcBorders>
            <w:shd w:val="clear" w:color="auto" w:fill="auto"/>
            <w:noWrap/>
            <w:vAlign w:val="center"/>
            <w:hideMark/>
          </w:tcPr>
          <w:p w14:paraId="11EAA3E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E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E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3E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2.00</w:t>
            </w:r>
          </w:p>
        </w:tc>
        <w:tc>
          <w:tcPr>
            <w:tcW w:w="361" w:type="dxa"/>
            <w:tcBorders>
              <w:top w:val="nil"/>
              <w:left w:val="nil"/>
              <w:bottom w:val="single" w:sz="4" w:space="0" w:color="auto"/>
              <w:right w:val="single" w:sz="4" w:space="0" w:color="auto"/>
            </w:tcBorders>
            <w:shd w:val="clear" w:color="auto" w:fill="auto"/>
            <w:noWrap/>
            <w:vAlign w:val="center"/>
            <w:hideMark/>
          </w:tcPr>
          <w:p w14:paraId="11EAA3E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1.88</w:t>
            </w:r>
          </w:p>
        </w:tc>
        <w:tc>
          <w:tcPr>
            <w:tcW w:w="361" w:type="dxa"/>
            <w:tcBorders>
              <w:top w:val="nil"/>
              <w:left w:val="nil"/>
              <w:bottom w:val="single" w:sz="4" w:space="0" w:color="auto"/>
              <w:right w:val="single" w:sz="4" w:space="0" w:color="auto"/>
            </w:tcBorders>
            <w:shd w:val="clear" w:color="auto" w:fill="auto"/>
            <w:noWrap/>
            <w:vAlign w:val="center"/>
            <w:hideMark/>
          </w:tcPr>
          <w:p w14:paraId="11EAA3E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3F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1" w:type="dxa"/>
            <w:tcBorders>
              <w:top w:val="nil"/>
              <w:left w:val="nil"/>
              <w:bottom w:val="single" w:sz="4" w:space="0" w:color="auto"/>
              <w:right w:val="single" w:sz="4" w:space="0" w:color="auto"/>
            </w:tcBorders>
            <w:shd w:val="clear" w:color="auto" w:fill="auto"/>
            <w:noWrap/>
            <w:vAlign w:val="center"/>
            <w:hideMark/>
          </w:tcPr>
          <w:p w14:paraId="11EAA3F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4.81</w:t>
            </w:r>
          </w:p>
        </w:tc>
        <w:tc>
          <w:tcPr>
            <w:tcW w:w="361" w:type="dxa"/>
            <w:tcBorders>
              <w:top w:val="nil"/>
              <w:left w:val="nil"/>
              <w:bottom w:val="single" w:sz="4" w:space="0" w:color="auto"/>
              <w:right w:val="single" w:sz="4" w:space="0" w:color="auto"/>
            </w:tcBorders>
            <w:shd w:val="clear" w:color="auto" w:fill="auto"/>
            <w:noWrap/>
            <w:vAlign w:val="center"/>
            <w:hideMark/>
          </w:tcPr>
          <w:p w14:paraId="11EAA3F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F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3F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1" w:type="dxa"/>
            <w:tcBorders>
              <w:top w:val="nil"/>
              <w:left w:val="nil"/>
              <w:bottom w:val="single" w:sz="4" w:space="0" w:color="auto"/>
              <w:right w:val="single" w:sz="4" w:space="0" w:color="auto"/>
            </w:tcBorders>
            <w:shd w:val="clear" w:color="auto" w:fill="auto"/>
            <w:noWrap/>
            <w:vAlign w:val="center"/>
            <w:hideMark/>
          </w:tcPr>
          <w:p w14:paraId="11EAA3F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F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3F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1.25</w:t>
            </w:r>
          </w:p>
        </w:tc>
        <w:tc>
          <w:tcPr>
            <w:tcW w:w="361" w:type="dxa"/>
            <w:tcBorders>
              <w:top w:val="nil"/>
              <w:left w:val="nil"/>
              <w:bottom w:val="single" w:sz="4" w:space="0" w:color="auto"/>
              <w:right w:val="single" w:sz="4" w:space="0" w:color="auto"/>
            </w:tcBorders>
            <w:shd w:val="clear" w:color="auto" w:fill="auto"/>
            <w:noWrap/>
            <w:vAlign w:val="center"/>
            <w:hideMark/>
          </w:tcPr>
          <w:p w14:paraId="11EAA3F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1.44</w:t>
            </w:r>
          </w:p>
        </w:tc>
        <w:tc>
          <w:tcPr>
            <w:tcW w:w="361" w:type="dxa"/>
            <w:tcBorders>
              <w:top w:val="nil"/>
              <w:left w:val="nil"/>
              <w:bottom w:val="single" w:sz="4" w:space="0" w:color="auto"/>
              <w:right w:val="single" w:sz="4" w:space="0" w:color="auto"/>
            </w:tcBorders>
            <w:shd w:val="clear" w:color="auto" w:fill="auto"/>
            <w:noWrap/>
            <w:vAlign w:val="center"/>
            <w:hideMark/>
          </w:tcPr>
          <w:p w14:paraId="11EAA3F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F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F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3F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3F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1.38</w:t>
            </w:r>
          </w:p>
        </w:tc>
        <w:tc>
          <w:tcPr>
            <w:tcW w:w="361" w:type="dxa"/>
            <w:tcBorders>
              <w:top w:val="nil"/>
              <w:left w:val="nil"/>
              <w:bottom w:val="single" w:sz="4" w:space="0" w:color="auto"/>
              <w:right w:val="single" w:sz="4" w:space="0" w:color="auto"/>
            </w:tcBorders>
            <w:shd w:val="clear" w:color="auto" w:fill="auto"/>
            <w:noWrap/>
            <w:vAlign w:val="center"/>
            <w:hideMark/>
          </w:tcPr>
          <w:p w14:paraId="11EAA3F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1.50</w:t>
            </w:r>
          </w:p>
        </w:tc>
      </w:tr>
      <w:tr w:rsidR="00B33EEE" w:rsidRPr="00B33EEE" w14:paraId="11EAA426" w14:textId="77777777" w:rsidTr="00B66372">
        <w:trPr>
          <w:trHeight w:hRule="exact" w:val="397"/>
        </w:trPr>
        <w:tc>
          <w:tcPr>
            <w:tcW w:w="398"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A400"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Proserpine</w:t>
            </w:r>
          </w:p>
        </w:tc>
        <w:tc>
          <w:tcPr>
            <w:tcW w:w="895" w:type="dxa"/>
            <w:tcBorders>
              <w:top w:val="nil"/>
              <w:left w:val="nil"/>
              <w:bottom w:val="single" w:sz="4" w:space="0" w:color="auto"/>
              <w:right w:val="single" w:sz="4" w:space="0" w:color="auto"/>
            </w:tcBorders>
            <w:shd w:val="clear" w:color="auto" w:fill="auto"/>
            <w:noWrap/>
            <w:vAlign w:val="center"/>
            <w:hideMark/>
          </w:tcPr>
          <w:p w14:paraId="11EAA401"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Hayman</w:t>
            </w:r>
          </w:p>
        </w:tc>
        <w:tc>
          <w:tcPr>
            <w:tcW w:w="320" w:type="dxa"/>
            <w:tcBorders>
              <w:top w:val="nil"/>
              <w:left w:val="nil"/>
              <w:bottom w:val="single" w:sz="4" w:space="0" w:color="auto"/>
              <w:right w:val="single" w:sz="4" w:space="0" w:color="auto"/>
            </w:tcBorders>
            <w:shd w:val="clear" w:color="auto" w:fill="auto"/>
            <w:noWrap/>
            <w:vAlign w:val="center"/>
            <w:hideMark/>
          </w:tcPr>
          <w:p w14:paraId="11EAA40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40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3.80</w:t>
            </w:r>
          </w:p>
        </w:tc>
        <w:tc>
          <w:tcPr>
            <w:tcW w:w="360" w:type="dxa"/>
            <w:tcBorders>
              <w:top w:val="nil"/>
              <w:left w:val="nil"/>
              <w:bottom w:val="single" w:sz="4" w:space="0" w:color="auto"/>
              <w:right w:val="single" w:sz="4" w:space="0" w:color="auto"/>
            </w:tcBorders>
            <w:shd w:val="clear" w:color="auto" w:fill="auto"/>
            <w:noWrap/>
            <w:vAlign w:val="center"/>
            <w:hideMark/>
          </w:tcPr>
          <w:p w14:paraId="11EAA40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0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0" w:type="dxa"/>
            <w:tcBorders>
              <w:top w:val="nil"/>
              <w:left w:val="nil"/>
              <w:bottom w:val="single" w:sz="4" w:space="0" w:color="auto"/>
              <w:right w:val="single" w:sz="4" w:space="0" w:color="auto"/>
            </w:tcBorders>
            <w:shd w:val="clear" w:color="auto" w:fill="auto"/>
            <w:noWrap/>
            <w:vAlign w:val="center"/>
            <w:hideMark/>
          </w:tcPr>
          <w:p w14:paraId="11EAA40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0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1.90</w:t>
            </w:r>
          </w:p>
        </w:tc>
        <w:tc>
          <w:tcPr>
            <w:tcW w:w="360" w:type="dxa"/>
            <w:tcBorders>
              <w:top w:val="nil"/>
              <w:left w:val="nil"/>
              <w:bottom w:val="single" w:sz="4" w:space="0" w:color="auto"/>
              <w:right w:val="single" w:sz="4" w:space="0" w:color="auto"/>
            </w:tcBorders>
            <w:shd w:val="clear" w:color="auto" w:fill="auto"/>
            <w:noWrap/>
            <w:vAlign w:val="center"/>
            <w:hideMark/>
          </w:tcPr>
          <w:p w14:paraId="11EAA40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0.17</w:t>
            </w:r>
          </w:p>
        </w:tc>
        <w:tc>
          <w:tcPr>
            <w:tcW w:w="360" w:type="dxa"/>
            <w:tcBorders>
              <w:top w:val="nil"/>
              <w:left w:val="nil"/>
              <w:bottom w:val="single" w:sz="4" w:space="0" w:color="auto"/>
              <w:right w:val="single" w:sz="4" w:space="0" w:color="auto"/>
            </w:tcBorders>
            <w:shd w:val="clear" w:color="auto" w:fill="auto"/>
            <w:noWrap/>
            <w:vAlign w:val="center"/>
            <w:hideMark/>
          </w:tcPr>
          <w:p w14:paraId="11EAA40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1.33</w:t>
            </w:r>
          </w:p>
        </w:tc>
        <w:tc>
          <w:tcPr>
            <w:tcW w:w="360" w:type="dxa"/>
            <w:tcBorders>
              <w:top w:val="nil"/>
              <w:left w:val="nil"/>
              <w:bottom w:val="single" w:sz="4" w:space="0" w:color="auto"/>
              <w:right w:val="single" w:sz="4" w:space="0" w:color="auto"/>
            </w:tcBorders>
            <w:shd w:val="clear" w:color="auto" w:fill="auto"/>
            <w:noWrap/>
            <w:vAlign w:val="center"/>
            <w:hideMark/>
          </w:tcPr>
          <w:p w14:paraId="11EAA40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0.90</w:t>
            </w:r>
          </w:p>
        </w:tc>
        <w:tc>
          <w:tcPr>
            <w:tcW w:w="360" w:type="dxa"/>
            <w:tcBorders>
              <w:top w:val="nil"/>
              <w:left w:val="nil"/>
              <w:bottom w:val="single" w:sz="4" w:space="0" w:color="auto"/>
              <w:right w:val="single" w:sz="4" w:space="0" w:color="auto"/>
            </w:tcBorders>
            <w:shd w:val="clear" w:color="auto" w:fill="auto"/>
            <w:noWrap/>
            <w:vAlign w:val="center"/>
            <w:hideMark/>
          </w:tcPr>
          <w:p w14:paraId="11EAA40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0" w:type="dxa"/>
            <w:tcBorders>
              <w:top w:val="nil"/>
              <w:left w:val="nil"/>
              <w:bottom w:val="single" w:sz="4" w:space="0" w:color="auto"/>
              <w:right w:val="single" w:sz="4" w:space="0" w:color="auto"/>
            </w:tcBorders>
            <w:shd w:val="clear" w:color="auto" w:fill="auto"/>
            <w:noWrap/>
            <w:vAlign w:val="center"/>
            <w:hideMark/>
          </w:tcPr>
          <w:p w14:paraId="11EAA40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1" w:type="dxa"/>
            <w:tcBorders>
              <w:top w:val="nil"/>
              <w:left w:val="nil"/>
              <w:bottom w:val="single" w:sz="4" w:space="0" w:color="auto"/>
              <w:right w:val="single" w:sz="4" w:space="0" w:color="auto"/>
            </w:tcBorders>
            <w:shd w:val="clear" w:color="auto" w:fill="auto"/>
            <w:noWrap/>
            <w:vAlign w:val="center"/>
            <w:hideMark/>
          </w:tcPr>
          <w:p w14:paraId="11EAA40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0.10</w:t>
            </w:r>
          </w:p>
        </w:tc>
        <w:tc>
          <w:tcPr>
            <w:tcW w:w="361" w:type="dxa"/>
            <w:tcBorders>
              <w:top w:val="nil"/>
              <w:left w:val="nil"/>
              <w:bottom w:val="single" w:sz="4" w:space="0" w:color="auto"/>
              <w:right w:val="single" w:sz="4" w:space="0" w:color="auto"/>
            </w:tcBorders>
            <w:shd w:val="clear" w:color="auto" w:fill="auto"/>
            <w:noWrap/>
            <w:vAlign w:val="center"/>
            <w:hideMark/>
          </w:tcPr>
          <w:p w14:paraId="11EAA40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1" w:type="dxa"/>
            <w:tcBorders>
              <w:top w:val="nil"/>
              <w:left w:val="nil"/>
              <w:bottom w:val="single" w:sz="4" w:space="0" w:color="auto"/>
              <w:right w:val="single" w:sz="4" w:space="0" w:color="auto"/>
            </w:tcBorders>
            <w:shd w:val="clear" w:color="auto" w:fill="auto"/>
            <w:noWrap/>
            <w:vAlign w:val="center"/>
            <w:hideMark/>
          </w:tcPr>
          <w:p w14:paraId="11EAA40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0.23</w:t>
            </w:r>
          </w:p>
        </w:tc>
        <w:tc>
          <w:tcPr>
            <w:tcW w:w="361" w:type="dxa"/>
            <w:tcBorders>
              <w:top w:val="nil"/>
              <w:left w:val="nil"/>
              <w:bottom w:val="single" w:sz="4" w:space="0" w:color="auto"/>
              <w:right w:val="single" w:sz="4" w:space="0" w:color="auto"/>
            </w:tcBorders>
            <w:shd w:val="clear" w:color="auto" w:fill="auto"/>
            <w:noWrap/>
            <w:vAlign w:val="center"/>
            <w:hideMark/>
          </w:tcPr>
          <w:p w14:paraId="11EAA41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1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A41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1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0.57</w:t>
            </w:r>
          </w:p>
        </w:tc>
        <w:tc>
          <w:tcPr>
            <w:tcW w:w="361" w:type="dxa"/>
            <w:tcBorders>
              <w:top w:val="nil"/>
              <w:left w:val="nil"/>
              <w:bottom w:val="single" w:sz="4" w:space="0" w:color="auto"/>
              <w:right w:val="single" w:sz="4" w:space="0" w:color="auto"/>
            </w:tcBorders>
            <w:shd w:val="clear" w:color="auto" w:fill="auto"/>
            <w:noWrap/>
            <w:vAlign w:val="center"/>
            <w:hideMark/>
          </w:tcPr>
          <w:p w14:paraId="11EAA41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2.30</w:t>
            </w:r>
          </w:p>
        </w:tc>
        <w:tc>
          <w:tcPr>
            <w:tcW w:w="361" w:type="dxa"/>
            <w:tcBorders>
              <w:top w:val="nil"/>
              <w:left w:val="nil"/>
              <w:bottom w:val="single" w:sz="4" w:space="0" w:color="auto"/>
              <w:right w:val="single" w:sz="4" w:space="0" w:color="auto"/>
            </w:tcBorders>
            <w:shd w:val="clear" w:color="auto" w:fill="auto"/>
            <w:noWrap/>
            <w:vAlign w:val="center"/>
            <w:hideMark/>
          </w:tcPr>
          <w:p w14:paraId="11EAA41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11.63</w:t>
            </w:r>
          </w:p>
        </w:tc>
        <w:tc>
          <w:tcPr>
            <w:tcW w:w="361" w:type="dxa"/>
            <w:tcBorders>
              <w:top w:val="nil"/>
              <w:left w:val="nil"/>
              <w:bottom w:val="single" w:sz="4" w:space="0" w:color="auto"/>
              <w:right w:val="single" w:sz="4" w:space="0" w:color="auto"/>
            </w:tcBorders>
            <w:shd w:val="clear" w:color="auto" w:fill="auto"/>
            <w:noWrap/>
            <w:vAlign w:val="center"/>
            <w:hideMark/>
          </w:tcPr>
          <w:p w14:paraId="11EAA41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0.53</w:t>
            </w:r>
          </w:p>
        </w:tc>
        <w:tc>
          <w:tcPr>
            <w:tcW w:w="361" w:type="dxa"/>
            <w:tcBorders>
              <w:top w:val="nil"/>
              <w:left w:val="nil"/>
              <w:bottom w:val="single" w:sz="4" w:space="0" w:color="auto"/>
              <w:right w:val="single" w:sz="4" w:space="0" w:color="auto"/>
            </w:tcBorders>
            <w:shd w:val="clear" w:color="auto" w:fill="auto"/>
            <w:noWrap/>
            <w:vAlign w:val="center"/>
            <w:hideMark/>
          </w:tcPr>
          <w:p w14:paraId="11EAA41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0.83</w:t>
            </w:r>
          </w:p>
        </w:tc>
        <w:tc>
          <w:tcPr>
            <w:tcW w:w="361" w:type="dxa"/>
            <w:tcBorders>
              <w:top w:val="nil"/>
              <w:left w:val="nil"/>
              <w:bottom w:val="single" w:sz="4" w:space="0" w:color="auto"/>
              <w:right w:val="single" w:sz="4" w:space="0" w:color="auto"/>
            </w:tcBorders>
            <w:shd w:val="clear" w:color="auto" w:fill="auto"/>
            <w:noWrap/>
            <w:vAlign w:val="center"/>
            <w:hideMark/>
          </w:tcPr>
          <w:p w14:paraId="11EAA41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3.13</w:t>
            </w:r>
          </w:p>
        </w:tc>
        <w:tc>
          <w:tcPr>
            <w:tcW w:w="361" w:type="dxa"/>
            <w:tcBorders>
              <w:top w:val="nil"/>
              <w:left w:val="nil"/>
              <w:bottom w:val="single" w:sz="4" w:space="0" w:color="auto"/>
              <w:right w:val="single" w:sz="4" w:space="0" w:color="auto"/>
            </w:tcBorders>
            <w:shd w:val="clear" w:color="auto" w:fill="auto"/>
            <w:noWrap/>
            <w:vAlign w:val="center"/>
            <w:hideMark/>
          </w:tcPr>
          <w:p w14:paraId="11EAA41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0.17</w:t>
            </w:r>
          </w:p>
        </w:tc>
        <w:tc>
          <w:tcPr>
            <w:tcW w:w="361" w:type="dxa"/>
            <w:tcBorders>
              <w:top w:val="nil"/>
              <w:left w:val="nil"/>
              <w:bottom w:val="single" w:sz="4" w:space="0" w:color="auto"/>
              <w:right w:val="single" w:sz="4" w:space="0" w:color="auto"/>
            </w:tcBorders>
            <w:shd w:val="clear" w:color="auto" w:fill="auto"/>
            <w:noWrap/>
            <w:vAlign w:val="center"/>
            <w:hideMark/>
          </w:tcPr>
          <w:p w14:paraId="11EAA41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0.73</w:t>
            </w:r>
          </w:p>
        </w:tc>
        <w:tc>
          <w:tcPr>
            <w:tcW w:w="361" w:type="dxa"/>
            <w:tcBorders>
              <w:top w:val="nil"/>
              <w:left w:val="nil"/>
              <w:bottom w:val="single" w:sz="4" w:space="0" w:color="auto"/>
              <w:right w:val="single" w:sz="4" w:space="0" w:color="auto"/>
            </w:tcBorders>
            <w:shd w:val="clear" w:color="auto" w:fill="auto"/>
            <w:noWrap/>
            <w:vAlign w:val="center"/>
            <w:hideMark/>
          </w:tcPr>
          <w:p w14:paraId="11EAA41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41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1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0.20</w:t>
            </w:r>
          </w:p>
        </w:tc>
        <w:tc>
          <w:tcPr>
            <w:tcW w:w="361" w:type="dxa"/>
            <w:tcBorders>
              <w:top w:val="nil"/>
              <w:left w:val="nil"/>
              <w:bottom w:val="single" w:sz="4" w:space="0" w:color="auto"/>
              <w:right w:val="single" w:sz="4" w:space="0" w:color="auto"/>
            </w:tcBorders>
            <w:shd w:val="clear" w:color="auto" w:fill="auto"/>
            <w:noWrap/>
            <w:vAlign w:val="center"/>
            <w:hideMark/>
          </w:tcPr>
          <w:p w14:paraId="11EAA41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1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2.13</w:t>
            </w:r>
          </w:p>
        </w:tc>
        <w:tc>
          <w:tcPr>
            <w:tcW w:w="361" w:type="dxa"/>
            <w:tcBorders>
              <w:top w:val="nil"/>
              <w:left w:val="nil"/>
              <w:bottom w:val="single" w:sz="4" w:space="0" w:color="auto"/>
              <w:right w:val="single" w:sz="4" w:space="0" w:color="auto"/>
            </w:tcBorders>
            <w:shd w:val="clear" w:color="auto" w:fill="auto"/>
            <w:noWrap/>
            <w:vAlign w:val="center"/>
            <w:hideMark/>
          </w:tcPr>
          <w:p w14:paraId="11EAA42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2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1.80</w:t>
            </w:r>
          </w:p>
        </w:tc>
        <w:tc>
          <w:tcPr>
            <w:tcW w:w="361" w:type="dxa"/>
            <w:tcBorders>
              <w:top w:val="nil"/>
              <w:left w:val="nil"/>
              <w:bottom w:val="single" w:sz="4" w:space="0" w:color="auto"/>
              <w:right w:val="single" w:sz="4" w:space="0" w:color="auto"/>
            </w:tcBorders>
            <w:shd w:val="clear" w:color="auto" w:fill="auto"/>
            <w:noWrap/>
            <w:vAlign w:val="center"/>
            <w:hideMark/>
          </w:tcPr>
          <w:p w14:paraId="11EAA42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A42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0.20</w:t>
            </w:r>
          </w:p>
        </w:tc>
        <w:tc>
          <w:tcPr>
            <w:tcW w:w="361" w:type="dxa"/>
            <w:tcBorders>
              <w:top w:val="nil"/>
              <w:left w:val="nil"/>
              <w:bottom w:val="single" w:sz="4" w:space="0" w:color="auto"/>
              <w:right w:val="single" w:sz="4" w:space="0" w:color="auto"/>
            </w:tcBorders>
            <w:shd w:val="clear" w:color="auto" w:fill="auto"/>
            <w:noWrap/>
            <w:vAlign w:val="center"/>
            <w:hideMark/>
          </w:tcPr>
          <w:p w14:paraId="11EAA42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0.23</w:t>
            </w:r>
          </w:p>
        </w:tc>
        <w:tc>
          <w:tcPr>
            <w:tcW w:w="361" w:type="dxa"/>
            <w:tcBorders>
              <w:top w:val="nil"/>
              <w:left w:val="nil"/>
              <w:bottom w:val="single" w:sz="4" w:space="0" w:color="auto"/>
              <w:right w:val="single" w:sz="4" w:space="0" w:color="auto"/>
            </w:tcBorders>
            <w:shd w:val="clear" w:color="auto" w:fill="auto"/>
            <w:noWrap/>
            <w:vAlign w:val="center"/>
            <w:hideMark/>
          </w:tcPr>
          <w:p w14:paraId="11EAA42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0.57</w:t>
            </w:r>
          </w:p>
        </w:tc>
      </w:tr>
      <w:tr w:rsidR="00B33EEE" w:rsidRPr="00B33EEE" w14:paraId="11EAA44D"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427"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tcBorders>
              <w:top w:val="nil"/>
              <w:left w:val="nil"/>
              <w:bottom w:val="single" w:sz="4" w:space="0" w:color="auto"/>
              <w:right w:val="single" w:sz="4" w:space="0" w:color="auto"/>
            </w:tcBorders>
            <w:shd w:val="clear" w:color="auto" w:fill="auto"/>
            <w:noWrap/>
            <w:vAlign w:val="center"/>
            <w:hideMark/>
          </w:tcPr>
          <w:p w14:paraId="11EAA428"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Langford</w:t>
            </w:r>
          </w:p>
        </w:tc>
        <w:tc>
          <w:tcPr>
            <w:tcW w:w="320" w:type="dxa"/>
            <w:tcBorders>
              <w:top w:val="nil"/>
              <w:left w:val="nil"/>
              <w:bottom w:val="single" w:sz="4" w:space="0" w:color="auto"/>
              <w:right w:val="single" w:sz="4" w:space="0" w:color="auto"/>
            </w:tcBorders>
            <w:shd w:val="clear" w:color="auto" w:fill="auto"/>
            <w:noWrap/>
            <w:vAlign w:val="center"/>
            <w:hideMark/>
          </w:tcPr>
          <w:p w14:paraId="11EAA42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42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2.63</w:t>
            </w:r>
          </w:p>
        </w:tc>
        <w:tc>
          <w:tcPr>
            <w:tcW w:w="360" w:type="dxa"/>
            <w:tcBorders>
              <w:top w:val="nil"/>
              <w:left w:val="nil"/>
              <w:bottom w:val="single" w:sz="4" w:space="0" w:color="auto"/>
              <w:right w:val="single" w:sz="4" w:space="0" w:color="auto"/>
            </w:tcBorders>
            <w:shd w:val="clear" w:color="auto" w:fill="auto"/>
            <w:noWrap/>
            <w:vAlign w:val="center"/>
            <w:hideMark/>
          </w:tcPr>
          <w:p w14:paraId="11EAA42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2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2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0" w:type="dxa"/>
            <w:tcBorders>
              <w:top w:val="nil"/>
              <w:left w:val="nil"/>
              <w:bottom w:val="single" w:sz="4" w:space="0" w:color="auto"/>
              <w:right w:val="single" w:sz="4" w:space="0" w:color="auto"/>
            </w:tcBorders>
            <w:shd w:val="clear" w:color="auto" w:fill="auto"/>
            <w:noWrap/>
            <w:vAlign w:val="center"/>
            <w:hideMark/>
          </w:tcPr>
          <w:p w14:paraId="11EAA42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0.80</w:t>
            </w:r>
          </w:p>
        </w:tc>
        <w:tc>
          <w:tcPr>
            <w:tcW w:w="360" w:type="dxa"/>
            <w:tcBorders>
              <w:top w:val="nil"/>
              <w:left w:val="nil"/>
              <w:bottom w:val="single" w:sz="4" w:space="0" w:color="auto"/>
              <w:right w:val="single" w:sz="4" w:space="0" w:color="auto"/>
            </w:tcBorders>
            <w:shd w:val="clear" w:color="auto" w:fill="auto"/>
            <w:noWrap/>
            <w:vAlign w:val="center"/>
            <w:hideMark/>
          </w:tcPr>
          <w:p w14:paraId="11EAA42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3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1.50</w:t>
            </w:r>
          </w:p>
        </w:tc>
        <w:tc>
          <w:tcPr>
            <w:tcW w:w="360" w:type="dxa"/>
            <w:tcBorders>
              <w:top w:val="nil"/>
              <w:left w:val="nil"/>
              <w:bottom w:val="single" w:sz="4" w:space="0" w:color="auto"/>
              <w:right w:val="single" w:sz="4" w:space="0" w:color="auto"/>
            </w:tcBorders>
            <w:shd w:val="clear" w:color="auto" w:fill="auto"/>
            <w:noWrap/>
            <w:vAlign w:val="center"/>
            <w:hideMark/>
          </w:tcPr>
          <w:p w14:paraId="11EAA43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1.30</w:t>
            </w:r>
          </w:p>
        </w:tc>
        <w:tc>
          <w:tcPr>
            <w:tcW w:w="360" w:type="dxa"/>
            <w:tcBorders>
              <w:top w:val="nil"/>
              <w:left w:val="nil"/>
              <w:bottom w:val="single" w:sz="4" w:space="0" w:color="auto"/>
              <w:right w:val="single" w:sz="4" w:space="0" w:color="auto"/>
            </w:tcBorders>
            <w:shd w:val="clear" w:color="auto" w:fill="auto"/>
            <w:noWrap/>
            <w:vAlign w:val="center"/>
            <w:hideMark/>
          </w:tcPr>
          <w:p w14:paraId="11EAA43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0.43</w:t>
            </w:r>
          </w:p>
        </w:tc>
        <w:tc>
          <w:tcPr>
            <w:tcW w:w="360" w:type="dxa"/>
            <w:tcBorders>
              <w:top w:val="nil"/>
              <w:left w:val="nil"/>
              <w:bottom w:val="single" w:sz="4" w:space="0" w:color="auto"/>
              <w:right w:val="single" w:sz="4" w:space="0" w:color="auto"/>
            </w:tcBorders>
            <w:shd w:val="clear" w:color="auto" w:fill="auto"/>
            <w:noWrap/>
            <w:vAlign w:val="center"/>
            <w:hideMark/>
          </w:tcPr>
          <w:p w14:paraId="11EAA43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3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3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43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6.10</w:t>
            </w:r>
          </w:p>
        </w:tc>
        <w:tc>
          <w:tcPr>
            <w:tcW w:w="361" w:type="dxa"/>
            <w:tcBorders>
              <w:top w:val="nil"/>
              <w:left w:val="nil"/>
              <w:bottom w:val="single" w:sz="4" w:space="0" w:color="auto"/>
              <w:right w:val="single" w:sz="4" w:space="0" w:color="auto"/>
            </w:tcBorders>
            <w:shd w:val="clear" w:color="auto" w:fill="auto"/>
            <w:noWrap/>
            <w:vAlign w:val="center"/>
            <w:hideMark/>
          </w:tcPr>
          <w:p w14:paraId="11EAA43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0.23</w:t>
            </w:r>
          </w:p>
        </w:tc>
        <w:tc>
          <w:tcPr>
            <w:tcW w:w="361" w:type="dxa"/>
            <w:tcBorders>
              <w:top w:val="nil"/>
              <w:left w:val="nil"/>
              <w:bottom w:val="single" w:sz="4" w:space="0" w:color="auto"/>
              <w:right w:val="single" w:sz="4" w:space="0" w:color="auto"/>
            </w:tcBorders>
            <w:shd w:val="clear" w:color="auto" w:fill="auto"/>
            <w:noWrap/>
            <w:vAlign w:val="center"/>
            <w:hideMark/>
          </w:tcPr>
          <w:p w14:paraId="11EAA43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A43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3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0.70</w:t>
            </w:r>
          </w:p>
        </w:tc>
        <w:tc>
          <w:tcPr>
            <w:tcW w:w="361" w:type="dxa"/>
            <w:tcBorders>
              <w:top w:val="nil"/>
              <w:left w:val="nil"/>
              <w:bottom w:val="single" w:sz="4" w:space="0" w:color="auto"/>
              <w:right w:val="single" w:sz="4" w:space="0" w:color="auto"/>
            </w:tcBorders>
            <w:shd w:val="clear" w:color="auto" w:fill="auto"/>
            <w:noWrap/>
            <w:vAlign w:val="center"/>
            <w:hideMark/>
          </w:tcPr>
          <w:p w14:paraId="11EAA43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0.17</w:t>
            </w:r>
          </w:p>
        </w:tc>
        <w:tc>
          <w:tcPr>
            <w:tcW w:w="361" w:type="dxa"/>
            <w:tcBorders>
              <w:top w:val="nil"/>
              <w:left w:val="nil"/>
              <w:bottom w:val="single" w:sz="4" w:space="0" w:color="auto"/>
              <w:right w:val="single" w:sz="4" w:space="0" w:color="auto"/>
            </w:tcBorders>
            <w:shd w:val="clear" w:color="auto" w:fill="auto"/>
            <w:noWrap/>
            <w:vAlign w:val="center"/>
            <w:hideMark/>
          </w:tcPr>
          <w:p w14:paraId="11EAA43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1.13</w:t>
            </w:r>
          </w:p>
        </w:tc>
        <w:tc>
          <w:tcPr>
            <w:tcW w:w="361" w:type="dxa"/>
            <w:tcBorders>
              <w:top w:val="nil"/>
              <w:left w:val="nil"/>
              <w:bottom w:val="single" w:sz="4" w:space="0" w:color="auto"/>
              <w:right w:val="single" w:sz="4" w:space="0" w:color="auto"/>
            </w:tcBorders>
            <w:shd w:val="clear" w:color="auto" w:fill="auto"/>
            <w:noWrap/>
            <w:vAlign w:val="center"/>
            <w:hideMark/>
          </w:tcPr>
          <w:p w14:paraId="11EAA43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0.07</w:t>
            </w:r>
          </w:p>
        </w:tc>
        <w:tc>
          <w:tcPr>
            <w:tcW w:w="361" w:type="dxa"/>
            <w:tcBorders>
              <w:top w:val="nil"/>
              <w:left w:val="nil"/>
              <w:bottom w:val="single" w:sz="4" w:space="0" w:color="auto"/>
              <w:right w:val="single" w:sz="4" w:space="0" w:color="auto"/>
            </w:tcBorders>
            <w:shd w:val="clear" w:color="auto" w:fill="auto"/>
            <w:noWrap/>
            <w:vAlign w:val="center"/>
            <w:hideMark/>
          </w:tcPr>
          <w:p w14:paraId="11EAA43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A43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0.10</w:t>
            </w:r>
          </w:p>
        </w:tc>
        <w:tc>
          <w:tcPr>
            <w:tcW w:w="361" w:type="dxa"/>
            <w:tcBorders>
              <w:top w:val="nil"/>
              <w:left w:val="nil"/>
              <w:bottom w:val="single" w:sz="4" w:space="0" w:color="auto"/>
              <w:right w:val="single" w:sz="4" w:space="0" w:color="auto"/>
            </w:tcBorders>
            <w:shd w:val="clear" w:color="auto" w:fill="auto"/>
            <w:noWrap/>
            <w:vAlign w:val="center"/>
            <w:hideMark/>
          </w:tcPr>
          <w:p w14:paraId="11EAA44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3.00</w:t>
            </w:r>
          </w:p>
        </w:tc>
        <w:tc>
          <w:tcPr>
            <w:tcW w:w="361" w:type="dxa"/>
            <w:tcBorders>
              <w:top w:val="nil"/>
              <w:left w:val="nil"/>
              <w:bottom w:val="single" w:sz="4" w:space="0" w:color="auto"/>
              <w:right w:val="single" w:sz="4" w:space="0" w:color="auto"/>
            </w:tcBorders>
            <w:shd w:val="clear" w:color="auto" w:fill="auto"/>
            <w:noWrap/>
            <w:vAlign w:val="center"/>
            <w:hideMark/>
          </w:tcPr>
          <w:p w14:paraId="11EAA44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0.43</w:t>
            </w:r>
          </w:p>
        </w:tc>
        <w:tc>
          <w:tcPr>
            <w:tcW w:w="361" w:type="dxa"/>
            <w:tcBorders>
              <w:top w:val="nil"/>
              <w:left w:val="nil"/>
              <w:bottom w:val="single" w:sz="4" w:space="0" w:color="auto"/>
              <w:right w:val="single" w:sz="4" w:space="0" w:color="auto"/>
            </w:tcBorders>
            <w:shd w:val="clear" w:color="auto" w:fill="auto"/>
            <w:noWrap/>
            <w:vAlign w:val="center"/>
            <w:hideMark/>
          </w:tcPr>
          <w:p w14:paraId="11EAA44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0.10</w:t>
            </w:r>
          </w:p>
        </w:tc>
        <w:tc>
          <w:tcPr>
            <w:tcW w:w="361" w:type="dxa"/>
            <w:tcBorders>
              <w:top w:val="nil"/>
              <w:left w:val="nil"/>
              <w:bottom w:val="single" w:sz="4" w:space="0" w:color="auto"/>
              <w:right w:val="single" w:sz="4" w:space="0" w:color="auto"/>
            </w:tcBorders>
            <w:shd w:val="clear" w:color="auto" w:fill="auto"/>
            <w:noWrap/>
            <w:vAlign w:val="center"/>
            <w:hideMark/>
          </w:tcPr>
          <w:p w14:paraId="11EAA44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4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44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A44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4.13</w:t>
            </w:r>
          </w:p>
        </w:tc>
        <w:tc>
          <w:tcPr>
            <w:tcW w:w="361" w:type="dxa"/>
            <w:tcBorders>
              <w:top w:val="nil"/>
              <w:left w:val="nil"/>
              <w:bottom w:val="single" w:sz="4" w:space="0" w:color="auto"/>
              <w:right w:val="single" w:sz="4" w:space="0" w:color="auto"/>
            </w:tcBorders>
            <w:shd w:val="clear" w:color="auto" w:fill="auto"/>
            <w:noWrap/>
            <w:vAlign w:val="center"/>
            <w:hideMark/>
          </w:tcPr>
          <w:p w14:paraId="11EAA44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4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0.20</w:t>
            </w:r>
          </w:p>
        </w:tc>
        <w:tc>
          <w:tcPr>
            <w:tcW w:w="361" w:type="dxa"/>
            <w:tcBorders>
              <w:top w:val="nil"/>
              <w:left w:val="nil"/>
              <w:bottom w:val="single" w:sz="4" w:space="0" w:color="auto"/>
              <w:right w:val="single" w:sz="4" w:space="0" w:color="auto"/>
            </w:tcBorders>
            <w:shd w:val="clear" w:color="auto" w:fill="auto"/>
            <w:noWrap/>
            <w:vAlign w:val="center"/>
            <w:hideMark/>
          </w:tcPr>
          <w:p w14:paraId="11EAA44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A44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4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44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1.30</w:t>
            </w:r>
          </w:p>
        </w:tc>
      </w:tr>
      <w:tr w:rsidR="00B33EEE" w:rsidRPr="00B33EEE" w14:paraId="11EAA474"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44E"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tcBorders>
              <w:top w:val="nil"/>
              <w:left w:val="nil"/>
              <w:bottom w:val="single" w:sz="4" w:space="0" w:color="auto"/>
              <w:right w:val="single" w:sz="4" w:space="0" w:color="auto"/>
            </w:tcBorders>
            <w:shd w:val="clear" w:color="auto" w:fill="auto"/>
            <w:noWrap/>
            <w:vAlign w:val="center"/>
            <w:hideMark/>
          </w:tcPr>
          <w:p w14:paraId="11EAA44F"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Border</w:t>
            </w:r>
          </w:p>
        </w:tc>
        <w:tc>
          <w:tcPr>
            <w:tcW w:w="320" w:type="dxa"/>
            <w:tcBorders>
              <w:top w:val="nil"/>
              <w:left w:val="nil"/>
              <w:bottom w:val="single" w:sz="4" w:space="0" w:color="auto"/>
              <w:right w:val="single" w:sz="4" w:space="0" w:color="auto"/>
            </w:tcBorders>
            <w:shd w:val="clear" w:color="auto" w:fill="auto"/>
            <w:noWrap/>
            <w:vAlign w:val="center"/>
            <w:hideMark/>
          </w:tcPr>
          <w:p w14:paraId="11EAA45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45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2.97</w:t>
            </w:r>
          </w:p>
        </w:tc>
        <w:tc>
          <w:tcPr>
            <w:tcW w:w="360" w:type="dxa"/>
            <w:tcBorders>
              <w:top w:val="nil"/>
              <w:left w:val="nil"/>
              <w:bottom w:val="single" w:sz="4" w:space="0" w:color="auto"/>
              <w:right w:val="single" w:sz="4" w:space="0" w:color="auto"/>
            </w:tcBorders>
            <w:shd w:val="clear" w:color="auto" w:fill="auto"/>
            <w:noWrap/>
            <w:vAlign w:val="center"/>
            <w:hideMark/>
          </w:tcPr>
          <w:p w14:paraId="11EAA45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5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5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0.17</w:t>
            </w:r>
          </w:p>
        </w:tc>
        <w:tc>
          <w:tcPr>
            <w:tcW w:w="360" w:type="dxa"/>
            <w:tcBorders>
              <w:top w:val="nil"/>
              <w:left w:val="nil"/>
              <w:bottom w:val="single" w:sz="4" w:space="0" w:color="auto"/>
              <w:right w:val="single" w:sz="4" w:space="0" w:color="auto"/>
            </w:tcBorders>
            <w:shd w:val="clear" w:color="auto" w:fill="auto"/>
            <w:noWrap/>
            <w:vAlign w:val="center"/>
            <w:hideMark/>
          </w:tcPr>
          <w:p w14:paraId="11EAA45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0.43</w:t>
            </w:r>
          </w:p>
        </w:tc>
        <w:tc>
          <w:tcPr>
            <w:tcW w:w="360" w:type="dxa"/>
            <w:tcBorders>
              <w:top w:val="nil"/>
              <w:left w:val="nil"/>
              <w:bottom w:val="single" w:sz="4" w:space="0" w:color="auto"/>
              <w:right w:val="single" w:sz="4" w:space="0" w:color="auto"/>
            </w:tcBorders>
            <w:shd w:val="clear" w:color="auto" w:fill="auto"/>
            <w:noWrap/>
            <w:vAlign w:val="center"/>
            <w:hideMark/>
          </w:tcPr>
          <w:p w14:paraId="11EAA45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0.20</w:t>
            </w:r>
          </w:p>
        </w:tc>
        <w:tc>
          <w:tcPr>
            <w:tcW w:w="360" w:type="dxa"/>
            <w:tcBorders>
              <w:top w:val="nil"/>
              <w:left w:val="nil"/>
              <w:bottom w:val="single" w:sz="4" w:space="0" w:color="auto"/>
              <w:right w:val="single" w:sz="4" w:space="0" w:color="auto"/>
            </w:tcBorders>
            <w:shd w:val="clear" w:color="auto" w:fill="auto"/>
            <w:noWrap/>
            <w:vAlign w:val="center"/>
            <w:hideMark/>
          </w:tcPr>
          <w:p w14:paraId="11EAA45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0.33</w:t>
            </w:r>
          </w:p>
        </w:tc>
        <w:tc>
          <w:tcPr>
            <w:tcW w:w="360" w:type="dxa"/>
            <w:tcBorders>
              <w:top w:val="nil"/>
              <w:left w:val="nil"/>
              <w:bottom w:val="single" w:sz="4" w:space="0" w:color="auto"/>
              <w:right w:val="single" w:sz="4" w:space="0" w:color="auto"/>
            </w:tcBorders>
            <w:shd w:val="clear" w:color="auto" w:fill="auto"/>
            <w:noWrap/>
            <w:vAlign w:val="center"/>
            <w:hideMark/>
          </w:tcPr>
          <w:p w14:paraId="11EAA45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1.20</w:t>
            </w:r>
          </w:p>
        </w:tc>
        <w:tc>
          <w:tcPr>
            <w:tcW w:w="360" w:type="dxa"/>
            <w:tcBorders>
              <w:top w:val="nil"/>
              <w:left w:val="nil"/>
              <w:bottom w:val="single" w:sz="4" w:space="0" w:color="auto"/>
              <w:right w:val="single" w:sz="4" w:space="0" w:color="auto"/>
            </w:tcBorders>
            <w:shd w:val="clear" w:color="auto" w:fill="auto"/>
            <w:noWrap/>
            <w:vAlign w:val="center"/>
            <w:hideMark/>
          </w:tcPr>
          <w:p w14:paraId="11EAA45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0.37</w:t>
            </w:r>
          </w:p>
        </w:tc>
        <w:tc>
          <w:tcPr>
            <w:tcW w:w="360" w:type="dxa"/>
            <w:tcBorders>
              <w:top w:val="nil"/>
              <w:left w:val="nil"/>
              <w:bottom w:val="single" w:sz="4" w:space="0" w:color="auto"/>
              <w:right w:val="single" w:sz="4" w:space="0" w:color="auto"/>
            </w:tcBorders>
            <w:shd w:val="clear" w:color="auto" w:fill="auto"/>
            <w:noWrap/>
            <w:vAlign w:val="center"/>
            <w:hideMark/>
          </w:tcPr>
          <w:p w14:paraId="11EAA45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0.10</w:t>
            </w:r>
          </w:p>
        </w:tc>
        <w:tc>
          <w:tcPr>
            <w:tcW w:w="361" w:type="dxa"/>
            <w:tcBorders>
              <w:top w:val="nil"/>
              <w:left w:val="nil"/>
              <w:bottom w:val="single" w:sz="4" w:space="0" w:color="auto"/>
              <w:right w:val="single" w:sz="4" w:space="0" w:color="auto"/>
            </w:tcBorders>
            <w:shd w:val="clear" w:color="auto" w:fill="auto"/>
            <w:noWrap/>
            <w:vAlign w:val="center"/>
            <w:hideMark/>
          </w:tcPr>
          <w:p w14:paraId="11EAA45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0.10</w:t>
            </w:r>
          </w:p>
        </w:tc>
        <w:tc>
          <w:tcPr>
            <w:tcW w:w="361" w:type="dxa"/>
            <w:tcBorders>
              <w:top w:val="nil"/>
              <w:left w:val="nil"/>
              <w:bottom w:val="single" w:sz="4" w:space="0" w:color="auto"/>
              <w:right w:val="single" w:sz="4" w:space="0" w:color="auto"/>
            </w:tcBorders>
            <w:shd w:val="clear" w:color="auto" w:fill="auto"/>
            <w:noWrap/>
            <w:vAlign w:val="center"/>
            <w:hideMark/>
          </w:tcPr>
          <w:p w14:paraId="11EAA45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0.40</w:t>
            </w:r>
          </w:p>
        </w:tc>
        <w:tc>
          <w:tcPr>
            <w:tcW w:w="361" w:type="dxa"/>
            <w:tcBorders>
              <w:top w:val="nil"/>
              <w:left w:val="nil"/>
              <w:bottom w:val="single" w:sz="4" w:space="0" w:color="auto"/>
              <w:right w:val="single" w:sz="4" w:space="0" w:color="auto"/>
            </w:tcBorders>
            <w:shd w:val="clear" w:color="auto" w:fill="auto"/>
            <w:noWrap/>
            <w:vAlign w:val="center"/>
            <w:hideMark/>
          </w:tcPr>
          <w:p w14:paraId="11EAA45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11.50</w:t>
            </w:r>
          </w:p>
        </w:tc>
        <w:tc>
          <w:tcPr>
            <w:tcW w:w="361" w:type="dxa"/>
            <w:tcBorders>
              <w:top w:val="nil"/>
              <w:left w:val="nil"/>
              <w:bottom w:val="single" w:sz="4" w:space="0" w:color="auto"/>
              <w:right w:val="single" w:sz="4" w:space="0" w:color="auto"/>
            </w:tcBorders>
            <w:shd w:val="clear" w:color="auto" w:fill="auto"/>
            <w:noWrap/>
            <w:vAlign w:val="center"/>
            <w:hideMark/>
          </w:tcPr>
          <w:p w14:paraId="11EAA45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0.60</w:t>
            </w:r>
          </w:p>
        </w:tc>
        <w:tc>
          <w:tcPr>
            <w:tcW w:w="361" w:type="dxa"/>
            <w:tcBorders>
              <w:top w:val="nil"/>
              <w:left w:val="nil"/>
              <w:bottom w:val="single" w:sz="4" w:space="0" w:color="auto"/>
              <w:right w:val="single" w:sz="4" w:space="0" w:color="auto"/>
            </w:tcBorders>
            <w:shd w:val="clear" w:color="auto" w:fill="auto"/>
            <w:noWrap/>
            <w:vAlign w:val="center"/>
            <w:hideMark/>
          </w:tcPr>
          <w:p w14:paraId="11EAA45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6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6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1.23</w:t>
            </w:r>
          </w:p>
        </w:tc>
        <w:tc>
          <w:tcPr>
            <w:tcW w:w="361" w:type="dxa"/>
            <w:tcBorders>
              <w:top w:val="nil"/>
              <w:left w:val="nil"/>
              <w:bottom w:val="single" w:sz="4" w:space="0" w:color="auto"/>
              <w:right w:val="single" w:sz="4" w:space="0" w:color="auto"/>
            </w:tcBorders>
            <w:shd w:val="clear" w:color="auto" w:fill="auto"/>
            <w:noWrap/>
            <w:vAlign w:val="center"/>
            <w:hideMark/>
          </w:tcPr>
          <w:p w14:paraId="11EAA46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0.30</w:t>
            </w:r>
          </w:p>
        </w:tc>
        <w:tc>
          <w:tcPr>
            <w:tcW w:w="361" w:type="dxa"/>
            <w:tcBorders>
              <w:top w:val="nil"/>
              <w:left w:val="nil"/>
              <w:bottom w:val="single" w:sz="4" w:space="0" w:color="auto"/>
              <w:right w:val="single" w:sz="4" w:space="0" w:color="auto"/>
            </w:tcBorders>
            <w:shd w:val="clear" w:color="auto" w:fill="auto"/>
            <w:noWrap/>
            <w:vAlign w:val="center"/>
            <w:hideMark/>
          </w:tcPr>
          <w:p w14:paraId="11EAA46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1.17</w:t>
            </w:r>
          </w:p>
        </w:tc>
        <w:tc>
          <w:tcPr>
            <w:tcW w:w="361" w:type="dxa"/>
            <w:tcBorders>
              <w:top w:val="nil"/>
              <w:left w:val="nil"/>
              <w:bottom w:val="single" w:sz="4" w:space="0" w:color="auto"/>
              <w:right w:val="single" w:sz="4" w:space="0" w:color="auto"/>
            </w:tcBorders>
            <w:shd w:val="clear" w:color="auto" w:fill="auto"/>
            <w:noWrap/>
            <w:vAlign w:val="center"/>
            <w:hideMark/>
          </w:tcPr>
          <w:p w14:paraId="11EAA46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0.33</w:t>
            </w:r>
          </w:p>
        </w:tc>
        <w:tc>
          <w:tcPr>
            <w:tcW w:w="361" w:type="dxa"/>
            <w:tcBorders>
              <w:top w:val="nil"/>
              <w:left w:val="nil"/>
              <w:bottom w:val="single" w:sz="4" w:space="0" w:color="auto"/>
              <w:right w:val="single" w:sz="4" w:space="0" w:color="auto"/>
            </w:tcBorders>
            <w:shd w:val="clear" w:color="auto" w:fill="auto"/>
            <w:noWrap/>
            <w:vAlign w:val="center"/>
            <w:hideMark/>
          </w:tcPr>
          <w:p w14:paraId="11EAA46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0.67</w:t>
            </w:r>
          </w:p>
        </w:tc>
        <w:tc>
          <w:tcPr>
            <w:tcW w:w="361" w:type="dxa"/>
            <w:tcBorders>
              <w:top w:val="nil"/>
              <w:left w:val="nil"/>
              <w:bottom w:val="single" w:sz="4" w:space="0" w:color="auto"/>
              <w:right w:val="single" w:sz="4" w:space="0" w:color="auto"/>
            </w:tcBorders>
            <w:shd w:val="clear" w:color="auto" w:fill="auto"/>
            <w:noWrap/>
            <w:vAlign w:val="center"/>
            <w:hideMark/>
          </w:tcPr>
          <w:p w14:paraId="11EAA46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46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0.47</w:t>
            </w:r>
          </w:p>
        </w:tc>
        <w:tc>
          <w:tcPr>
            <w:tcW w:w="361" w:type="dxa"/>
            <w:tcBorders>
              <w:top w:val="nil"/>
              <w:left w:val="nil"/>
              <w:bottom w:val="single" w:sz="4" w:space="0" w:color="auto"/>
              <w:right w:val="single" w:sz="4" w:space="0" w:color="auto"/>
            </w:tcBorders>
            <w:shd w:val="clear" w:color="auto" w:fill="auto"/>
            <w:noWrap/>
            <w:vAlign w:val="center"/>
            <w:hideMark/>
          </w:tcPr>
          <w:p w14:paraId="11EAA46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1.07</w:t>
            </w:r>
          </w:p>
        </w:tc>
        <w:tc>
          <w:tcPr>
            <w:tcW w:w="361" w:type="dxa"/>
            <w:tcBorders>
              <w:top w:val="nil"/>
              <w:left w:val="nil"/>
              <w:bottom w:val="single" w:sz="4" w:space="0" w:color="auto"/>
              <w:right w:val="single" w:sz="4" w:space="0" w:color="auto"/>
            </w:tcBorders>
            <w:shd w:val="clear" w:color="auto" w:fill="auto"/>
            <w:noWrap/>
            <w:vAlign w:val="center"/>
            <w:hideMark/>
          </w:tcPr>
          <w:p w14:paraId="11EAA46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0.57</w:t>
            </w:r>
          </w:p>
        </w:tc>
        <w:tc>
          <w:tcPr>
            <w:tcW w:w="361" w:type="dxa"/>
            <w:tcBorders>
              <w:top w:val="nil"/>
              <w:left w:val="nil"/>
              <w:bottom w:val="single" w:sz="4" w:space="0" w:color="auto"/>
              <w:right w:val="single" w:sz="4" w:space="0" w:color="auto"/>
            </w:tcBorders>
            <w:shd w:val="clear" w:color="auto" w:fill="auto"/>
            <w:noWrap/>
            <w:vAlign w:val="center"/>
            <w:hideMark/>
          </w:tcPr>
          <w:p w14:paraId="11EAA46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6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0.23</w:t>
            </w:r>
          </w:p>
        </w:tc>
        <w:tc>
          <w:tcPr>
            <w:tcW w:w="361" w:type="dxa"/>
            <w:tcBorders>
              <w:top w:val="nil"/>
              <w:left w:val="nil"/>
              <w:bottom w:val="single" w:sz="4" w:space="0" w:color="auto"/>
              <w:right w:val="single" w:sz="4" w:space="0" w:color="auto"/>
            </w:tcBorders>
            <w:shd w:val="clear" w:color="auto" w:fill="auto"/>
            <w:noWrap/>
            <w:vAlign w:val="center"/>
            <w:hideMark/>
          </w:tcPr>
          <w:p w14:paraId="11EAA46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6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5.43</w:t>
            </w:r>
          </w:p>
        </w:tc>
        <w:tc>
          <w:tcPr>
            <w:tcW w:w="361" w:type="dxa"/>
            <w:tcBorders>
              <w:top w:val="nil"/>
              <w:left w:val="nil"/>
              <w:bottom w:val="single" w:sz="4" w:space="0" w:color="auto"/>
              <w:right w:val="single" w:sz="4" w:space="0" w:color="auto"/>
            </w:tcBorders>
            <w:shd w:val="clear" w:color="auto" w:fill="auto"/>
            <w:noWrap/>
            <w:vAlign w:val="center"/>
            <w:hideMark/>
          </w:tcPr>
          <w:p w14:paraId="11EAA46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6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0.97</w:t>
            </w:r>
          </w:p>
        </w:tc>
        <w:tc>
          <w:tcPr>
            <w:tcW w:w="361" w:type="dxa"/>
            <w:tcBorders>
              <w:top w:val="nil"/>
              <w:left w:val="nil"/>
              <w:bottom w:val="single" w:sz="4" w:space="0" w:color="auto"/>
              <w:right w:val="single" w:sz="4" w:space="0" w:color="auto"/>
            </w:tcBorders>
            <w:shd w:val="clear" w:color="auto" w:fill="auto"/>
            <w:noWrap/>
            <w:vAlign w:val="center"/>
            <w:hideMark/>
          </w:tcPr>
          <w:p w14:paraId="11EAA47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0.33</w:t>
            </w:r>
          </w:p>
        </w:tc>
        <w:tc>
          <w:tcPr>
            <w:tcW w:w="361" w:type="dxa"/>
            <w:tcBorders>
              <w:top w:val="nil"/>
              <w:left w:val="nil"/>
              <w:bottom w:val="single" w:sz="4" w:space="0" w:color="auto"/>
              <w:right w:val="single" w:sz="4" w:space="0" w:color="auto"/>
            </w:tcBorders>
            <w:shd w:val="clear" w:color="auto" w:fill="auto"/>
            <w:noWrap/>
            <w:vAlign w:val="center"/>
            <w:hideMark/>
          </w:tcPr>
          <w:p w14:paraId="11EAA47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0.03</w:t>
            </w:r>
          </w:p>
        </w:tc>
        <w:tc>
          <w:tcPr>
            <w:tcW w:w="361" w:type="dxa"/>
            <w:tcBorders>
              <w:top w:val="nil"/>
              <w:left w:val="nil"/>
              <w:bottom w:val="single" w:sz="4" w:space="0" w:color="auto"/>
              <w:right w:val="single" w:sz="4" w:space="0" w:color="auto"/>
            </w:tcBorders>
            <w:shd w:val="clear" w:color="auto" w:fill="auto"/>
            <w:noWrap/>
            <w:vAlign w:val="center"/>
            <w:hideMark/>
          </w:tcPr>
          <w:p w14:paraId="11EAA47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0.27</w:t>
            </w:r>
          </w:p>
        </w:tc>
        <w:tc>
          <w:tcPr>
            <w:tcW w:w="361" w:type="dxa"/>
            <w:tcBorders>
              <w:top w:val="nil"/>
              <w:left w:val="nil"/>
              <w:bottom w:val="single" w:sz="4" w:space="0" w:color="auto"/>
              <w:right w:val="single" w:sz="4" w:space="0" w:color="auto"/>
            </w:tcBorders>
            <w:shd w:val="clear" w:color="auto" w:fill="auto"/>
            <w:noWrap/>
            <w:vAlign w:val="center"/>
            <w:hideMark/>
          </w:tcPr>
          <w:p w14:paraId="11EAA47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r>
      <w:tr w:rsidR="00B33EEE" w:rsidRPr="00B33EEE" w14:paraId="11EAA49B"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475"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476"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Hook</w:t>
            </w:r>
          </w:p>
        </w:tc>
        <w:tc>
          <w:tcPr>
            <w:tcW w:w="320" w:type="dxa"/>
            <w:tcBorders>
              <w:top w:val="nil"/>
              <w:left w:val="nil"/>
              <w:bottom w:val="single" w:sz="4" w:space="0" w:color="auto"/>
              <w:right w:val="single" w:sz="4" w:space="0" w:color="auto"/>
            </w:tcBorders>
            <w:shd w:val="clear" w:color="auto" w:fill="auto"/>
            <w:noWrap/>
            <w:vAlign w:val="center"/>
            <w:hideMark/>
          </w:tcPr>
          <w:p w14:paraId="11EAA47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47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3.38</w:t>
            </w:r>
          </w:p>
        </w:tc>
        <w:tc>
          <w:tcPr>
            <w:tcW w:w="360" w:type="dxa"/>
            <w:tcBorders>
              <w:top w:val="nil"/>
              <w:left w:val="nil"/>
              <w:bottom w:val="single" w:sz="4" w:space="0" w:color="auto"/>
              <w:right w:val="single" w:sz="4" w:space="0" w:color="auto"/>
            </w:tcBorders>
            <w:shd w:val="clear" w:color="auto" w:fill="auto"/>
            <w:noWrap/>
            <w:vAlign w:val="center"/>
            <w:hideMark/>
          </w:tcPr>
          <w:p w14:paraId="11EAA47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7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7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47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1.38</w:t>
            </w:r>
          </w:p>
        </w:tc>
        <w:tc>
          <w:tcPr>
            <w:tcW w:w="360" w:type="dxa"/>
            <w:tcBorders>
              <w:top w:val="nil"/>
              <w:left w:val="nil"/>
              <w:bottom w:val="single" w:sz="4" w:space="0" w:color="auto"/>
              <w:right w:val="single" w:sz="4" w:space="0" w:color="auto"/>
            </w:tcBorders>
            <w:shd w:val="clear" w:color="auto" w:fill="auto"/>
            <w:noWrap/>
            <w:vAlign w:val="center"/>
            <w:hideMark/>
          </w:tcPr>
          <w:p w14:paraId="11EAA47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7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0" w:type="dxa"/>
            <w:tcBorders>
              <w:top w:val="nil"/>
              <w:left w:val="nil"/>
              <w:bottom w:val="single" w:sz="4" w:space="0" w:color="auto"/>
              <w:right w:val="single" w:sz="4" w:space="0" w:color="auto"/>
            </w:tcBorders>
            <w:shd w:val="clear" w:color="auto" w:fill="auto"/>
            <w:noWrap/>
            <w:vAlign w:val="center"/>
            <w:hideMark/>
          </w:tcPr>
          <w:p w14:paraId="11EAA47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0" w:type="dxa"/>
            <w:tcBorders>
              <w:top w:val="nil"/>
              <w:left w:val="nil"/>
              <w:bottom w:val="single" w:sz="4" w:space="0" w:color="auto"/>
              <w:right w:val="single" w:sz="4" w:space="0" w:color="auto"/>
            </w:tcBorders>
            <w:shd w:val="clear" w:color="auto" w:fill="auto"/>
            <w:noWrap/>
            <w:vAlign w:val="center"/>
            <w:hideMark/>
          </w:tcPr>
          <w:p w14:paraId="11EAA48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0" w:type="dxa"/>
            <w:tcBorders>
              <w:top w:val="nil"/>
              <w:left w:val="nil"/>
              <w:bottom w:val="single" w:sz="4" w:space="0" w:color="auto"/>
              <w:right w:val="single" w:sz="4" w:space="0" w:color="auto"/>
            </w:tcBorders>
            <w:shd w:val="clear" w:color="auto" w:fill="auto"/>
            <w:noWrap/>
            <w:vAlign w:val="center"/>
            <w:hideMark/>
          </w:tcPr>
          <w:p w14:paraId="11EAA48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8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8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48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48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8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8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8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48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48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3.00</w:t>
            </w:r>
          </w:p>
        </w:tc>
        <w:tc>
          <w:tcPr>
            <w:tcW w:w="361" w:type="dxa"/>
            <w:tcBorders>
              <w:top w:val="nil"/>
              <w:left w:val="nil"/>
              <w:bottom w:val="single" w:sz="4" w:space="0" w:color="auto"/>
              <w:right w:val="single" w:sz="4" w:space="0" w:color="auto"/>
            </w:tcBorders>
            <w:shd w:val="clear" w:color="auto" w:fill="auto"/>
            <w:noWrap/>
            <w:vAlign w:val="center"/>
            <w:hideMark/>
          </w:tcPr>
          <w:p w14:paraId="11EAA48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48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48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c>
          <w:tcPr>
            <w:tcW w:w="361" w:type="dxa"/>
            <w:tcBorders>
              <w:top w:val="nil"/>
              <w:left w:val="nil"/>
              <w:bottom w:val="single" w:sz="4" w:space="0" w:color="auto"/>
              <w:right w:val="single" w:sz="4" w:space="0" w:color="auto"/>
            </w:tcBorders>
            <w:shd w:val="clear" w:color="auto" w:fill="auto"/>
            <w:noWrap/>
            <w:vAlign w:val="center"/>
            <w:hideMark/>
          </w:tcPr>
          <w:p w14:paraId="11EAA48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48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49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49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9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49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9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4.76</w:t>
            </w:r>
          </w:p>
        </w:tc>
        <w:tc>
          <w:tcPr>
            <w:tcW w:w="361" w:type="dxa"/>
            <w:tcBorders>
              <w:top w:val="nil"/>
              <w:left w:val="nil"/>
              <w:bottom w:val="single" w:sz="4" w:space="0" w:color="auto"/>
              <w:right w:val="single" w:sz="4" w:space="0" w:color="auto"/>
            </w:tcBorders>
            <w:shd w:val="clear" w:color="auto" w:fill="auto"/>
            <w:noWrap/>
            <w:vAlign w:val="center"/>
            <w:hideMark/>
          </w:tcPr>
          <w:p w14:paraId="11EAA49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9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9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c>
          <w:tcPr>
            <w:tcW w:w="361" w:type="dxa"/>
            <w:tcBorders>
              <w:top w:val="nil"/>
              <w:left w:val="nil"/>
              <w:bottom w:val="single" w:sz="4" w:space="0" w:color="auto"/>
              <w:right w:val="single" w:sz="4" w:space="0" w:color="auto"/>
            </w:tcBorders>
            <w:shd w:val="clear" w:color="auto" w:fill="auto"/>
            <w:noWrap/>
            <w:vAlign w:val="center"/>
            <w:hideMark/>
          </w:tcPr>
          <w:p w14:paraId="11EAA49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9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1" w:type="dxa"/>
            <w:tcBorders>
              <w:top w:val="nil"/>
              <w:left w:val="nil"/>
              <w:bottom w:val="single" w:sz="4" w:space="0" w:color="auto"/>
              <w:right w:val="single" w:sz="4" w:space="0" w:color="auto"/>
            </w:tcBorders>
            <w:shd w:val="clear" w:color="auto" w:fill="auto"/>
            <w:noWrap/>
            <w:vAlign w:val="center"/>
            <w:hideMark/>
          </w:tcPr>
          <w:p w14:paraId="11EAA49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r>
      <w:tr w:rsidR="00B33EEE" w:rsidRPr="00B33EEE" w14:paraId="11EAA4C2"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49C"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49D"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49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49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1.63</w:t>
            </w:r>
          </w:p>
        </w:tc>
        <w:tc>
          <w:tcPr>
            <w:tcW w:w="360" w:type="dxa"/>
            <w:tcBorders>
              <w:top w:val="nil"/>
              <w:left w:val="nil"/>
              <w:bottom w:val="single" w:sz="4" w:space="0" w:color="auto"/>
              <w:right w:val="single" w:sz="4" w:space="0" w:color="auto"/>
            </w:tcBorders>
            <w:shd w:val="clear" w:color="auto" w:fill="auto"/>
            <w:noWrap/>
            <w:vAlign w:val="center"/>
            <w:hideMark/>
          </w:tcPr>
          <w:p w14:paraId="11EAA4A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4A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A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4A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0" w:type="dxa"/>
            <w:tcBorders>
              <w:top w:val="nil"/>
              <w:left w:val="nil"/>
              <w:bottom w:val="single" w:sz="4" w:space="0" w:color="auto"/>
              <w:right w:val="single" w:sz="4" w:space="0" w:color="auto"/>
            </w:tcBorders>
            <w:shd w:val="clear" w:color="auto" w:fill="auto"/>
            <w:noWrap/>
            <w:vAlign w:val="center"/>
            <w:hideMark/>
          </w:tcPr>
          <w:p w14:paraId="11EAA4A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A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0" w:type="dxa"/>
            <w:tcBorders>
              <w:top w:val="nil"/>
              <w:left w:val="nil"/>
              <w:bottom w:val="single" w:sz="4" w:space="0" w:color="auto"/>
              <w:right w:val="single" w:sz="4" w:space="0" w:color="auto"/>
            </w:tcBorders>
            <w:shd w:val="clear" w:color="auto" w:fill="auto"/>
            <w:noWrap/>
            <w:vAlign w:val="center"/>
            <w:hideMark/>
          </w:tcPr>
          <w:p w14:paraId="11EAA4A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1.06</w:t>
            </w:r>
          </w:p>
        </w:tc>
        <w:tc>
          <w:tcPr>
            <w:tcW w:w="360" w:type="dxa"/>
            <w:tcBorders>
              <w:top w:val="nil"/>
              <w:left w:val="nil"/>
              <w:bottom w:val="single" w:sz="4" w:space="0" w:color="auto"/>
              <w:right w:val="single" w:sz="4" w:space="0" w:color="auto"/>
            </w:tcBorders>
            <w:shd w:val="clear" w:color="auto" w:fill="auto"/>
            <w:noWrap/>
            <w:vAlign w:val="center"/>
            <w:hideMark/>
          </w:tcPr>
          <w:p w14:paraId="11EAA4A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1.44</w:t>
            </w:r>
          </w:p>
        </w:tc>
        <w:tc>
          <w:tcPr>
            <w:tcW w:w="360" w:type="dxa"/>
            <w:tcBorders>
              <w:top w:val="nil"/>
              <w:left w:val="nil"/>
              <w:bottom w:val="single" w:sz="4" w:space="0" w:color="auto"/>
              <w:right w:val="single" w:sz="4" w:space="0" w:color="auto"/>
            </w:tcBorders>
            <w:shd w:val="clear" w:color="auto" w:fill="auto"/>
            <w:noWrap/>
            <w:vAlign w:val="center"/>
            <w:hideMark/>
          </w:tcPr>
          <w:p w14:paraId="11EAA4A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4A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A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4A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3.25</w:t>
            </w:r>
          </w:p>
        </w:tc>
        <w:tc>
          <w:tcPr>
            <w:tcW w:w="361" w:type="dxa"/>
            <w:tcBorders>
              <w:top w:val="nil"/>
              <w:left w:val="nil"/>
              <w:bottom w:val="single" w:sz="4" w:space="0" w:color="auto"/>
              <w:right w:val="single" w:sz="4" w:space="0" w:color="auto"/>
            </w:tcBorders>
            <w:shd w:val="clear" w:color="auto" w:fill="auto"/>
            <w:noWrap/>
            <w:vAlign w:val="center"/>
            <w:hideMark/>
          </w:tcPr>
          <w:p w14:paraId="11EAA4A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4A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A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A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1" w:type="dxa"/>
            <w:tcBorders>
              <w:top w:val="nil"/>
              <w:left w:val="nil"/>
              <w:bottom w:val="single" w:sz="4" w:space="0" w:color="auto"/>
              <w:right w:val="single" w:sz="4" w:space="0" w:color="auto"/>
            </w:tcBorders>
            <w:shd w:val="clear" w:color="auto" w:fill="auto"/>
            <w:noWrap/>
            <w:vAlign w:val="center"/>
            <w:hideMark/>
          </w:tcPr>
          <w:p w14:paraId="11EAA4B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B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1.94</w:t>
            </w:r>
          </w:p>
        </w:tc>
        <w:tc>
          <w:tcPr>
            <w:tcW w:w="361" w:type="dxa"/>
            <w:tcBorders>
              <w:top w:val="nil"/>
              <w:left w:val="nil"/>
              <w:bottom w:val="single" w:sz="4" w:space="0" w:color="auto"/>
              <w:right w:val="single" w:sz="4" w:space="0" w:color="auto"/>
            </w:tcBorders>
            <w:shd w:val="clear" w:color="auto" w:fill="auto"/>
            <w:noWrap/>
            <w:vAlign w:val="center"/>
            <w:hideMark/>
          </w:tcPr>
          <w:p w14:paraId="11EAA4B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B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B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0.88</w:t>
            </w:r>
          </w:p>
        </w:tc>
        <w:tc>
          <w:tcPr>
            <w:tcW w:w="361" w:type="dxa"/>
            <w:tcBorders>
              <w:top w:val="nil"/>
              <w:left w:val="nil"/>
              <w:bottom w:val="single" w:sz="4" w:space="0" w:color="auto"/>
              <w:right w:val="single" w:sz="4" w:space="0" w:color="auto"/>
            </w:tcBorders>
            <w:shd w:val="clear" w:color="auto" w:fill="auto"/>
            <w:noWrap/>
            <w:vAlign w:val="center"/>
            <w:hideMark/>
          </w:tcPr>
          <w:p w14:paraId="11EAA4B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1.75</w:t>
            </w:r>
          </w:p>
        </w:tc>
        <w:tc>
          <w:tcPr>
            <w:tcW w:w="361" w:type="dxa"/>
            <w:tcBorders>
              <w:top w:val="nil"/>
              <w:left w:val="nil"/>
              <w:bottom w:val="single" w:sz="4" w:space="0" w:color="auto"/>
              <w:right w:val="single" w:sz="4" w:space="0" w:color="auto"/>
            </w:tcBorders>
            <w:shd w:val="clear" w:color="auto" w:fill="auto"/>
            <w:noWrap/>
            <w:vAlign w:val="center"/>
            <w:hideMark/>
          </w:tcPr>
          <w:p w14:paraId="11EAA4B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4B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4B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B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4B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B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14.81</w:t>
            </w:r>
          </w:p>
        </w:tc>
        <w:tc>
          <w:tcPr>
            <w:tcW w:w="361" w:type="dxa"/>
            <w:tcBorders>
              <w:top w:val="nil"/>
              <w:left w:val="nil"/>
              <w:bottom w:val="single" w:sz="4" w:space="0" w:color="auto"/>
              <w:right w:val="single" w:sz="4" w:space="0" w:color="auto"/>
            </w:tcBorders>
            <w:shd w:val="clear" w:color="auto" w:fill="auto"/>
            <w:noWrap/>
            <w:vAlign w:val="center"/>
            <w:hideMark/>
          </w:tcPr>
          <w:p w14:paraId="11EAA4B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B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B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4B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C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4C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1.19</w:t>
            </w:r>
          </w:p>
        </w:tc>
      </w:tr>
      <w:tr w:rsidR="00B33EEE" w:rsidRPr="00B33EEE" w14:paraId="11EAA4E9"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4C3"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4C4"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Double Cone</w:t>
            </w:r>
          </w:p>
        </w:tc>
        <w:tc>
          <w:tcPr>
            <w:tcW w:w="320" w:type="dxa"/>
            <w:tcBorders>
              <w:top w:val="nil"/>
              <w:left w:val="nil"/>
              <w:bottom w:val="single" w:sz="4" w:space="0" w:color="auto"/>
              <w:right w:val="single" w:sz="4" w:space="0" w:color="auto"/>
            </w:tcBorders>
            <w:shd w:val="clear" w:color="auto" w:fill="auto"/>
            <w:noWrap/>
            <w:vAlign w:val="center"/>
            <w:hideMark/>
          </w:tcPr>
          <w:p w14:paraId="11EAA4C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4C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47.50</w:t>
            </w:r>
          </w:p>
        </w:tc>
        <w:tc>
          <w:tcPr>
            <w:tcW w:w="360" w:type="dxa"/>
            <w:tcBorders>
              <w:top w:val="nil"/>
              <w:left w:val="nil"/>
              <w:bottom w:val="single" w:sz="4" w:space="0" w:color="auto"/>
              <w:right w:val="single" w:sz="4" w:space="0" w:color="auto"/>
            </w:tcBorders>
            <w:shd w:val="clear" w:color="auto" w:fill="auto"/>
            <w:noWrap/>
            <w:vAlign w:val="center"/>
            <w:hideMark/>
          </w:tcPr>
          <w:p w14:paraId="11EAA4C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A4C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4C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4C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C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4C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1.63</w:t>
            </w:r>
          </w:p>
        </w:tc>
        <w:tc>
          <w:tcPr>
            <w:tcW w:w="360" w:type="dxa"/>
            <w:tcBorders>
              <w:top w:val="nil"/>
              <w:left w:val="nil"/>
              <w:bottom w:val="single" w:sz="4" w:space="0" w:color="auto"/>
              <w:right w:val="single" w:sz="4" w:space="0" w:color="auto"/>
            </w:tcBorders>
            <w:shd w:val="clear" w:color="auto" w:fill="auto"/>
            <w:noWrap/>
            <w:vAlign w:val="center"/>
            <w:hideMark/>
          </w:tcPr>
          <w:p w14:paraId="11EAA4C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C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C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4D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3.75</w:t>
            </w:r>
          </w:p>
        </w:tc>
        <w:tc>
          <w:tcPr>
            <w:tcW w:w="361" w:type="dxa"/>
            <w:tcBorders>
              <w:top w:val="nil"/>
              <w:left w:val="nil"/>
              <w:bottom w:val="single" w:sz="4" w:space="0" w:color="auto"/>
              <w:right w:val="single" w:sz="4" w:space="0" w:color="auto"/>
            </w:tcBorders>
            <w:shd w:val="clear" w:color="auto" w:fill="auto"/>
            <w:noWrap/>
            <w:vAlign w:val="center"/>
            <w:hideMark/>
          </w:tcPr>
          <w:p w14:paraId="11EAA4D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4D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1.94</w:t>
            </w:r>
          </w:p>
        </w:tc>
        <w:tc>
          <w:tcPr>
            <w:tcW w:w="361" w:type="dxa"/>
            <w:tcBorders>
              <w:top w:val="nil"/>
              <w:left w:val="nil"/>
              <w:bottom w:val="single" w:sz="4" w:space="0" w:color="auto"/>
              <w:right w:val="single" w:sz="4" w:space="0" w:color="auto"/>
            </w:tcBorders>
            <w:shd w:val="clear" w:color="auto" w:fill="auto"/>
            <w:noWrap/>
            <w:vAlign w:val="center"/>
            <w:hideMark/>
          </w:tcPr>
          <w:p w14:paraId="11EAA4D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0.88</w:t>
            </w:r>
          </w:p>
        </w:tc>
        <w:tc>
          <w:tcPr>
            <w:tcW w:w="361" w:type="dxa"/>
            <w:tcBorders>
              <w:top w:val="nil"/>
              <w:left w:val="nil"/>
              <w:bottom w:val="single" w:sz="4" w:space="0" w:color="auto"/>
              <w:right w:val="single" w:sz="4" w:space="0" w:color="auto"/>
            </w:tcBorders>
            <w:shd w:val="clear" w:color="auto" w:fill="auto"/>
            <w:noWrap/>
            <w:vAlign w:val="center"/>
            <w:hideMark/>
          </w:tcPr>
          <w:p w14:paraId="11EAA4D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4D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D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1.00</w:t>
            </w:r>
          </w:p>
        </w:tc>
        <w:tc>
          <w:tcPr>
            <w:tcW w:w="361" w:type="dxa"/>
            <w:tcBorders>
              <w:top w:val="nil"/>
              <w:left w:val="nil"/>
              <w:bottom w:val="single" w:sz="4" w:space="0" w:color="auto"/>
              <w:right w:val="single" w:sz="4" w:space="0" w:color="auto"/>
            </w:tcBorders>
            <w:shd w:val="clear" w:color="auto" w:fill="auto"/>
            <w:noWrap/>
            <w:vAlign w:val="center"/>
            <w:hideMark/>
          </w:tcPr>
          <w:p w14:paraId="11EAA4D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1.06</w:t>
            </w:r>
          </w:p>
        </w:tc>
        <w:tc>
          <w:tcPr>
            <w:tcW w:w="361" w:type="dxa"/>
            <w:tcBorders>
              <w:top w:val="nil"/>
              <w:left w:val="nil"/>
              <w:bottom w:val="single" w:sz="4" w:space="0" w:color="auto"/>
              <w:right w:val="single" w:sz="4" w:space="0" w:color="auto"/>
            </w:tcBorders>
            <w:shd w:val="clear" w:color="auto" w:fill="auto"/>
            <w:noWrap/>
            <w:vAlign w:val="center"/>
            <w:hideMark/>
          </w:tcPr>
          <w:p w14:paraId="11EAA4D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3.88</w:t>
            </w:r>
          </w:p>
        </w:tc>
        <w:tc>
          <w:tcPr>
            <w:tcW w:w="361" w:type="dxa"/>
            <w:tcBorders>
              <w:top w:val="nil"/>
              <w:left w:val="nil"/>
              <w:bottom w:val="single" w:sz="4" w:space="0" w:color="auto"/>
              <w:right w:val="single" w:sz="4" w:space="0" w:color="auto"/>
            </w:tcBorders>
            <w:shd w:val="clear" w:color="auto" w:fill="auto"/>
            <w:noWrap/>
            <w:vAlign w:val="center"/>
            <w:hideMark/>
          </w:tcPr>
          <w:p w14:paraId="11EAA4D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4D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4D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4D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D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4D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4D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E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4E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E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1" w:type="dxa"/>
            <w:tcBorders>
              <w:top w:val="nil"/>
              <w:left w:val="nil"/>
              <w:bottom w:val="single" w:sz="4" w:space="0" w:color="auto"/>
              <w:right w:val="single" w:sz="4" w:space="0" w:color="auto"/>
            </w:tcBorders>
            <w:shd w:val="clear" w:color="auto" w:fill="auto"/>
            <w:noWrap/>
            <w:vAlign w:val="center"/>
            <w:hideMark/>
          </w:tcPr>
          <w:p w14:paraId="11EAA4E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4E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E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E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E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0.88</w:t>
            </w:r>
          </w:p>
        </w:tc>
        <w:tc>
          <w:tcPr>
            <w:tcW w:w="361" w:type="dxa"/>
            <w:tcBorders>
              <w:top w:val="nil"/>
              <w:left w:val="nil"/>
              <w:bottom w:val="single" w:sz="4" w:space="0" w:color="auto"/>
              <w:right w:val="single" w:sz="4" w:space="0" w:color="auto"/>
            </w:tcBorders>
            <w:shd w:val="clear" w:color="auto" w:fill="auto"/>
            <w:noWrap/>
            <w:vAlign w:val="center"/>
            <w:hideMark/>
          </w:tcPr>
          <w:p w14:paraId="11EAA4E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r>
      <w:tr w:rsidR="00B33EEE" w:rsidRPr="00B33EEE" w14:paraId="11EAA510"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4EA"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4EB"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4E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4E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6.56</w:t>
            </w:r>
          </w:p>
        </w:tc>
        <w:tc>
          <w:tcPr>
            <w:tcW w:w="360" w:type="dxa"/>
            <w:tcBorders>
              <w:top w:val="nil"/>
              <w:left w:val="nil"/>
              <w:bottom w:val="single" w:sz="4" w:space="0" w:color="auto"/>
              <w:right w:val="single" w:sz="4" w:space="0" w:color="auto"/>
            </w:tcBorders>
            <w:shd w:val="clear" w:color="auto" w:fill="auto"/>
            <w:noWrap/>
            <w:vAlign w:val="center"/>
            <w:hideMark/>
          </w:tcPr>
          <w:p w14:paraId="11EAA4E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4E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F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4F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A4F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F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0" w:type="dxa"/>
            <w:tcBorders>
              <w:top w:val="nil"/>
              <w:left w:val="nil"/>
              <w:bottom w:val="single" w:sz="4" w:space="0" w:color="auto"/>
              <w:right w:val="single" w:sz="4" w:space="0" w:color="auto"/>
            </w:tcBorders>
            <w:shd w:val="clear" w:color="auto" w:fill="auto"/>
            <w:noWrap/>
            <w:vAlign w:val="center"/>
            <w:hideMark/>
          </w:tcPr>
          <w:p w14:paraId="11EAA4F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F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4F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4F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2.63</w:t>
            </w:r>
          </w:p>
        </w:tc>
        <w:tc>
          <w:tcPr>
            <w:tcW w:w="361" w:type="dxa"/>
            <w:tcBorders>
              <w:top w:val="nil"/>
              <w:left w:val="nil"/>
              <w:bottom w:val="single" w:sz="4" w:space="0" w:color="auto"/>
              <w:right w:val="single" w:sz="4" w:space="0" w:color="auto"/>
            </w:tcBorders>
            <w:shd w:val="clear" w:color="auto" w:fill="auto"/>
            <w:noWrap/>
            <w:vAlign w:val="center"/>
            <w:hideMark/>
          </w:tcPr>
          <w:p w14:paraId="11EAA4F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F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51.06</w:t>
            </w:r>
          </w:p>
        </w:tc>
        <w:tc>
          <w:tcPr>
            <w:tcW w:w="361" w:type="dxa"/>
            <w:tcBorders>
              <w:top w:val="nil"/>
              <w:left w:val="nil"/>
              <w:bottom w:val="single" w:sz="4" w:space="0" w:color="auto"/>
              <w:right w:val="single" w:sz="4" w:space="0" w:color="auto"/>
            </w:tcBorders>
            <w:shd w:val="clear" w:color="auto" w:fill="auto"/>
            <w:noWrap/>
            <w:vAlign w:val="center"/>
            <w:hideMark/>
          </w:tcPr>
          <w:p w14:paraId="11EAA4F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4F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F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4F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2.44</w:t>
            </w:r>
          </w:p>
        </w:tc>
        <w:tc>
          <w:tcPr>
            <w:tcW w:w="361" w:type="dxa"/>
            <w:tcBorders>
              <w:top w:val="nil"/>
              <w:left w:val="nil"/>
              <w:bottom w:val="single" w:sz="4" w:space="0" w:color="auto"/>
              <w:right w:val="single" w:sz="4" w:space="0" w:color="auto"/>
            </w:tcBorders>
            <w:shd w:val="clear" w:color="auto" w:fill="auto"/>
            <w:noWrap/>
            <w:vAlign w:val="center"/>
            <w:hideMark/>
          </w:tcPr>
          <w:p w14:paraId="11EAA4F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4F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50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0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50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1.94</w:t>
            </w:r>
          </w:p>
        </w:tc>
        <w:tc>
          <w:tcPr>
            <w:tcW w:w="361" w:type="dxa"/>
            <w:tcBorders>
              <w:top w:val="nil"/>
              <w:left w:val="nil"/>
              <w:bottom w:val="single" w:sz="4" w:space="0" w:color="auto"/>
              <w:right w:val="single" w:sz="4" w:space="0" w:color="auto"/>
            </w:tcBorders>
            <w:shd w:val="clear" w:color="auto" w:fill="auto"/>
            <w:noWrap/>
            <w:vAlign w:val="center"/>
            <w:hideMark/>
          </w:tcPr>
          <w:p w14:paraId="11EAA50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1.44</w:t>
            </w:r>
          </w:p>
        </w:tc>
        <w:tc>
          <w:tcPr>
            <w:tcW w:w="361" w:type="dxa"/>
            <w:tcBorders>
              <w:top w:val="nil"/>
              <w:left w:val="nil"/>
              <w:bottom w:val="single" w:sz="4" w:space="0" w:color="auto"/>
              <w:right w:val="single" w:sz="4" w:space="0" w:color="auto"/>
            </w:tcBorders>
            <w:shd w:val="clear" w:color="auto" w:fill="auto"/>
            <w:noWrap/>
            <w:vAlign w:val="center"/>
            <w:hideMark/>
          </w:tcPr>
          <w:p w14:paraId="11EAA50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50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0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0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50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0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2.38</w:t>
            </w:r>
          </w:p>
        </w:tc>
        <w:tc>
          <w:tcPr>
            <w:tcW w:w="361" w:type="dxa"/>
            <w:tcBorders>
              <w:top w:val="nil"/>
              <w:left w:val="nil"/>
              <w:bottom w:val="single" w:sz="4" w:space="0" w:color="auto"/>
              <w:right w:val="single" w:sz="4" w:space="0" w:color="auto"/>
            </w:tcBorders>
            <w:shd w:val="clear" w:color="auto" w:fill="auto"/>
            <w:noWrap/>
            <w:vAlign w:val="center"/>
            <w:hideMark/>
          </w:tcPr>
          <w:p w14:paraId="11EAA50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0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0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0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0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0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r>
      <w:tr w:rsidR="00B33EEE" w:rsidRPr="00B33EEE" w14:paraId="11EAA537"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511"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512"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Daydream</w:t>
            </w:r>
          </w:p>
        </w:tc>
        <w:tc>
          <w:tcPr>
            <w:tcW w:w="320" w:type="dxa"/>
            <w:tcBorders>
              <w:top w:val="nil"/>
              <w:left w:val="nil"/>
              <w:bottom w:val="single" w:sz="4" w:space="0" w:color="auto"/>
              <w:right w:val="single" w:sz="4" w:space="0" w:color="auto"/>
            </w:tcBorders>
            <w:shd w:val="clear" w:color="auto" w:fill="auto"/>
            <w:noWrap/>
            <w:vAlign w:val="center"/>
            <w:hideMark/>
          </w:tcPr>
          <w:p w14:paraId="11EAA51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51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31.06</w:t>
            </w:r>
          </w:p>
        </w:tc>
        <w:tc>
          <w:tcPr>
            <w:tcW w:w="360" w:type="dxa"/>
            <w:tcBorders>
              <w:top w:val="nil"/>
              <w:left w:val="nil"/>
              <w:bottom w:val="single" w:sz="4" w:space="0" w:color="auto"/>
              <w:right w:val="single" w:sz="4" w:space="0" w:color="auto"/>
            </w:tcBorders>
            <w:shd w:val="clear" w:color="auto" w:fill="auto"/>
            <w:noWrap/>
            <w:vAlign w:val="center"/>
            <w:hideMark/>
          </w:tcPr>
          <w:p w14:paraId="11EAA51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1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1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1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1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51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1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1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1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1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1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52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52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2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52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2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52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2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1.44</w:t>
            </w:r>
          </w:p>
        </w:tc>
        <w:tc>
          <w:tcPr>
            <w:tcW w:w="361" w:type="dxa"/>
            <w:tcBorders>
              <w:top w:val="nil"/>
              <w:left w:val="nil"/>
              <w:bottom w:val="single" w:sz="4" w:space="0" w:color="auto"/>
              <w:right w:val="single" w:sz="4" w:space="0" w:color="auto"/>
            </w:tcBorders>
            <w:shd w:val="clear" w:color="auto" w:fill="auto"/>
            <w:noWrap/>
            <w:vAlign w:val="center"/>
            <w:hideMark/>
          </w:tcPr>
          <w:p w14:paraId="11EAA52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2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52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2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2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52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52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2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52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3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1" w:type="dxa"/>
            <w:tcBorders>
              <w:top w:val="nil"/>
              <w:left w:val="nil"/>
              <w:bottom w:val="single" w:sz="4" w:space="0" w:color="auto"/>
              <w:right w:val="single" w:sz="4" w:space="0" w:color="auto"/>
            </w:tcBorders>
            <w:shd w:val="clear" w:color="auto" w:fill="auto"/>
            <w:noWrap/>
            <w:vAlign w:val="center"/>
            <w:hideMark/>
          </w:tcPr>
          <w:p w14:paraId="11EAA53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3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53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53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3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3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r>
      <w:tr w:rsidR="00B33EEE" w:rsidRPr="00B33EEE" w14:paraId="11EAA55E"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538"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539"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53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53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29.01</w:t>
            </w:r>
          </w:p>
        </w:tc>
        <w:tc>
          <w:tcPr>
            <w:tcW w:w="360" w:type="dxa"/>
            <w:tcBorders>
              <w:top w:val="nil"/>
              <w:left w:val="nil"/>
              <w:bottom w:val="single" w:sz="4" w:space="0" w:color="auto"/>
              <w:right w:val="single" w:sz="4" w:space="0" w:color="auto"/>
            </w:tcBorders>
            <w:shd w:val="clear" w:color="auto" w:fill="auto"/>
            <w:noWrap/>
            <w:vAlign w:val="center"/>
            <w:hideMark/>
          </w:tcPr>
          <w:p w14:paraId="11EAA53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3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3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53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4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4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0" w:type="dxa"/>
            <w:tcBorders>
              <w:top w:val="nil"/>
              <w:left w:val="nil"/>
              <w:bottom w:val="single" w:sz="4" w:space="0" w:color="auto"/>
              <w:right w:val="single" w:sz="4" w:space="0" w:color="auto"/>
            </w:tcBorders>
            <w:shd w:val="clear" w:color="auto" w:fill="auto"/>
            <w:noWrap/>
            <w:vAlign w:val="center"/>
            <w:hideMark/>
          </w:tcPr>
          <w:p w14:paraId="11EAA54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54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54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4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4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54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4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4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0.88</w:t>
            </w:r>
          </w:p>
        </w:tc>
        <w:tc>
          <w:tcPr>
            <w:tcW w:w="361" w:type="dxa"/>
            <w:tcBorders>
              <w:top w:val="nil"/>
              <w:left w:val="nil"/>
              <w:bottom w:val="single" w:sz="4" w:space="0" w:color="auto"/>
              <w:right w:val="single" w:sz="4" w:space="0" w:color="auto"/>
            </w:tcBorders>
            <w:shd w:val="clear" w:color="auto" w:fill="auto"/>
            <w:noWrap/>
            <w:vAlign w:val="center"/>
            <w:hideMark/>
          </w:tcPr>
          <w:p w14:paraId="11EAA54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4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54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54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3.32</w:t>
            </w:r>
          </w:p>
        </w:tc>
        <w:tc>
          <w:tcPr>
            <w:tcW w:w="361" w:type="dxa"/>
            <w:tcBorders>
              <w:top w:val="nil"/>
              <w:left w:val="nil"/>
              <w:bottom w:val="single" w:sz="4" w:space="0" w:color="auto"/>
              <w:right w:val="single" w:sz="4" w:space="0" w:color="auto"/>
            </w:tcBorders>
            <w:shd w:val="clear" w:color="auto" w:fill="auto"/>
            <w:noWrap/>
            <w:vAlign w:val="center"/>
            <w:hideMark/>
          </w:tcPr>
          <w:p w14:paraId="11EAA54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54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55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5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5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c>
          <w:tcPr>
            <w:tcW w:w="361" w:type="dxa"/>
            <w:tcBorders>
              <w:top w:val="nil"/>
              <w:left w:val="nil"/>
              <w:bottom w:val="single" w:sz="4" w:space="0" w:color="auto"/>
              <w:right w:val="single" w:sz="4" w:space="0" w:color="auto"/>
            </w:tcBorders>
            <w:shd w:val="clear" w:color="auto" w:fill="auto"/>
            <w:noWrap/>
            <w:vAlign w:val="center"/>
            <w:hideMark/>
          </w:tcPr>
          <w:p w14:paraId="11EAA55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5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5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5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5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1.94</w:t>
            </w:r>
          </w:p>
        </w:tc>
        <w:tc>
          <w:tcPr>
            <w:tcW w:w="361" w:type="dxa"/>
            <w:tcBorders>
              <w:top w:val="nil"/>
              <w:left w:val="nil"/>
              <w:bottom w:val="single" w:sz="4" w:space="0" w:color="auto"/>
              <w:right w:val="single" w:sz="4" w:space="0" w:color="auto"/>
            </w:tcBorders>
            <w:shd w:val="clear" w:color="auto" w:fill="auto"/>
            <w:noWrap/>
            <w:vAlign w:val="center"/>
            <w:hideMark/>
          </w:tcPr>
          <w:p w14:paraId="11EAA55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5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1.00</w:t>
            </w:r>
          </w:p>
        </w:tc>
        <w:tc>
          <w:tcPr>
            <w:tcW w:w="361" w:type="dxa"/>
            <w:tcBorders>
              <w:top w:val="nil"/>
              <w:left w:val="nil"/>
              <w:bottom w:val="single" w:sz="4" w:space="0" w:color="auto"/>
              <w:right w:val="single" w:sz="4" w:space="0" w:color="auto"/>
            </w:tcBorders>
            <w:shd w:val="clear" w:color="auto" w:fill="auto"/>
            <w:noWrap/>
            <w:vAlign w:val="center"/>
            <w:hideMark/>
          </w:tcPr>
          <w:p w14:paraId="11EAA55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55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5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5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r>
      <w:tr w:rsidR="00B33EEE" w:rsidRPr="00B33EEE" w14:paraId="11EAA585"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55F"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560"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Dent</w:t>
            </w:r>
          </w:p>
        </w:tc>
        <w:tc>
          <w:tcPr>
            <w:tcW w:w="320" w:type="dxa"/>
            <w:tcBorders>
              <w:top w:val="nil"/>
              <w:left w:val="nil"/>
              <w:bottom w:val="single" w:sz="4" w:space="0" w:color="auto"/>
              <w:right w:val="single" w:sz="4" w:space="0" w:color="auto"/>
            </w:tcBorders>
            <w:shd w:val="clear" w:color="auto" w:fill="auto"/>
            <w:noWrap/>
            <w:vAlign w:val="center"/>
            <w:hideMark/>
          </w:tcPr>
          <w:p w14:paraId="11EAA56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56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27.86</w:t>
            </w:r>
          </w:p>
        </w:tc>
        <w:tc>
          <w:tcPr>
            <w:tcW w:w="360" w:type="dxa"/>
            <w:tcBorders>
              <w:top w:val="nil"/>
              <w:left w:val="nil"/>
              <w:bottom w:val="single" w:sz="4" w:space="0" w:color="auto"/>
              <w:right w:val="single" w:sz="4" w:space="0" w:color="auto"/>
            </w:tcBorders>
            <w:shd w:val="clear" w:color="auto" w:fill="auto"/>
            <w:noWrap/>
            <w:vAlign w:val="center"/>
            <w:hideMark/>
          </w:tcPr>
          <w:p w14:paraId="11EAA56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6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6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A56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6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6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0.88</w:t>
            </w:r>
          </w:p>
        </w:tc>
        <w:tc>
          <w:tcPr>
            <w:tcW w:w="360" w:type="dxa"/>
            <w:tcBorders>
              <w:top w:val="nil"/>
              <w:left w:val="nil"/>
              <w:bottom w:val="single" w:sz="4" w:space="0" w:color="auto"/>
              <w:right w:val="single" w:sz="4" w:space="0" w:color="auto"/>
            </w:tcBorders>
            <w:shd w:val="clear" w:color="auto" w:fill="auto"/>
            <w:noWrap/>
            <w:vAlign w:val="center"/>
            <w:hideMark/>
          </w:tcPr>
          <w:p w14:paraId="11EAA56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56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6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6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1.63</w:t>
            </w:r>
          </w:p>
        </w:tc>
        <w:tc>
          <w:tcPr>
            <w:tcW w:w="361" w:type="dxa"/>
            <w:tcBorders>
              <w:top w:val="nil"/>
              <w:left w:val="nil"/>
              <w:bottom w:val="single" w:sz="4" w:space="0" w:color="auto"/>
              <w:right w:val="single" w:sz="4" w:space="0" w:color="auto"/>
            </w:tcBorders>
            <w:shd w:val="clear" w:color="auto" w:fill="auto"/>
            <w:noWrap/>
            <w:vAlign w:val="center"/>
            <w:hideMark/>
          </w:tcPr>
          <w:p w14:paraId="11EAA56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56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4.32</w:t>
            </w:r>
          </w:p>
        </w:tc>
        <w:tc>
          <w:tcPr>
            <w:tcW w:w="361" w:type="dxa"/>
            <w:tcBorders>
              <w:top w:val="nil"/>
              <w:left w:val="nil"/>
              <w:bottom w:val="single" w:sz="4" w:space="0" w:color="auto"/>
              <w:right w:val="single" w:sz="4" w:space="0" w:color="auto"/>
            </w:tcBorders>
            <w:shd w:val="clear" w:color="auto" w:fill="auto"/>
            <w:noWrap/>
            <w:vAlign w:val="center"/>
            <w:hideMark/>
          </w:tcPr>
          <w:p w14:paraId="11EAA56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7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7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57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1.88</w:t>
            </w:r>
          </w:p>
        </w:tc>
        <w:tc>
          <w:tcPr>
            <w:tcW w:w="361" w:type="dxa"/>
            <w:tcBorders>
              <w:top w:val="nil"/>
              <w:left w:val="nil"/>
              <w:bottom w:val="single" w:sz="4" w:space="0" w:color="auto"/>
              <w:right w:val="single" w:sz="4" w:space="0" w:color="auto"/>
            </w:tcBorders>
            <w:shd w:val="clear" w:color="auto" w:fill="auto"/>
            <w:noWrap/>
            <w:vAlign w:val="center"/>
            <w:hideMark/>
          </w:tcPr>
          <w:p w14:paraId="11EAA57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1.75</w:t>
            </w:r>
          </w:p>
        </w:tc>
        <w:tc>
          <w:tcPr>
            <w:tcW w:w="361" w:type="dxa"/>
            <w:tcBorders>
              <w:top w:val="nil"/>
              <w:left w:val="nil"/>
              <w:bottom w:val="single" w:sz="4" w:space="0" w:color="auto"/>
              <w:right w:val="single" w:sz="4" w:space="0" w:color="auto"/>
            </w:tcBorders>
            <w:shd w:val="clear" w:color="auto" w:fill="auto"/>
            <w:noWrap/>
            <w:vAlign w:val="center"/>
            <w:hideMark/>
          </w:tcPr>
          <w:p w14:paraId="11EAA57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57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7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7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57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2.31</w:t>
            </w:r>
          </w:p>
        </w:tc>
        <w:tc>
          <w:tcPr>
            <w:tcW w:w="361" w:type="dxa"/>
            <w:tcBorders>
              <w:top w:val="nil"/>
              <w:left w:val="nil"/>
              <w:bottom w:val="single" w:sz="4" w:space="0" w:color="auto"/>
              <w:right w:val="single" w:sz="4" w:space="0" w:color="auto"/>
            </w:tcBorders>
            <w:shd w:val="clear" w:color="auto" w:fill="auto"/>
            <w:noWrap/>
            <w:vAlign w:val="center"/>
            <w:hideMark/>
          </w:tcPr>
          <w:p w14:paraId="11EAA57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2.88</w:t>
            </w:r>
          </w:p>
        </w:tc>
        <w:tc>
          <w:tcPr>
            <w:tcW w:w="361" w:type="dxa"/>
            <w:tcBorders>
              <w:top w:val="nil"/>
              <w:left w:val="nil"/>
              <w:bottom w:val="single" w:sz="4" w:space="0" w:color="auto"/>
              <w:right w:val="single" w:sz="4" w:space="0" w:color="auto"/>
            </w:tcBorders>
            <w:shd w:val="clear" w:color="auto" w:fill="auto"/>
            <w:noWrap/>
            <w:vAlign w:val="center"/>
            <w:hideMark/>
          </w:tcPr>
          <w:p w14:paraId="11EAA57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7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7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7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7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11.14</w:t>
            </w:r>
          </w:p>
        </w:tc>
        <w:tc>
          <w:tcPr>
            <w:tcW w:w="361" w:type="dxa"/>
            <w:tcBorders>
              <w:top w:val="nil"/>
              <w:left w:val="nil"/>
              <w:bottom w:val="single" w:sz="4" w:space="0" w:color="auto"/>
              <w:right w:val="single" w:sz="4" w:space="0" w:color="auto"/>
            </w:tcBorders>
            <w:shd w:val="clear" w:color="auto" w:fill="auto"/>
            <w:noWrap/>
            <w:vAlign w:val="center"/>
            <w:hideMark/>
          </w:tcPr>
          <w:p w14:paraId="11EAA57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58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8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58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8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1.13</w:t>
            </w:r>
          </w:p>
        </w:tc>
        <w:tc>
          <w:tcPr>
            <w:tcW w:w="361" w:type="dxa"/>
            <w:tcBorders>
              <w:top w:val="nil"/>
              <w:left w:val="nil"/>
              <w:bottom w:val="single" w:sz="4" w:space="0" w:color="auto"/>
              <w:right w:val="single" w:sz="4" w:space="0" w:color="auto"/>
            </w:tcBorders>
            <w:shd w:val="clear" w:color="auto" w:fill="auto"/>
            <w:noWrap/>
            <w:vAlign w:val="center"/>
            <w:hideMark/>
          </w:tcPr>
          <w:p w14:paraId="11EAA58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r>
      <w:tr w:rsidR="00B33EEE" w:rsidRPr="00B33EEE" w14:paraId="11EAA5AC"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586"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587"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58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58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18.65</w:t>
            </w:r>
          </w:p>
        </w:tc>
        <w:tc>
          <w:tcPr>
            <w:tcW w:w="360" w:type="dxa"/>
            <w:tcBorders>
              <w:top w:val="nil"/>
              <w:left w:val="nil"/>
              <w:bottom w:val="single" w:sz="4" w:space="0" w:color="auto"/>
              <w:right w:val="single" w:sz="4" w:space="0" w:color="auto"/>
            </w:tcBorders>
            <w:shd w:val="clear" w:color="auto" w:fill="auto"/>
            <w:noWrap/>
            <w:vAlign w:val="center"/>
            <w:hideMark/>
          </w:tcPr>
          <w:p w14:paraId="11EAA58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0" w:type="dxa"/>
            <w:tcBorders>
              <w:top w:val="nil"/>
              <w:left w:val="nil"/>
              <w:bottom w:val="single" w:sz="4" w:space="0" w:color="auto"/>
              <w:right w:val="single" w:sz="4" w:space="0" w:color="auto"/>
            </w:tcBorders>
            <w:shd w:val="clear" w:color="auto" w:fill="auto"/>
            <w:noWrap/>
            <w:vAlign w:val="center"/>
            <w:hideMark/>
          </w:tcPr>
          <w:p w14:paraId="11EAA58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8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58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8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58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c>
          <w:tcPr>
            <w:tcW w:w="360" w:type="dxa"/>
            <w:tcBorders>
              <w:top w:val="nil"/>
              <w:left w:val="nil"/>
              <w:bottom w:val="single" w:sz="4" w:space="0" w:color="auto"/>
              <w:right w:val="single" w:sz="4" w:space="0" w:color="auto"/>
            </w:tcBorders>
            <w:shd w:val="clear" w:color="auto" w:fill="auto"/>
            <w:noWrap/>
            <w:vAlign w:val="center"/>
            <w:hideMark/>
          </w:tcPr>
          <w:p w14:paraId="11EAA59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0" w:type="dxa"/>
            <w:tcBorders>
              <w:top w:val="nil"/>
              <w:left w:val="nil"/>
              <w:bottom w:val="single" w:sz="4" w:space="0" w:color="auto"/>
              <w:right w:val="single" w:sz="4" w:space="0" w:color="auto"/>
            </w:tcBorders>
            <w:shd w:val="clear" w:color="auto" w:fill="auto"/>
            <w:noWrap/>
            <w:vAlign w:val="center"/>
            <w:hideMark/>
          </w:tcPr>
          <w:p w14:paraId="11EAA59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A59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9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1.69</w:t>
            </w:r>
          </w:p>
        </w:tc>
        <w:tc>
          <w:tcPr>
            <w:tcW w:w="361" w:type="dxa"/>
            <w:tcBorders>
              <w:top w:val="nil"/>
              <w:left w:val="nil"/>
              <w:bottom w:val="single" w:sz="4" w:space="0" w:color="auto"/>
              <w:right w:val="single" w:sz="4" w:space="0" w:color="auto"/>
            </w:tcBorders>
            <w:shd w:val="clear" w:color="auto" w:fill="auto"/>
            <w:noWrap/>
            <w:vAlign w:val="center"/>
            <w:hideMark/>
          </w:tcPr>
          <w:p w14:paraId="11EAA59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59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12.56</w:t>
            </w:r>
          </w:p>
        </w:tc>
        <w:tc>
          <w:tcPr>
            <w:tcW w:w="361" w:type="dxa"/>
            <w:tcBorders>
              <w:top w:val="nil"/>
              <w:left w:val="nil"/>
              <w:bottom w:val="single" w:sz="4" w:space="0" w:color="auto"/>
              <w:right w:val="single" w:sz="4" w:space="0" w:color="auto"/>
            </w:tcBorders>
            <w:shd w:val="clear" w:color="auto" w:fill="auto"/>
            <w:noWrap/>
            <w:vAlign w:val="center"/>
            <w:hideMark/>
          </w:tcPr>
          <w:p w14:paraId="11EAA59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59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9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1.19</w:t>
            </w:r>
          </w:p>
        </w:tc>
        <w:tc>
          <w:tcPr>
            <w:tcW w:w="361" w:type="dxa"/>
            <w:tcBorders>
              <w:top w:val="nil"/>
              <w:left w:val="nil"/>
              <w:bottom w:val="single" w:sz="4" w:space="0" w:color="auto"/>
              <w:right w:val="single" w:sz="4" w:space="0" w:color="auto"/>
            </w:tcBorders>
            <w:shd w:val="clear" w:color="auto" w:fill="auto"/>
            <w:noWrap/>
            <w:vAlign w:val="center"/>
            <w:hideMark/>
          </w:tcPr>
          <w:p w14:paraId="11EAA59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1.50</w:t>
            </w:r>
          </w:p>
        </w:tc>
        <w:tc>
          <w:tcPr>
            <w:tcW w:w="361" w:type="dxa"/>
            <w:tcBorders>
              <w:top w:val="nil"/>
              <w:left w:val="nil"/>
              <w:bottom w:val="single" w:sz="4" w:space="0" w:color="auto"/>
              <w:right w:val="single" w:sz="4" w:space="0" w:color="auto"/>
            </w:tcBorders>
            <w:shd w:val="clear" w:color="auto" w:fill="auto"/>
            <w:noWrap/>
            <w:vAlign w:val="center"/>
            <w:hideMark/>
          </w:tcPr>
          <w:p w14:paraId="11EAA59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1.44</w:t>
            </w:r>
          </w:p>
        </w:tc>
        <w:tc>
          <w:tcPr>
            <w:tcW w:w="361" w:type="dxa"/>
            <w:tcBorders>
              <w:top w:val="nil"/>
              <w:left w:val="nil"/>
              <w:bottom w:val="single" w:sz="4" w:space="0" w:color="auto"/>
              <w:right w:val="single" w:sz="4" w:space="0" w:color="auto"/>
            </w:tcBorders>
            <w:shd w:val="clear" w:color="auto" w:fill="auto"/>
            <w:noWrap/>
            <w:vAlign w:val="center"/>
            <w:hideMark/>
          </w:tcPr>
          <w:p w14:paraId="11EAA59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c>
          <w:tcPr>
            <w:tcW w:w="361" w:type="dxa"/>
            <w:tcBorders>
              <w:top w:val="nil"/>
              <w:left w:val="nil"/>
              <w:bottom w:val="single" w:sz="4" w:space="0" w:color="auto"/>
              <w:right w:val="single" w:sz="4" w:space="0" w:color="auto"/>
            </w:tcBorders>
            <w:shd w:val="clear" w:color="auto" w:fill="auto"/>
            <w:noWrap/>
            <w:vAlign w:val="center"/>
            <w:hideMark/>
          </w:tcPr>
          <w:p w14:paraId="11EAA59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59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2.94</w:t>
            </w:r>
          </w:p>
        </w:tc>
        <w:tc>
          <w:tcPr>
            <w:tcW w:w="361" w:type="dxa"/>
            <w:tcBorders>
              <w:top w:val="nil"/>
              <w:left w:val="nil"/>
              <w:bottom w:val="single" w:sz="4" w:space="0" w:color="auto"/>
              <w:right w:val="single" w:sz="4" w:space="0" w:color="auto"/>
            </w:tcBorders>
            <w:shd w:val="clear" w:color="auto" w:fill="auto"/>
            <w:noWrap/>
            <w:vAlign w:val="center"/>
            <w:hideMark/>
          </w:tcPr>
          <w:p w14:paraId="11EAA59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2.06</w:t>
            </w:r>
          </w:p>
        </w:tc>
        <w:tc>
          <w:tcPr>
            <w:tcW w:w="361" w:type="dxa"/>
            <w:tcBorders>
              <w:top w:val="nil"/>
              <w:left w:val="nil"/>
              <w:bottom w:val="single" w:sz="4" w:space="0" w:color="auto"/>
              <w:right w:val="single" w:sz="4" w:space="0" w:color="auto"/>
            </w:tcBorders>
            <w:shd w:val="clear" w:color="auto" w:fill="auto"/>
            <w:noWrap/>
            <w:vAlign w:val="center"/>
            <w:hideMark/>
          </w:tcPr>
          <w:p w14:paraId="11EAA59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5A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2.51</w:t>
            </w:r>
          </w:p>
        </w:tc>
        <w:tc>
          <w:tcPr>
            <w:tcW w:w="361" w:type="dxa"/>
            <w:tcBorders>
              <w:top w:val="nil"/>
              <w:left w:val="nil"/>
              <w:bottom w:val="single" w:sz="4" w:space="0" w:color="auto"/>
              <w:right w:val="single" w:sz="4" w:space="0" w:color="auto"/>
            </w:tcBorders>
            <w:shd w:val="clear" w:color="auto" w:fill="auto"/>
            <w:noWrap/>
            <w:vAlign w:val="center"/>
            <w:hideMark/>
          </w:tcPr>
          <w:p w14:paraId="11EAA5A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5A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A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A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5A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2.25</w:t>
            </w:r>
          </w:p>
        </w:tc>
        <w:tc>
          <w:tcPr>
            <w:tcW w:w="361" w:type="dxa"/>
            <w:tcBorders>
              <w:top w:val="nil"/>
              <w:left w:val="nil"/>
              <w:bottom w:val="single" w:sz="4" w:space="0" w:color="auto"/>
              <w:right w:val="single" w:sz="4" w:space="0" w:color="auto"/>
            </w:tcBorders>
            <w:shd w:val="clear" w:color="auto" w:fill="auto"/>
            <w:noWrap/>
            <w:vAlign w:val="center"/>
            <w:hideMark/>
          </w:tcPr>
          <w:p w14:paraId="11EAA5A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A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A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5A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A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A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1.00</w:t>
            </w:r>
          </w:p>
        </w:tc>
      </w:tr>
      <w:tr w:rsidR="00B33EEE" w:rsidRPr="00B33EEE" w14:paraId="11EAA5D3"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5AD"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5AE"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Shute Harbour</w:t>
            </w:r>
          </w:p>
        </w:tc>
        <w:tc>
          <w:tcPr>
            <w:tcW w:w="320" w:type="dxa"/>
            <w:tcBorders>
              <w:top w:val="nil"/>
              <w:left w:val="nil"/>
              <w:bottom w:val="single" w:sz="4" w:space="0" w:color="auto"/>
              <w:right w:val="single" w:sz="4" w:space="0" w:color="auto"/>
            </w:tcBorders>
            <w:shd w:val="clear" w:color="auto" w:fill="auto"/>
            <w:noWrap/>
            <w:vAlign w:val="center"/>
            <w:hideMark/>
          </w:tcPr>
          <w:p w14:paraId="11EAA5A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5B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41.22</w:t>
            </w:r>
          </w:p>
        </w:tc>
        <w:tc>
          <w:tcPr>
            <w:tcW w:w="360" w:type="dxa"/>
            <w:tcBorders>
              <w:top w:val="nil"/>
              <w:left w:val="nil"/>
              <w:bottom w:val="single" w:sz="4" w:space="0" w:color="auto"/>
              <w:right w:val="single" w:sz="4" w:space="0" w:color="auto"/>
            </w:tcBorders>
            <w:shd w:val="clear" w:color="auto" w:fill="auto"/>
            <w:noWrap/>
            <w:vAlign w:val="center"/>
            <w:hideMark/>
          </w:tcPr>
          <w:p w14:paraId="11EAA5B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B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0" w:type="dxa"/>
            <w:tcBorders>
              <w:top w:val="nil"/>
              <w:left w:val="nil"/>
              <w:bottom w:val="single" w:sz="4" w:space="0" w:color="auto"/>
              <w:right w:val="single" w:sz="4" w:space="0" w:color="auto"/>
            </w:tcBorders>
            <w:shd w:val="clear" w:color="auto" w:fill="auto"/>
            <w:noWrap/>
            <w:vAlign w:val="center"/>
            <w:hideMark/>
          </w:tcPr>
          <w:p w14:paraId="11EAA5B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B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B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5B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B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5B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5B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B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B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5B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3.25</w:t>
            </w:r>
          </w:p>
        </w:tc>
        <w:tc>
          <w:tcPr>
            <w:tcW w:w="361" w:type="dxa"/>
            <w:tcBorders>
              <w:top w:val="nil"/>
              <w:left w:val="nil"/>
              <w:bottom w:val="single" w:sz="4" w:space="0" w:color="auto"/>
              <w:right w:val="single" w:sz="4" w:space="0" w:color="auto"/>
            </w:tcBorders>
            <w:shd w:val="clear" w:color="auto" w:fill="auto"/>
            <w:noWrap/>
            <w:vAlign w:val="center"/>
            <w:hideMark/>
          </w:tcPr>
          <w:p w14:paraId="11EAA5B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1.50</w:t>
            </w:r>
          </w:p>
        </w:tc>
        <w:tc>
          <w:tcPr>
            <w:tcW w:w="361" w:type="dxa"/>
            <w:tcBorders>
              <w:top w:val="nil"/>
              <w:left w:val="nil"/>
              <w:bottom w:val="single" w:sz="4" w:space="0" w:color="auto"/>
              <w:right w:val="single" w:sz="4" w:space="0" w:color="auto"/>
            </w:tcBorders>
            <w:shd w:val="clear" w:color="auto" w:fill="auto"/>
            <w:noWrap/>
            <w:vAlign w:val="center"/>
            <w:hideMark/>
          </w:tcPr>
          <w:p w14:paraId="11EAA5B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5B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C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0.88</w:t>
            </w:r>
          </w:p>
        </w:tc>
        <w:tc>
          <w:tcPr>
            <w:tcW w:w="361" w:type="dxa"/>
            <w:tcBorders>
              <w:top w:val="nil"/>
              <w:left w:val="nil"/>
              <w:bottom w:val="single" w:sz="4" w:space="0" w:color="auto"/>
              <w:right w:val="single" w:sz="4" w:space="0" w:color="auto"/>
            </w:tcBorders>
            <w:shd w:val="clear" w:color="auto" w:fill="auto"/>
            <w:noWrap/>
            <w:vAlign w:val="center"/>
            <w:hideMark/>
          </w:tcPr>
          <w:p w14:paraId="11EAA5C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C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4.25</w:t>
            </w:r>
          </w:p>
        </w:tc>
        <w:tc>
          <w:tcPr>
            <w:tcW w:w="361" w:type="dxa"/>
            <w:tcBorders>
              <w:top w:val="nil"/>
              <w:left w:val="nil"/>
              <w:bottom w:val="single" w:sz="4" w:space="0" w:color="auto"/>
              <w:right w:val="single" w:sz="4" w:space="0" w:color="auto"/>
            </w:tcBorders>
            <w:shd w:val="clear" w:color="auto" w:fill="auto"/>
            <w:noWrap/>
            <w:vAlign w:val="center"/>
            <w:hideMark/>
          </w:tcPr>
          <w:p w14:paraId="11EAA5C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5C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5C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5C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1.06</w:t>
            </w:r>
          </w:p>
        </w:tc>
        <w:tc>
          <w:tcPr>
            <w:tcW w:w="361" w:type="dxa"/>
            <w:tcBorders>
              <w:top w:val="nil"/>
              <w:left w:val="nil"/>
              <w:bottom w:val="single" w:sz="4" w:space="0" w:color="auto"/>
              <w:right w:val="single" w:sz="4" w:space="0" w:color="auto"/>
            </w:tcBorders>
            <w:shd w:val="clear" w:color="auto" w:fill="auto"/>
            <w:noWrap/>
            <w:vAlign w:val="center"/>
            <w:hideMark/>
          </w:tcPr>
          <w:p w14:paraId="11EAA5C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1.13</w:t>
            </w:r>
          </w:p>
        </w:tc>
        <w:tc>
          <w:tcPr>
            <w:tcW w:w="361" w:type="dxa"/>
            <w:tcBorders>
              <w:top w:val="nil"/>
              <w:left w:val="nil"/>
              <w:bottom w:val="single" w:sz="4" w:space="0" w:color="auto"/>
              <w:right w:val="single" w:sz="4" w:space="0" w:color="auto"/>
            </w:tcBorders>
            <w:shd w:val="clear" w:color="auto" w:fill="auto"/>
            <w:noWrap/>
            <w:vAlign w:val="center"/>
            <w:hideMark/>
          </w:tcPr>
          <w:p w14:paraId="11EAA5C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5C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C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0.94</w:t>
            </w:r>
          </w:p>
        </w:tc>
        <w:tc>
          <w:tcPr>
            <w:tcW w:w="361" w:type="dxa"/>
            <w:tcBorders>
              <w:top w:val="nil"/>
              <w:left w:val="nil"/>
              <w:bottom w:val="single" w:sz="4" w:space="0" w:color="auto"/>
              <w:right w:val="single" w:sz="4" w:space="0" w:color="auto"/>
            </w:tcBorders>
            <w:shd w:val="clear" w:color="auto" w:fill="auto"/>
            <w:noWrap/>
            <w:vAlign w:val="center"/>
            <w:hideMark/>
          </w:tcPr>
          <w:p w14:paraId="11EAA5C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C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C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C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C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1.44</w:t>
            </w:r>
          </w:p>
        </w:tc>
        <w:tc>
          <w:tcPr>
            <w:tcW w:w="361" w:type="dxa"/>
            <w:tcBorders>
              <w:top w:val="nil"/>
              <w:left w:val="nil"/>
              <w:bottom w:val="single" w:sz="4" w:space="0" w:color="auto"/>
              <w:right w:val="single" w:sz="4" w:space="0" w:color="auto"/>
            </w:tcBorders>
            <w:shd w:val="clear" w:color="auto" w:fill="auto"/>
            <w:noWrap/>
            <w:vAlign w:val="center"/>
            <w:hideMark/>
          </w:tcPr>
          <w:p w14:paraId="11EAA5D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D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5D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r>
      <w:tr w:rsidR="00B33EEE" w:rsidRPr="00B33EEE" w14:paraId="11EAA5FA"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5D4"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5D5"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5D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5D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8.57</w:t>
            </w:r>
          </w:p>
        </w:tc>
        <w:tc>
          <w:tcPr>
            <w:tcW w:w="360" w:type="dxa"/>
            <w:tcBorders>
              <w:top w:val="nil"/>
              <w:left w:val="nil"/>
              <w:bottom w:val="single" w:sz="4" w:space="0" w:color="auto"/>
              <w:right w:val="single" w:sz="4" w:space="0" w:color="auto"/>
            </w:tcBorders>
            <w:shd w:val="clear" w:color="auto" w:fill="auto"/>
            <w:noWrap/>
            <w:vAlign w:val="center"/>
            <w:hideMark/>
          </w:tcPr>
          <w:p w14:paraId="11EAA5D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D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5D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0" w:type="dxa"/>
            <w:tcBorders>
              <w:top w:val="nil"/>
              <w:left w:val="nil"/>
              <w:bottom w:val="single" w:sz="4" w:space="0" w:color="auto"/>
              <w:right w:val="single" w:sz="4" w:space="0" w:color="auto"/>
            </w:tcBorders>
            <w:shd w:val="clear" w:color="auto" w:fill="auto"/>
            <w:noWrap/>
            <w:vAlign w:val="center"/>
            <w:hideMark/>
          </w:tcPr>
          <w:p w14:paraId="11EAA5D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0" w:type="dxa"/>
            <w:tcBorders>
              <w:top w:val="nil"/>
              <w:left w:val="nil"/>
              <w:bottom w:val="single" w:sz="4" w:space="0" w:color="auto"/>
              <w:right w:val="single" w:sz="4" w:space="0" w:color="auto"/>
            </w:tcBorders>
            <w:shd w:val="clear" w:color="auto" w:fill="auto"/>
            <w:noWrap/>
            <w:vAlign w:val="center"/>
            <w:hideMark/>
          </w:tcPr>
          <w:p w14:paraId="11EAA5D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A5D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5D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0" w:type="dxa"/>
            <w:tcBorders>
              <w:top w:val="nil"/>
              <w:left w:val="nil"/>
              <w:bottom w:val="single" w:sz="4" w:space="0" w:color="auto"/>
              <w:right w:val="single" w:sz="4" w:space="0" w:color="auto"/>
            </w:tcBorders>
            <w:shd w:val="clear" w:color="auto" w:fill="auto"/>
            <w:noWrap/>
            <w:vAlign w:val="center"/>
            <w:hideMark/>
          </w:tcPr>
          <w:p w14:paraId="11EAA5D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5E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E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E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5E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2.13</w:t>
            </w:r>
          </w:p>
        </w:tc>
        <w:tc>
          <w:tcPr>
            <w:tcW w:w="361" w:type="dxa"/>
            <w:tcBorders>
              <w:top w:val="nil"/>
              <w:left w:val="nil"/>
              <w:bottom w:val="single" w:sz="4" w:space="0" w:color="auto"/>
              <w:right w:val="single" w:sz="4" w:space="0" w:color="auto"/>
            </w:tcBorders>
            <w:shd w:val="clear" w:color="auto" w:fill="auto"/>
            <w:noWrap/>
            <w:vAlign w:val="center"/>
            <w:hideMark/>
          </w:tcPr>
          <w:p w14:paraId="11EAA5E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E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E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E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1" w:type="dxa"/>
            <w:tcBorders>
              <w:top w:val="nil"/>
              <w:left w:val="nil"/>
              <w:bottom w:val="single" w:sz="4" w:space="0" w:color="auto"/>
              <w:right w:val="single" w:sz="4" w:space="0" w:color="auto"/>
            </w:tcBorders>
            <w:shd w:val="clear" w:color="auto" w:fill="auto"/>
            <w:noWrap/>
            <w:vAlign w:val="center"/>
            <w:hideMark/>
          </w:tcPr>
          <w:p w14:paraId="11EAA5E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5E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4.51</w:t>
            </w:r>
          </w:p>
        </w:tc>
        <w:tc>
          <w:tcPr>
            <w:tcW w:w="361" w:type="dxa"/>
            <w:tcBorders>
              <w:top w:val="nil"/>
              <w:left w:val="nil"/>
              <w:bottom w:val="single" w:sz="4" w:space="0" w:color="auto"/>
              <w:right w:val="single" w:sz="4" w:space="0" w:color="auto"/>
            </w:tcBorders>
            <w:shd w:val="clear" w:color="auto" w:fill="auto"/>
            <w:noWrap/>
            <w:vAlign w:val="center"/>
            <w:hideMark/>
          </w:tcPr>
          <w:p w14:paraId="11EAA5E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1.00</w:t>
            </w:r>
          </w:p>
        </w:tc>
        <w:tc>
          <w:tcPr>
            <w:tcW w:w="361" w:type="dxa"/>
            <w:tcBorders>
              <w:top w:val="nil"/>
              <w:left w:val="nil"/>
              <w:bottom w:val="single" w:sz="4" w:space="0" w:color="auto"/>
              <w:right w:val="single" w:sz="4" w:space="0" w:color="auto"/>
            </w:tcBorders>
            <w:shd w:val="clear" w:color="auto" w:fill="auto"/>
            <w:noWrap/>
            <w:vAlign w:val="center"/>
            <w:hideMark/>
          </w:tcPr>
          <w:p w14:paraId="11EAA5E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2.56</w:t>
            </w:r>
          </w:p>
        </w:tc>
        <w:tc>
          <w:tcPr>
            <w:tcW w:w="361" w:type="dxa"/>
            <w:tcBorders>
              <w:top w:val="nil"/>
              <w:left w:val="nil"/>
              <w:bottom w:val="single" w:sz="4" w:space="0" w:color="auto"/>
              <w:right w:val="single" w:sz="4" w:space="0" w:color="auto"/>
            </w:tcBorders>
            <w:shd w:val="clear" w:color="auto" w:fill="auto"/>
            <w:noWrap/>
            <w:vAlign w:val="center"/>
            <w:hideMark/>
          </w:tcPr>
          <w:p w14:paraId="11EAA5E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0.63</w:t>
            </w:r>
          </w:p>
        </w:tc>
        <w:tc>
          <w:tcPr>
            <w:tcW w:w="361" w:type="dxa"/>
            <w:tcBorders>
              <w:top w:val="nil"/>
              <w:left w:val="nil"/>
              <w:bottom w:val="single" w:sz="4" w:space="0" w:color="auto"/>
              <w:right w:val="single" w:sz="4" w:space="0" w:color="auto"/>
            </w:tcBorders>
            <w:shd w:val="clear" w:color="auto" w:fill="auto"/>
            <w:noWrap/>
            <w:vAlign w:val="center"/>
            <w:hideMark/>
          </w:tcPr>
          <w:p w14:paraId="11EAA5E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E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1.44</w:t>
            </w:r>
          </w:p>
        </w:tc>
        <w:tc>
          <w:tcPr>
            <w:tcW w:w="361" w:type="dxa"/>
            <w:tcBorders>
              <w:top w:val="nil"/>
              <w:left w:val="nil"/>
              <w:bottom w:val="single" w:sz="4" w:space="0" w:color="auto"/>
              <w:right w:val="single" w:sz="4" w:space="0" w:color="auto"/>
            </w:tcBorders>
            <w:shd w:val="clear" w:color="auto" w:fill="auto"/>
            <w:noWrap/>
            <w:vAlign w:val="center"/>
            <w:hideMark/>
          </w:tcPr>
          <w:p w14:paraId="11EAA5E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5F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F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5F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5F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1.13</w:t>
            </w:r>
          </w:p>
        </w:tc>
        <w:tc>
          <w:tcPr>
            <w:tcW w:w="361" w:type="dxa"/>
            <w:tcBorders>
              <w:top w:val="nil"/>
              <w:left w:val="nil"/>
              <w:bottom w:val="single" w:sz="4" w:space="0" w:color="auto"/>
              <w:right w:val="single" w:sz="4" w:space="0" w:color="auto"/>
            </w:tcBorders>
            <w:shd w:val="clear" w:color="auto" w:fill="auto"/>
            <w:noWrap/>
            <w:vAlign w:val="center"/>
            <w:hideMark/>
          </w:tcPr>
          <w:p w14:paraId="11EAA5F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F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5F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1" w:type="dxa"/>
            <w:tcBorders>
              <w:top w:val="nil"/>
              <w:left w:val="nil"/>
              <w:bottom w:val="single" w:sz="4" w:space="0" w:color="auto"/>
              <w:right w:val="single" w:sz="4" w:space="0" w:color="auto"/>
            </w:tcBorders>
            <w:shd w:val="clear" w:color="auto" w:fill="auto"/>
            <w:noWrap/>
            <w:vAlign w:val="center"/>
            <w:hideMark/>
          </w:tcPr>
          <w:p w14:paraId="11EAA5F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5F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5F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1.31</w:t>
            </w:r>
          </w:p>
        </w:tc>
      </w:tr>
      <w:tr w:rsidR="00B33EEE" w:rsidRPr="00B33EEE" w14:paraId="11EAA621"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5FB"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5FC"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Pine</w:t>
            </w:r>
          </w:p>
        </w:tc>
        <w:tc>
          <w:tcPr>
            <w:tcW w:w="320" w:type="dxa"/>
            <w:tcBorders>
              <w:top w:val="nil"/>
              <w:left w:val="nil"/>
              <w:bottom w:val="single" w:sz="4" w:space="0" w:color="auto"/>
              <w:right w:val="single" w:sz="4" w:space="0" w:color="auto"/>
            </w:tcBorders>
            <w:shd w:val="clear" w:color="auto" w:fill="auto"/>
            <w:noWrap/>
            <w:vAlign w:val="center"/>
            <w:hideMark/>
          </w:tcPr>
          <w:p w14:paraId="11EAA5F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5F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6.69</w:t>
            </w:r>
          </w:p>
        </w:tc>
        <w:tc>
          <w:tcPr>
            <w:tcW w:w="360" w:type="dxa"/>
            <w:tcBorders>
              <w:top w:val="nil"/>
              <w:left w:val="nil"/>
              <w:bottom w:val="single" w:sz="4" w:space="0" w:color="auto"/>
              <w:right w:val="single" w:sz="4" w:space="0" w:color="auto"/>
            </w:tcBorders>
            <w:shd w:val="clear" w:color="auto" w:fill="auto"/>
            <w:noWrap/>
            <w:vAlign w:val="center"/>
            <w:hideMark/>
          </w:tcPr>
          <w:p w14:paraId="11EAA5F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0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0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60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0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0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60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0" w:type="dxa"/>
            <w:tcBorders>
              <w:top w:val="nil"/>
              <w:left w:val="nil"/>
              <w:bottom w:val="single" w:sz="4" w:space="0" w:color="auto"/>
              <w:right w:val="single" w:sz="4" w:space="0" w:color="auto"/>
            </w:tcBorders>
            <w:shd w:val="clear" w:color="auto" w:fill="auto"/>
            <w:noWrap/>
            <w:vAlign w:val="center"/>
            <w:hideMark/>
          </w:tcPr>
          <w:p w14:paraId="11EAA60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0" w:type="dxa"/>
            <w:tcBorders>
              <w:top w:val="nil"/>
              <w:left w:val="nil"/>
              <w:bottom w:val="single" w:sz="4" w:space="0" w:color="auto"/>
              <w:right w:val="single" w:sz="4" w:space="0" w:color="auto"/>
            </w:tcBorders>
            <w:shd w:val="clear" w:color="auto" w:fill="auto"/>
            <w:noWrap/>
            <w:vAlign w:val="center"/>
            <w:hideMark/>
          </w:tcPr>
          <w:p w14:paraId="11EAA60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60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21.56</w:t>
            </w:r>
          </w:p>
        </w:tc>
        <w:tc>
          <w:tcPr>
            <w:tcW w:w="361" w:type="dxa"/>
            <w:tcBorders>
              <w:top w:val="nil"/>
              <w:left w:val="nil"/>
              <w:bottom w:val="single" w:sz="4" w:space="0" w:color="auto"/>
              <w:right w:val="single" w:sz="4" w:space="0" w:color="auto"/>
            </w:tcBorders>
            <w:shd w:val="clear" w:color="auto" w:fill="auto"/>
            <w:noWrap/>
            <w:vAlign w:val="center"/>
            <w:hideMark/>
          </w:tcPr>
          <w:p w14:paraId="11EAA60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60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60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60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60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60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1.38</w:t>
            </w:r>
          </w:p>
        </w:tc>
        <w:tc>
          <w:tcPr>
            <w:tcW w:w="361" w:type="dxa"/>
            <w:tcBorders>
              <w:top w:val="nil"/>
              <w:left w:val="nil"/>
              <w:bottom w:val="single" w:sz="4" w:space="0" w:color="auto"/>
              <w:right w:val="single" w:sz="4" w:space="0" w:color="auto"/>
            </w:tcBorders>
            <w:shd w:val="clear" w:color="auto" w:fill="auto"/>
            <w:noWrap/>
            <w:vAlign w:val="center"/>
            <w:hideMark/>
          </w:tcPr>
          <w:p w14:paraId="11EAA60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1" w:type="dxa"/>
            <w:tcBorders>
              <w:top w:val="nil"/>
              <w:left w:val="nil"/>
              <w:bottom w:val="single" w:sz="4" w:space="0" w:color="auto"/>
              <w:right w:val="single" w:sz="4" w:space="0" w:color="auto"/>
            </w:tcBorders>
            <w:shd w:val="clear" w:color="auto" w:fill="auto"/>
            <w:noWrap/>
            <w:vAlign w:val="center"/>
            <w:hideMark/>
          </w:tcPr>
          <w:p w14:paraId="11EAA61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7.63</w:t>
            </w:r>
          </w:p>
        </w:tc>
        <w:tc>
          <w:tcPr>
            <w:tcW w:w="361" w:type="dxa"/>
            <w:tcBorders>
              <w:top w:val="nil"/>
              <w:left w:val="nil"/>
              <w:bottom w:val="single" w:sz="4" w:space="0" w:color="auto"/>
              <w:right w:val="single" w:sz="4" w:space="0" w:color="auto"/>
            </w:tcBorders>
            <w:shd w:val="clear" w:color="auto" w:fill="auto"/>
            <w:noWrap/>
            <w:vAlign w:val="center"/>
            <w:hideMark/>
          </w:tcPr>
          <w:p w14:paraId="11EAA61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61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1.25</w:t>
            </w:r>
          </w:p>
        </w:tc>
        <w:tc>
          <w:tcPr>
            <w:tcW w:w="361" w:type="dxa"/>
            <w:tcBorders>
              <w:top w:val="nil"/>
              <w:left w:val="nil"/>
              <w:bottom w:val="single" w:sz="4" w:space="0" w:color="auto"/>
              <w:right w:val="single" w:sz="4" w:space="0" w:color="auto"/>
            </w:tcBorders>
            <w:shd w:val="clear" w:color="auto" w:fill="auto"/>
            <w:noWrap/>
            <w:vAlign w:val="center"/>
            <w:hideMark/>
          </w:tcPr>
          <w:p w14:paraId="11EAA61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0.94</w:t>
            </w:r>
          </w:p>
        </w:tc>
        <w:tc>
          <w:tcPr>
            <w:tcW w:w="361" w:type="dxa"/>
            <w:tcBorders>
              <w:top w:val="nil"/>
              <w:left w:val="nil"/>
              <w:bottom w:val="single" w:sz="4" w:space="0" w:color="auto"/>
              <w:right w:val="single" w:sz="4" w:space="0" w:color="auto"/>
            </w:tcBorders>
            <w:shd w:val="clear" w:color="auto" w:fill="auto"/>
            <w:noWrap/>
            <w:vAlign w:val="center"/>
            <w:hideMark/>
          </w:tcPr>
          <w:p w14:paraId="11EAA61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1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3.06</w:t>
            </w:r>
          </w:p>
        </w:tc>
        <w:tc>
          <w:tcPr>
            <w:tcW w:w="361" w:type="dxa"/>
            <w:tcBorders>
              <w:top w:val="nil"/>
              <w:left w:val="nil"/>
              <w:bottom w:val="single" w:sz="4" w:space="0" w:color="auto"/>
              <w:right w:val="single" w:sz="4" w:space="0" w:color="auto"/>
            </w:tcBorders>
            <w:shd w:val="clear" w:color="auto" w:fill="auto"/>
            <w:noWrap/>
            <w:vAlign w:val="center"/>
            <w:hideMark/>
          </w:tcPr>
          <w:p w14:paraId="11EAA61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1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1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c>
          <w:tcPr>
            <w:tcW w:w="361" w:type="dxa"/>
            <w:tcBorders>
              <w:top w:val="nil"/>
              <w:left w:val="nil"/>
              <w:bottom w:val="single" w:sz="4" w:space="0" w:color="auto"/>
              <w:right w:val="single" w:sz="4" w:space="0" w:color="auto"/>
            </w:tcBorders>
            <w:shd w:val="clear" w:color="auto" w:fill="auto"/>
            <w:noWrap/>
            <w:vAlign w:val="center"/>
            <w:hideMark/>
          </w:tcPr>
          <w:p w14:paraId="11EAA61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61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2.63</w:t>
            </w:r>
          </w:p>
        </w:tc>
        <w:tc>
          <w:tcPr>
            <w:tcW w:w="361" w:type="dxa"/>
            <w:tcBorders>
              <w:top w:val="nil"/>
              <w:left w:val="nil"/>
              <w:bottom w:val="single" w:sz="4" w:space="0" w:color="auto"/>
              <w:right w:val="single" w:sz="4" w:space="0" w:color="auto"/>
            </w:tcBorders>
            <w:shd w:val="clear" w:color="auto" w:fill="auto"/>
            <w:noWrap/>
            <w:vAlign w:val="center"/>
            <w:hideMark/>
          </w:tcPr>
          <w:p w14:paraId="11EAA61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1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1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1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1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62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r>
      <w:tr w:rsidR="00B33EEE" w:rsidRPr="00B33EEE" w14:paraId="11EAA648"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622"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623"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62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62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1.75</w:t>
            </w:r>
          </w:p>
        </w:tc>
        <w:tc>
          <w:tcPr>
            <w:tcW w:w="360" w:type="dxa"/>
            <w:tcBorders>
              <w:top w:val="nil"/>
              <w:left w:val="nil"/>
              <w:bottom w:val="single" w:sz="4" w:space="0" w:color="auto"/>
              <w:right w:val="single" w:sz="4" w:space="0" w:color="auto"/>
            </w:tcBorders>
            <w:shd w:val="clear" w:color="auto" w:fill="auto"/>
            <w:noWrap/>
            <w:vAlign w:val="center"/>
            <w:hideMark/>
          </w:tcPr>
          <w:p w14:paraId="11EAA62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2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2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2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2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1.25</w:t>
            </w:r>
          </w:p>
        </w:tc>
        <w:tc>
          <w:tcPr>
            <w:tcW w:w="360" w:type="dxa"/>
            <w:tcBorders>
              <w:top w:val="nil"/>
              <w:left w:val="nil"/>
              <w:bottom w:val="single" w:sz="4" w:space="0" w:color="auto"/>
              <w:right w:val="single" w:sz="4" w:space="0" w:color="auto"/>
            </w:tcBorders>
            <w:shd w:val="clear" w:color="auto" w:fill="auto"/>
            <w:noWrap/>
            <w:vAlign w:val="center"/>
            <w:hideMark/>
          </w:tcPr>
          <w:p w14:paraId="11EAA62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A62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0" w:type="dxa"/>
            <w:tcBorders>
              <w:top w:val="nil"/>
              <w:left w:val="nil"/>
              <w:bottom w:val="single" w:sz="4" w:space="0" w:color="auto"/>
              <w:right w:val="single" w:sz="4" w:space="0" w:color="auto"/>
            </w:tcBorders>
            <w:shd w:val="clear" w:color="auto" w:fill="auto"/>
            <w:noWrap/>
            <w:vAlign w:val="center"/>
            <w:hideMark/>
          </w:tcPr>
          <w:p w14:paraId="11EAA62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62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62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8.31</w:t>
            </w:r>
          </w:p>
        </w:tc>
        <w:tc>
          <w:tcPr>
            <w:tcW w:w="361" w:type="dxa"/>
            <w:tcBorders>
              <w:top w:val="nil"/>
              <w:left w:val="nil"/>
              <w:bottom w:val="single" w:sz="4" w:space="0" w:color="auto"/>
              <w:right w:val="single" w:sz="4" w:space="0" w:color="auto"/>
            </w:tcBorders>
            <w:shd w:val="clear" w:color="auto" w:fill="auto"/>
            <w:noWrap/>
            <w:vAlign w:val="center"/>
            <w:hideMark/>
          </w:tcPr>
          <w:p w14:paraId="11EAA63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63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2.88</w:t>
            </w:r>
          </w:p>
        </w:tc>
        <w:tc>
          <w:tcPr>
            <w:tcW w:w="361" w:type="dxa"/>
            <w:tcBorders>
              <w:top w:val="nil"/>
              <w:left w:val="nil"/>
              <w:bottom w:val="single" w:sz="4" w:space="0" w:color="auto"/>
              <w:right w:val="single" w:sz="4" w:space="0" w:color="auto"/>
            </w:tcBorders>
            <w:shd w:val="clear" w:color="auto" w:fill="auto"/>
            <w:noWrap/>
            <w:vAlign w:val="center"/>
            <w:hideMark/>
          </w:tcPr>
          <w:p w14:paraId="11EAA63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63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3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63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2.31</w:t>
            </w:r>
          </w:p>
        </w:tc>
        <w:tc>
          <w:tcPr>
            <w:tcW w:w="361" w:type="dxa"/>
            <w:tcBorders>
              <w:top w:val="nil"/>
              <w:left w:val="nil"/>
              <w:bottom w:val="single" w:sz="4" w:space="0" w:color="auto"/>
              <w:right w:val="single" w:sz="4" w:space="0" w:color="auto"/>
            </w:tcBorders>
            <w:shd w:val="clear" w:color="auto" w:fill="auto"/>
            <w:noWrap/>
            <w:vAlign w:val="center"/>
            <w:hideMark/>
          </w:tcPr>
          <w:p w14:paraId="11EAA63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63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3.94</w:t>
            </w:r>
          </w:p>
        </w:tc>
        <w:tc>
          <w:tcPr>
            <w:tcW w:w="361" w:type="dxa"/>
            <w:tcBorders>
              <w:top w:val="nil"/>
              <w:left w:val="nil"/>
              <w:bottom w:val="single" w:sz="4" w:space="0" w:color="auto"/>
              <w:right w:val="single" w:sz="4" w:space="0" w:color="auto"/>
            </w:tcBorders>
            <w:shd w:val="clear" w:color="auto" w:fill="auto"/>
            <w:noWrap/>
            <w:vAlign w:val="center"/>
            <w:hideMark/>
          </w:tcPr>
          <w:p w14:paraId="11EAA63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1.75</w:t>
            </w:r>
          </w:p>
        </w:tc>
        <w:tc>
          <w:tcPr>
            <w:tcW w:w="361" w:type="dxa"/>
            <w:tcBorders>
              <w:top w:val="nil"/>
              <w:left w:val="nil"/>
              <w:bottom w:val="single" w:sz="4" w:space="0" w:color="auto"/>
              <w:right w:val="single" w:sz="4" w:space="0" w:color="auto"/>
            </w:tcBorders>
            <w:shd w:val="clear" w:color="auto" w:fill="auto"/>
            <w:noWrap/>
            <w:vAlign w:val="center"/>
            <w:hideMark/>
          </w:tcPr>
          <w:p w14:paraId="11EAA63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2.00</w:t>
            </w:r>
          </w:p>
        </w:tc>
        <w:tc>
          <w:tcPr>
            <w:tcW w:w="361" w:type="dxa"/>
            <w:tcBorders>
              <w:top w:val="nil"/>
              <w:left w:val="nil"/>
              <w:bottom w:val="single" w:sz="4" w:space="0" w:color="auto"/>
              <w:right w:val="single" w:sz="4" w:space="0" w:color="auto"/>
            </w:tcBorders>
            <w:shd w:val="clear" w:color="auto" w:fill="auto"/>
            <w:noWrap/>
            <w:vAlign w:val="center"/>
            <w:hideMark/>
          </w:tcPr>
          <w:p w14:paraId="11EAA63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5.13</w:t>
            </w:r>
          </w:p>
        </w:tc>
        <w:tc>
          <w:tcPr>
            <w:tcW w:w="361" w:type="dxa"/>
            <w:tcBorders>
              <w:top w:val="nil"/>
              <w:left w:val="nil"/>
              <w:bottom w:val="single" w:sz="4" w:space="0" w:color="auto"/>
              <w:right w:val="single" w:sz="4" w:space="0" w:color="auto"/>
            </w:tcBorders>
            <w:shd w:val="clear" w:color="auto" w:fill="auto"/>
            <w:noWrap/>
            <w:vAlign w:val="center"/>
            <w:hideMark/>
          </w:tcPr>
          <w:p w14:paraId="11EAA63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3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5.94</w:t>
            </w:r>
          </w:p>
        </w:tc>
        <w:tc>
          <w:tcPr>
            <w:tcW w:w="361" w:type="dxa"/>
            <w:tcBorders>
              <w:top w:val="nil"/>
              <w:left w:val="nil"/>
              <w:bottom w:val="single" w:sz="4" w:space="0" w:color="auto"/>
              <w:right w:val="single" w:sz="4" w:space="0" w:color="auto"/>
            </w:tcBorders>
            <w:shd w:val="clear" w:color="auto" w:fill="auto"/>
            <w:noWrap/>
            <w:vAlign w:val="center"/>
            <w:hideMark/>
          </w:tcPr>
          <w:p w14:paraId="11EAA63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3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3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4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1.19</w:t>
            </w:r>
          </w:p>
        </w:tc>
        <w:tc>
          <w:tcPr>
            <w:tcW w:w="361" w:type="dxa"/>
            <w:tcBorders>
              <w:top w:val="nil"/>
              <w:left w:val="nil"/>
              <w:bottom w:val="single" w:sz="4" w:space="0" w:color="auto"/>
              <w:right w:val="single" w:sz="4" w:space="0" w:color="auto"/>
            </w:tcBorders>
            <w:shd w:val="clear" w:color="auto" w:fill="auto"/>
            <w:noWrap/>
            <w:vAlign w:val="center"/>
            <w:hideMark/>
          </w:tcPr>
          <w:p w14:paraId="11EAA64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1.00</w:t>
            </w:r>
          </w:p>
        </w:tc>
        <w:tc>
          <w:tcPr>
            <w:tcW w:w="361" w:type="dxa"/>
            <w:tcBorders>
              <w:top w:val="nil"/>
              <w:left w:val="nil"/>
              <w:bottom w:val="single" w:sz="4" w:space="0" w:color="auto"/>
              <w:right w:val="single" w:sz="4" w:space="0" w:color="auto"/>
            </w:tcBorders>
            <w:shd w:val="clear" w:color="auto" w:fill="auto"/>
            <w:noWrap/>
            <w:vAlign w:val="center"/>
            <w:hideMark/>
          </w:tcPr>
          <w:p w14:paraId="11EAA64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4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4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4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4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64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1.75</w:t>
            </w:r>
          </w:p>
        </w:tc>
      </w:tr>
      <w:tr w:rsidR="00B33EEE" w:rsidRPr="00B33EEE" w14:paraId="11EAA66F"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649"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64A"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Seaforth</w:t>
            </w:r>
          </w:p>
        </w:tc>
        <w:tc>
          <w:tcPr>
            <w:tcW w:w="320" w:type="dxa"/>
            <w:tcBorders>
              <w:top w:val="nil"/>
              <w:left w:val="nil"/>
              <w:bottom w:val="single" w:sz="4" w:space="0" w:color="auto"/>
              <w:right w:val="single" w:sz="4" w:space="0" w:color="auto"/>
            </w:tcBorders>
            <w:shd w:val="clear" w:color="auto" w:fill="auto"/>
            <w:noWrap/>
            <w:vAlign w:val="center"/>
            <w:hideMark/>
          </w:tcPr>
          <w:p w14:paraId="11EAA64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64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c>
          <w:tcPr>
            <w:tcW w:w="360" w:type="dxa"/>
            <w:tcBorders>
              <w:top w:val="nil"/>
              <w:left w:val="nil"/>
              <w:bottom w:val="single" w:sz="4" w:space="0" w:color="auto"/>
              <w:right w:val="single" w:sz="4" w:space="0" w:color="auto"/>
            </w:tcBorders>
            <w:shd w:val="clear" w:color="auto" w:fill="auto"/>
            <w:noWrap/>
            <w:vAlign w:val="center"/>
            <w:hideMark/>
          </w:tcPr>
          <w:p w14:paraId="11EAA64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A64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4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5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5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5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A65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0" w:type="dxa"/>
            <w:tcBorders>
              <w:top w:val="nil"/>
              <w:left w:val="nil"/>
              <w:bottom w:val="single" w:sz="4" w:space="0" w:color="auto"/>
              <w:right w:val="single" w:sz="4" w:space="0" w:color="auto"/>
            </w:tcBorders>
            <w:shd w:val="clear" w:color="auto" w:fill="auto"/>
            <w:noWrap/>
            <w:vAlign w:val="center"/>
            <w:hideMark/>
          </w:tcPr>
          <w:p w14:paraId="11EAA65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1.00</w:t>
            </w:r>
          </w:p>
        </w:tc>
        <w:tc>
          <w:tcPr>
            <w:tcW w:w="360" w:type="dxa"/>
            <w:tcBorders>
              <w:top w:val="nil"/>
              <w:left w:val="nil"/>
              <w:bottom w:val="single" w:sz="4" w:space="0" w:color="auto"/>
              <w:right w:val="single" w:sz="4" w:space="0" w:color="auto"/>
            </w:tcBorders>
            <w:shd w:val="clear" w:color="auto" w:fill="auto"/>
            <w:noWrap/>
            <w:vAlign w:val="center"/>
            <w:hideMark/>
          </w:tcPr>
          <w:p w14:paraId="11EAA65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65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65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65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1.94</w:t>
            </w:r>
          </w:p>
        </w:tc>
        <w:tc>
          <w:tcPr>
            <w:tcW w:w="361" w:type="dxa"/>
            <w:tcBorders>
              <w:top w:val="nil"/>
              <w:left w:val="nil"/>
              <w:bottom w:val="single" w:sz="4" w:space="0" w:color="auto"/>
              <w:right w:val="single" w:sz="4" w:space="0" w:color="auto"/>
            </w:tcBorders>
            <w:shd w:val="clear" w:color="auto" w:fill="auto"/>
            <w:noWrap/>
            <w:vAlign w:val="center"/>
            <w:hideMark/>
          </w:tcPr>
          <w:p w14:paraId="11EAA65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65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5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5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65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65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65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6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6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66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6.50</w:t>
            </w:r>
          </w:p>
        </w:tc>
        <w:tc>
          <w:tcPr>
            <w:tcW w:w="361" w:type="dxa"/>
            <w:tcBorders>
              <w:top w:val="nil"/>
              <w:left w:val="nil"/>
              <w:bottom w:val="single" w:sz="4" w:space="0" w:color="auto"/>
              <w:right w:val="single" w:sz="4" w:space="0" w:color="auto"/>
            </w:tcBorders>
            <w:shd w:val="clear" w:color="auto" w:fill="auto"/>
            <w:noWrap/>
            <w:vAlign w:val="center"/>
            <w:hideMark/>
          </w:tcPr>
          <w:p w14:paraId="11EAA66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6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66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6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66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66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6.69</w:t>
            </w:r>
          </w:p>
        </w:tc>
        <w:tc>
          <w:tcPr>
            <w:tcW w:w="361" w:type="dxa"/>
            <w:tcBorders>
              <w:top w:val="nil"/>
              <w:left w:val="nil"/>
              <w:bottom w:val="single" w:sz="4" w:space="0" w:color="auto"/>
              <w:right w:val="single" w:sz="4" w:space="0" w:color="auto"/>
            </w:tcBorders>
            <w:shd w:val="clear" w:color="auto" w:fill="auto"/>
            <w:noWrap/>
            <w:vAlign w:val="center"/>
            <w:hideMark/>
          </w:tcPr>
          <w:p w14:paraId="11EAA66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6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6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6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6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66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0.88</w:t>
            </w:r>
          </w:p>
        </w:tc>
      </w:tr>
      <w:tr w:rsidR="00B33EEE" w:rsidRPr="00B33EEE" w14:paraId="11EAA696"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670"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671"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67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67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A67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7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A67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7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0" w:type="dxa"/>
            <w:tcBorders>
              <w:top w:val="nil"/>
              <w:left w:val="nil"/>
              <w:bottom w:val="single" w:sz="4" w:space="0" w:color="auto"/>
              <w:right w:val="single" w:sz="4" w:space="0" w:color="auto"/>
            </w:tcBorders>
            <w:shd w:val="clear" w:color="auto" w:fill="auto"/>
            <w:noWrap/>
            <w:vAlign w:val="center"/>
            <w:hideMark/>
          </w:tcPr>
          <w:p w14:paraId="11EAA67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7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67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A67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67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67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67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1" w:type="dxa"/>
            <w:tcBorders>
              <w:top w:val="nil"/>
              <w:left w:val="nil"/>
              <w:bottom w:val="single" w:sz="4" w:space="0" w:color="auto"/>
              <w:right w:val="single" w:sz="4" w:space="0" w:color="auto"/>
            </w:tcBorders>
            <w:shd w:val="clear" w:color="auto" w:fill="auto"/>
            <w:noWrap/>
            <w:vAlign w:val="center"/>
            <w:hideMark/>
          </w:tcPr>
          <w:p w14:paraId="11EAA67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5.69</w:t>
            </w:r>
          </w:p>
        </w:tc>
        <w:tc>
          <w:tcPr>
            <w:tcW w:w="361" w:type="dxa"/>
            <w:tcBorders>
              <w:top w:val="nil"/>
              <w:left w:val="nil"/>
              <w:bottom w:val="single" w:sz="4" w:space="0" w:color="auto"/>
              <w:right w:val="single" w:sz="4" w:space="0" w:color="auto"/>
            </w:tcBorders>
            <w:shd w:val="clear" w:color="auto" w:fill="auto"/>
            <w:noWrap/>
            <w:vAlign w:val="center"/>
            <w:hideMark/>
          </w:tcPr>
          <w:p w14:paraId="11EAA68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68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8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8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68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8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1" w:type="dxa"/>
            <w:tcBorders>
              <w:top w:val="nil"/>
              <w:left w:val="nil"/>
              <w:bottom w:val="single" w:sz="4" w:space="0" w:color="auto"/>
              <w:right w:val="single" w:sz="4" w:space="0" w:color="auto"/>
            </w:tcBorders>
            <w:shd w:val="clear" w:color="auto" w:fill="auto"/>
            <w:noWrap/>
            <w:vAlign w:val="center"/>
            <w:hideMark/>
          </w:tcPr>
          <w:p w14:paraId="11EAA68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8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68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68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1" w:type="dxa"/>
            <w:tcBorders>
              <w:top w:val="nil"/>
              <w:left w:val="nil"/>
              <w:bottom w:val="single" w:sz="4" w:space="0" w:color="auto"/>
              <w:right w:val="single" w:sz="4" w:space="0" w:color="auto"/>
            </w:tcBorders>
            <w:shd w:val="clear" w:color="auto" w:fill="auto"/>
            <w:noWrap/>
            <w:vAlign w:val="center"/>
            <w:hideMark/>
          </w:tcPr>
          <w:p w14:paraId="11EAA68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8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68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8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8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68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1.75</w:t>
            </w:r>
          </w:p>
        </w:tc>
        <w:tc>
          <w:tcPr>
            <w:tcW w:w="361" w:type="dxa"/>
            <w:tcBorders>
              <w:top w:val="nil"/>
              <w:left w:val="nil"/>
              <w:bottom w:val="single" w:sz="4" w:space="0" w:color="auto"/>
              <w:right w:val="single" w:sz="4" w:space="0" w:color="auto"/>
            </w:tcBorders>
            <w:shd w:val="clear" w:color="auto" w:fill="auto"/>
            <w:noWrap/>
            <w:vAlign w:val="center"/>
            <w:hideMark/>
          </w:tcPr>
          <w:p w14:paraId="11EAA69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9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9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9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9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69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r>
      <w:tr w:rsidR="00C422C5" w:rsidRPr="00B33EEE" w14:paraId="11EAA6BE" w14:textId="77777777" w:rsidTr="00B66372">
        <w:trPr>
          <w:trHeight w:hRule="exact" w:val="397"/>
        </w:trPr>
        <w:tc>
          <w:tcPr>
            <w:tcW w:w="398"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A697" w14:textId="77777777" w:rsidR="00C422C5" w:rsidRPr="00C422C5" w:rsidRDefault="00C422C5"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Fitzroy</w:t>
            </w:r>
          </w:p>
        </w:tc>
        <w:tc>
          <w:tcPr>
            <w:tcW w:w="895" w:type="dxa"/>
            <w:vMerge w:val="restart"/>
            <w:tcBorders>
              <w:top w:val="nil"/>
              <w:left w:val="nil"/>
              <w:right w:val="single" w:sz="4" w:space="0" w:color="auto"/>
            </w:tcBorders>
            <w:shd w:val="clear" w:color="auto" w:fill="auto"/>
            <w:noWrap/>
            <w:hideMark/>
          </w:tcPr>
          <w:p w14:paraId="11EAA698" w14:textId="77777777" w:rsidR="00C422C5" w:rsidRPr="00C422C5" w:rsidRDefault="00C422C5" w:rsidP="00C422C5">
            <w:pPr>
              <w:spacing w:after="0"/>
              <w:jc w:val="center"/>
              <w:rPr>
                <w:rFonts w:ascii="Arial Narrow" w:hAnsi="Arial Narrow"/>
                <w:color w:val="000000"/>
                <w:sz w:val="18"/>
                <w:szCs w:val="18"/>
                <w:lang w:val="en-AU" w:eastAsia="en-AU"/>
              </w:rPr>
            </w:pPr>
          </w:p>
          <w:p w14:paraId="11EAA699" w14:textId="77777777" w:rsidR="00C422C5" w:rsidRPr="00C422C5" w:rsidRDefault="00C422C5" w:rsidP="00C422C5">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Barren</w:t>
            </w:r>
          </w:p>
        </w:tc>
        <w:tc>
          <w:tcPr>
            <w:tcW w:w="320" w:type="dxa"/>
            <w:tcBorders>
              <w:top w:val="nil"/>
              <w:left w:val="nil"/>
              <w:bottom w:val="single" w:sz="4" w:space="0" w:color="auto"/>
              <w:right w:val="single" w:sz="4" w:space="0" w:color="auto"/>
            </w:tcBorders>
            <w:shd w:val="clear" w:color="auto" w:fill="auto"/>
            <w:noWrap/>
            <w:vAlign w:val="center"/>
            <w:hideMark/>
          </w:tcPr>
          <w:p w14:paraId="11EAA69A"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69B"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6.00</w:t>
            </w:r>
          </w:p>
        </w:tc>
        <w:tc>
          <w:tcPr>
            <w:tcW w:w="360" w:type="dxa"/>
            <w:tcBorders>
              <w:top w:val="nil"/>
              <w:left w:val="nil"/>
              <w:bottom w:val="single" w:sz="4" w:space="0" w:color="auto"/>
              <w:right w:val="single" w:sz="4" w:space="0" w:color="auto"/>
            </w:tcBorders>
            <w:shd w:val="clear" w:color="auto" w:fill="auto"/>
            <w:noWrap/>
            <w:vAlign w:val="center"/>
            <w:hideMark/>
          </w:tcPr>
          <w:p w14:paraId="11EAA69C"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69D"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9E"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69F"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A0"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A1"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A2"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A3"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A4"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A5"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A6"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6A7"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A8"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A9"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3.13</w:t>
            </w:r>
          </w:p>
        </w:tc>
        <w:tc>
          <w:tcPr>
            <w:tcW w:w="361" w:type="dxa"/>
            <w:tcBorders>
              <w:top w:val="nil"/>
              <w:left w:val="nil"/>
              <w:bottom w:val="single" w:sz="4" w:space="0" w:color="auto"/>
              <w:right w:val="single" w:sz="4" w:space="0" w:color="auto"/>
            </w:tcBorders>
            <w:shd w:val="clear" w:color="auto" w:fill="auto"/>
            <w:noWrap/>
            <w:vAlign w:val="center"/>
            <w:hideMark/>
          </w:tcPr>
          <w:p w14:paraId="11EAA6AA"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AB"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AC"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AD"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5.69</w:t>
            </w:r>
          </w:p>
        </w:tc>
        <w:tc>
          <w:tcPr>
            <w:tcW w:w="361" w:type="dxa"/>
            <w:tcBorders>
              <w:top w:val="nil"/>
              <w:left w:val="nil"/>
              <w:bottom w:val="single" w:sz="4" w:space="0" w:color="auto"/>
              <w:right w:val="single" w:sz="4" w:space="0" w:color="auto"/>
            </w:tcBorders>
            <w:shd w:val="clear" w:color="auto" w:fill="auto"/>
            <w:noWrap/>
            <w:vAlign w:val="center"/>
            <w:hideMark/>
          </w:tcPr>
          <w:p w14:paraId="11EAA6AE"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AF"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B0"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B1"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6B2"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B3"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6B4"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B5"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6B6"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B7"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6B8"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6B9"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BA"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BB"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BC"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BD"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r>
      <w:tr w:rsidR="00C422C5" w:rsidRPr="00B33EEE" w14:paraId="11EAA6E5"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6BF" w14:textId="77777777" w:rsidR="00C422C5" w:rsidRPr="00C422C5" w:rsidRDefault="00C422C5" w:rsidP="00B33EEE">
            <w:pPr>
              <w:spacing w:after="0"/>
              <w:jc w:val="left"/>
              <w:rPr>
                <w:rFonts w:ascii="Arial Narrow" w:hAnsi="Arial Narrow"/>
                <w:color w:val="000000"/>
                <w:sz w:val="18"/>
                <w:szCs w:val="18"/>
                <w:lang w:val="en-AU" w:eastAsia="en-AU"/>
              </w:rPr>
            </w:pPr>
          </w:p>
        </w:tc>
        <w:tc>
          <w:tcPr>
            <w:tcW w:w="895" w:type="dxa"/>
            <w:vMerge/>
            <w:tcBorders>
              <w:left w:val="single" w:sz="4" w:space="0" w:color="auto"/>
              <w:bottom w:val="single" w:sz="4" w:space="0" w:color="auto"/>
              <w:right w:val="single" w:sz="4" w:space="0" w:color="auto"/>
            </w:tcBorders>
            <w:shd w:val="clear" w:color="auto" w:fill="auto"/>
            <w:noWrap/>
            <w:vAlign w:val="center"/>
            <w:hideMark/>
          </w:tcPr>
          <w:p w14:paraId="11EAA6C0" w14:textId="77777777" w:rsidR="00C422C5" w:rsidRPr="00C422C5" w:rsidRDefault="00C422C5" w:rsidP="00B33EEE">
            <w:pPr>
              <w:spacing w:after="0"/>
              <w:jc w:val="center"/>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6C1"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6C2"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32.65</w:t>
            </w:r>
          </w:p>
        </w:tc>
        <w:tc>
          <w:tcPr>
            <w:tcW w:w="360" w:type="dxa"/>
            <w:tcBorders>
              <w:top w:val="nil"/>
              <w:left w:val="nil"/>
              <w:bottom w:val="single" w:sz="4" w:space="0" w:color="auto"/>
              <w:right w:val="single" w:sz="4" w:space="0" w:color="auto"/>
            </w:tcBorders>
            <w:shd w:val="clear" w:color="auto" w:fill="auto"/>
            <w:noWrap/>
            <w:vAlign w:val="center"/>
            <w:hideMark/>
          </w:tcPr>
          <w:p w14:paraId="11EAA6C3"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C4"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C5"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C6"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C7"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C8"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C9"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CA"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6CB"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CC"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CD"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CE"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CF"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D0"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D1"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D2"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D3"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D4"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c>
          <w:tcPr>
            <w:tcW w:w="361" w:type="dxa"/>
            <w:tcBorders>
              <w:top w:val="nil"/>
              <w:left w:val="nil"/>
              <w:bottom w:val="single" w:sz="4" w:space="0" w:color="auto"/>
              <w:right w:val="single" w:sz="4" w:space="0" w:color="auto"/>
            </w:tcBorders>
            <w:shd w:val="clear" w:color="auto" w:fill="auto"/>
            <w:noWrap/>
            <w:vAlign w:val="center"/>
            <w:hideMark/>
          </w:tcPr>
          <w:p w14:paraId="11EAA6D5"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D6"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D7"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D8"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D9"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DA"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DB"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DC"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6DD"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DE"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DF"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E0"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E1"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E2"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E3"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E4" w14:textId="77777777" w:rsidR="00C422C5" w:rsidRPr="00B33EEE" w:rsidRDefault="00C422C5" w:rsidP="00B33EEE">
            <w:pPr>
              <w:spacing w:after="0"/>
              <w:jc w:val="center"/>
              <w:rPr>
                <w:rFonts w:ascii="Arial Narrow" w:hAnsi="Arial Narrow"/>
                <w:color w:val="000000"/>
                <w:sz w:val="14"/>
                <w:szCs w:val="14"/>
                <w:lang w:val="en-AU" w:eastAsia="en-AU"/>
              </w:rPr>
            </w:pPr>
          </w:p>
        </w:tc>
      </w:tr>
      <w:tr w:rsidR="00C422C5" w:rsidRPr="00B33EEE" w14:paraId="11EAA70C"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6E6" w14:textId="77777777" w:rsidR="00C422C5" w:rsidRPr="00C422C5" w:rsidRDefault="00C422C5"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right w:val="single" w:sz="4" w:space="0" w:color="auto"/>
            </w:tcBorders>
            <w:shd w:val="clear" w:color="auto" w:fill="auto"/>
            <w:vAlign w:val="center"/>
            <w:hideMark/>
          </w:tcPr>
          <w:p w14:paraId="11EAA6E7" w14:textId="77777777" w:rsidR="00C422C5" w:rsidRPr="00C422C5" w:rsidRDefault="00C422C5"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North Keppel</w:t>
            </w:r>
          </w:p>
        </w:tc>
        <w:tc>
          <w:tcPr>
            <w:tcW w:w="320" w:type="dxa"/>
            <w:tcBorders>
              <w:top w:val="nil"/>
              <w:left w:val="nil"/>
              <w:bottom w:val="single" w:sz="4" w:space="0" w:color="auto"/>
              <w:right w:val="single" w:sz="4" w:space="0" w:color="auto"/>
            </w:tcBorders>
            <w:shd w:val="clear" w:color="auto" w:fill="auto"/>
            <w:noWrap/>
            <w:vAlign w:val="center"/>
            <w:hideMark/>
          </w:tcPr>
          <w:p w14:paraId="11EAA6E8"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6E9"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26.17</w:t>
            </w:r>
          </w:p>
        </w:tc>
        <w:tc>
          <w:tcPr>
            <w:tcW w:w="360" w:type="dxa"/>
            <w:tcBorders>
              <w:top w:val="nil"/>
              <w:left w:val="nil"/>
              <w:bottom w:val="single" w:sz="4" w:space="0" w:color="auto"/>
              <w:right w:val="single" w:sz="4" w:space="0" w:color="auto"/>
            </w:tcBorders>
            <w:shd w:val="clear" w:color="auto" w:fill="auto"/>
            <w:noWrap/>
            <w:vAlign w:val="center"/>
            <w:hideMark/>
          </w:tcPr>
          <w:p w14:paraId="11EAA6EA"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EB"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EC"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ED"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EE"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EF"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F0"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F1"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6F2"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1.69</w:t>
            </w:r>
          </w:p>
        </w:tc>
        <w:tc>
          <w:tcPr>
            <w:tcW w:w="361" w:type="dxa"/>
            <w:tcBorders>
              <w:top w:val="nil"/>
              <w:left w:val="nil"/>
              <w:bottom w:val="single" w:sz="4" w:space="0" w:color="auto"/>
              <w:right w:val="single" w:sz="4" w:space="0" w:color="auto"/>
            </w:tcBorders>
            <w:shd w:val="clear" w:color="auto" w:fill="auto"/>
            <w:noWrap/>
            <w:vAlign w:val="center"/>
            <w:hideMark/>
          </w:tcPr>
          <w:p w14:paraId="11EAA6F3"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F4"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6F5"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F6"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F7"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F8"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F9"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FA"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FB"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1.13</w:t>
            </w:r>
          </w:p>
        </w:tc>
        <w:tc>
          <w:tcPr>
            <w:tcW w:w="361" w:type="dxa"/>
            <w:tcBorders>
              <w:top w:val="nil"/>
              <w:left w:val="nil"/>
              <w:bottom w:val="single" w:sz="4" w:space="0" w:color="auto"/>
              <w:right w:val="single" w:sz="4" w:space="0" w:color="auto"/>
            </w:tcBorders>
            <w:shd w:val="clear" w:color="auto" w:fill="auto"/>
            <w:noWrap/>
            <w:vAlign w:val="center"/>
            <w:hideMark/>
          </w:tcPr>
          <w:p w14:paraId="11EAA6FC"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FD"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FE"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6FF"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00"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01"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02"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03"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04"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05"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06"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707"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08"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09"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0A"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0B"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r>
      <w:tr w:rsidR="00C422C5" w:rsidRPr="00B33EEE" w14:paraId="11EAA733"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70D" w14:textId="77777777" w:rsidR="00C422C5" w:rsidRPr="00C422C5" w:rsidRDefault="00C422C5" w:rsidP="00B33EEE">
            <w:pPr>
              <w:spacing w:after="0"/>
              <w:jc w:val="left"/>
              <w:rPr>
                <w:rFonts w:ascii="Arial Narrow" w:hAnsi="Arial Narrow"/>
                <w:color w:val="000000"/>
                <w:sz w:val="18"/>
                <w:szCs w:val="18"/>
                <w:lang w:val="en-AU" w:eastAsia="en-AU"/>
              </w:rPr>
            </w:pPr>
          </w:p>
        </w:tc>
        <w:tc>
          <w:tcPr>
            <w:tcW w:w="895" w:type="dxa"/>
            <w:vMerge/>
            <w:tcBorders>
              <w:left w:val="single" w:sz="4" w:space="0" w:color="auto"/>
              <w:bottom w:val="single" w:sz="4" w:space="0" w:color="auto"/>
              <w:right w:val="single" w:sz="4" w:space="0" w:color="auto"/>
            </w:tcBorders>
            <w:shd w:val="clear" w:color="auto" w:fill="auto"/>
            <w:noWrap/>
            <w:vAlign w:val="center"/>
            <w:hideMark/>
          </w:tcPr>
          <w:p w14:paraId="11EAA70E" w14:textId="77777777" w:rsidR="00C422C5" w:rsidRPr="00C422C5" w:rsidRDefault="00C422C5" w:rsidP="00B33EEE">
            <w:pPr>
              <w:spacing w:after="0"/>
              <w:jc w:val="center"/>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70F"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710"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9.00</w:t>
            </w:r>
          </w:p>
        </w:tc>
        <w:tc>
          <w:tcPr>
            <w:tcW w:w="360" w:type="dxa"/>
            <w:tcBorders>
              <w:top w:val="nil"/>
              <w:left w:val="nil"/>
              <w:bottom w:val="single" w:sz="4" w:space="0" w:color="auto"/>
              <w:right w:val="single" w:sz="4" w:space="0" w:color="auto"/>
            </w:tcBorders>
            <w:shd w:val="clear" w:color="auto" w:fill="auto"/>
            <w:noWrap/>
            <w:vAlign w:val="center"/>
            <w:hideMark/>
          </w:tcPr>
          <w:p w14:paraId="11EAA711"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12"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13"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14"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15"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16"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17"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18"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19"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0.50</w:t>
            </w:r>
          </w:p>
        </w:tc>
        <w:tc>
          <w:tcPr>
            <w:tcW w:w="361" w:type="dxa"/>
            <w:tcBorders>
              <w:top w:val="nil"/>
              <w:left w:val="nil"/>
              <w:bottom w:val="single" w:sz="4" w:space="0" w:color="auto"/>
              <w:right w:val="single" w:sz="4" w:space="0" w:color="auto"/>
            </w:tcBorders>
            <w:shd w:val="clear" w:color="auto" w:fill="auto"/>
            <w:noWrap/>
            <w:vAlign w:val="center"/>
            <w:hideMark/>
          </w:tcPr>
          <w:p w14:paraId="11EAA71A"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1B"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1C"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1D"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1E"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1F"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20"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21"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22"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0.69</w:t>
            </w:r>
          </w:p>
        </w:tc>
        <w:tc>
          <w:tcPr>
            <w:tcW w:w="361" w:type="dxa"/>
            <w:tcBorders>
              <w:top w:val="nil"/>
              <w:left w:val="nil"/>
              <w:bottom w:val="single" w:sz="4" w:space="0" w:color="auto"/>
              <w:right w:val="single" w:sz="4" w:space="0" w:color="auto"/>
            </w:tcBorders>
            <w:shd w:val="clear" w:color="auto" w:fill="auto"/>
            <w:noWrap/>
            <w:vAlign w:val="center"/>
            <w:hideMark/>
          </w:tcPr>
          <w:p w14:paraId="11EAA723"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24"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25"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26"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27"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28"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29"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2A"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2B"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2C"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2D"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72E"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2F"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30"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31"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32" w14:textId="77777777" w:rsidR="00C422C5" w:rsidRPr="00B33EEE" w:rsidRDefault="00C422C5" w:rsidP="00B33EEE">
            <w:pPr>
              <w:spacing w:after="0"/>
              <w:jc w:val="center"/>
              <w:rPr>
                <w:rFonts w:ascii="Arial Narrow" w:hAnsi="Arial Narrow"/>
                <w:color w:val="000000"/>
                <w:sz w:val="14"/>
                <w:szCs w:val="14"/>
                <w:lang w:val="en-AU" w:eastAsia="en-AU"/>
              </w:rPr>
            </w:pPr>
          </w:p>
        </w:tc>
      </w:tr>
      <w:tr w:rsidR="00C422C5" w:rsidRPr="00B33EEE" w14:paraId="11EAA75A"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734" w14:textId="77777777" w:rsidR="00C422C5" w:rsidRPr="00C422C5" w:rsidRDefault="00C422C5"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right w:val="single" w:sz="4" w:space="0" w:color="auto"/>
            </w:tcBorders>
            <w:shd w:val="clear" w:color="auto" w:fill="auto"/>
            <w:vAlign w:val="center"/>
            <w:hideMark/>
          </w:tcPr>
          <w:p w14:paraId="11EAA735" w14:textId="77777777" w:rsidR="00C422C5" w:rsidRPr="00C422C5" w:rsidRDefault="00C422C5"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Middle</w:t>
            </w:r>
          </w:p>
        </w:tc>
        <w:tc>
          <w:tcPr>
            <w:tcW w:w="320" w:type="dxa"/>
            <w:tcBorders>
              <w:top w:val="nil"/>
              <w:left w:val="nil"/>
              <w:bottom w:val="single" w:sz="4" w:space="0" w:color="auto"/>
              <w:right w:val="single" w:sz="4" w:space="0" w:color="auto"/>
            </w:tcBorders>
            <w:shd w:val="clear" w:color="auto" w:fill="auto"/>
            <w:noWrap/>
            <w:vAlign w:val="center"/>
            <w:hideMark/>
          </w:tcPr>
          <w:p w14:paraId="11EAA736"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737"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24.02</w:t>
            </w:r>
          </w:p>
        </w:tc>
        <w:tc>
          <w:tcPr>
            <w:tcW w:w="360" w:type="dxa"/>
            <w:tcBorders>
              <w:top w:val="nil"/>
              <w:left w:val="nil"/>
              <w:bottom w:val="single" w:sz="4" w:space="0" w:color="auto"/>
              <w:right w:val="single" w:sz="4" w:space="0" w:color="auto"/>
            </w:tcBorders>
            <w:shd w:val="clear" w:color="auto" w:fill="auto"/>
            <w:noWrap/>
            <w:vAlign w:val="center"/>
            <w:hideMark/>
          </w:tcPr>
          <w:p w14:paraId="11EAA738"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39"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3A"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3B"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3C"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73D"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3E"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3F"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40"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741"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42"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43"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44"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45"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46"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47"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48"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49"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1.38</w:t>
            </w:r>
          </w:p>
        </w:tc>
        <w:tc>
          <w:tcPr>
            <w:tcW w:w="361" w:type="dxa"/>
            <w:tcBorders>
              <w:top w:val="nil"/>
              <w:left w:val="nil"/>
              <w:bottom w:val="single" w:sz="4" w:space="0" w:color="auto"/>
              <w:right w:val="single" w:sz="4" w:space="0" w:color="auto"/>
            </w:tcBorders>
            <w:shd w:val="clear" w:color="auto" w:fill="auto"/>
            <w:noWrap/>
            <w:vAlign w:val="center"/>
            <w:hideMark/>
          </w:tcPr>
          <w:p w14:paraId="11EAA74A"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4B"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4C"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4D"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4E"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4F"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750"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51"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752"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53"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54"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55"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56"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57"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58"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59" w14:textId="77777777" w:rsidR="00C422C5" w:rsidRPr="00B33EEE" w:rsidRDefault="00C422C5" w:rsidP="00B33EEE">
            <w:pPr>
              <w:spacing w:after="0"/>
              <w:jc w:val="center"/>
              <w:rPr>
                <w:rFonts w:ascii="Arial Narrow" w:hAnsi="Arial Narrow"/>
                <w:color w:val="000000"/>
                <w:sz w:val="14"/>
                <w:szCs w:val="14"/>
                <w:lang w:val="en-AU" w:eastAsia="en-AU"/>
              </w:rPr>
            </w:pPr>
          </w:p>
        </w:tc>
      </w:tr>
      <w:tr w:rsidR="00C422C5" w:rsidRPr="00B33EEE" w14:paraId="11EAA781"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75B" w14:textId="77777777" w:rsidR="00C422C5" w:rsidRPr="00C422C5" w:rsidRDefault="00C422C5" w:rsidP="00B33EEE">
            <w:pPr>
              <w:spacing w:after="0"/>
              <w:jc w:val="left"/>
              <w:rPr>
                <w:rFonts w:ascii="Arial Narrow" w:hAnsi="Arial Narrow"/>
                <w:color w:val="000000"/>
                <w:sz w:val="18"/>
                <w:szCs w:val="18"/>
                <w:lang w:val="en-AU" w:eastAsia="en-AU"/>
              </w:rPr>
            </w:pPr>
          </w:p>
        </w:tc>
        <w:tc>
          <w:tcPr>
            <w:tcW w:w="895" w:type="dxa"/>
            <w:vMerge/>
            <w:tcBorders>
              <w:left w:val="single" w:sz="4" w:space="0" w:color="auto"/>
              <w:bottom w:val="single" w:sz="4" w:space="0" w:color="auto"/>
              <w:right w:val="single" w:sz="4" w:space="0" w:color="auto"/>
            </w:tcBorders>
            <w:shd w:val="clear" w:color="auto" w:fill="auto"/>
            <w:noWrap/>
            <w:vAlign w:val="center"/>
            <w:hideMark/>
          </w:tcPr>
          <w:p w14:paraId="11EAA75C" w14:textId="77777777" w:rsidR="00C422C5" w:rsidRPr="00C422C5" w:rsidRDefault="00C422C5" w:rsidP="00B33EEE">
            <w:pPr>
              <w:spacing w:after="0"/>
              <w:jc w:val="center"/>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75D"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75E"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11.90</w:t>
            </w:r>
          </w:p>
        </w:tc>
        <w:tc>
          <w:tcPr>
            <w:tcW w:w="360" w:type="dxa"/>
            <w:tcBorders>
              <w:top w:val="nil"/>
              <w:left w:val="nil"/>
              <w:bottom w:val="single" w:sz="4" w:space="0" w:color="auto"/>
              <w:right w:val="single" w:sz="4" w:space="0" w:color="auto"/>
            </w:tcBorders>
            <w:shd w:val="clear" w:color="auto" w:fill="auto"/>
            <w:noWrap/>
            <w:vAlign w:val="center"/>
            <w:hideMark/>
          </w:tcPr>
          <w:p w14:paraId="11EAA75F"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60"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61"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62"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63"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64"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65"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66"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67"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768"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69"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6A"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6B"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6C"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6D"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6E"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6F"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70"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1.13</w:t>
            </w:r>
          </w:p>
        </w:tc>
        <w:tc>
          <w:tcPr>
            <w:tcW w:w="361" w:type="dxa"/>
            <w:tcBorders>
              <w:top w:val="nil"/>
              <w:left w:val="nil"/>
              <w:bottom w:val="single" w:sz="4" w:space="0" w:color="auto"/>
              <w:right w:val="single" w:sz="4" w:space="0" w:color="auto"/>
            </w:tcBorders>
            <w:shd w:val="clear" w:color="auto" w:fill="auto"/>
            <w:noWrap/>
            <w:vAlign w:val="center"/>
            <w:hideMark/>
          </w:tcPr>
          <w:p w14:paraId="11EAA771"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72"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73"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74"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75"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76"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77"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78"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0.88</w:t>
            </w:r>
          </w:p>
        </w:tc>
        <w:tc>
          <w:tcPr>
            <w:tcW w:w="361" w:type="dxa"/>
            <w:tcBorders>
              <w:top w:val="nil"/>
              <w:left w:val="nil"/>
              <w:bottom w:val="single" w:sz="4" w:space="0" w:color="auto"/>
              <w:right w:val="single" w:sz="4" w:space="0" w:color="auto"/>
            </w:tcBorders>
            <w:shd w:val="clear" w:color="auto" w:fill="auto"/>
            <w:noWrap/>
            <w:vAlign w:val="center"/>
            <w:hideMark/>
          </w:tcPr>
          <w:p w14:paraId="11EAA779"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7A"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77B"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7C"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7D"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7E" w14:textId="77777777" w:rsidR="00C422C5" w:rsidRPr="00B33EEE" w:rsidRDefault="00C422C5"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7F"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780" w14:textId="77777777" w:rsidR="00C422C5" w:rsidRPr="00B33EEE" w:rsidRDefault="00C422C5"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r>
      <w:tr w:rsidR="00B33EEE" w:rsidRPr="00B33EEE" w14:paraId="11EAA7A8"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782"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783"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Keppels South</w:t>
            </w:r>
          </w:p>
        </w:tc>
        <w:tc>
          <w:tcPr>
            <w:tcW w:w="320" w:type="dxa"/>
            <w:tcBorders>
              <w:top w:val="nil"/>
              <w:left w:val="nil"/>
              <w:bottom w:val="single" w:sz="4" w:space="0" w:color="auto"/>
              <w:right w:val="single" w:sz="4" w:space="0" w:color="auto"/>
            </w:tcBorders>
            <w:shd w:val="clear" w:color="auto" w:fill="auto"/>
            <w:noWrap/>
            <w:vAlign w:val="center"/>
            <w:hideMark/>
          </w:tcPr>
          <w:p w14:paraId="11EAA78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78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11.00</w:t>
            </w:r>
          </w:p>
        </w:tc>
        <w:tc>
          <w:tcPr>
            <w:tcW w:w="360" w:type="dxa"/>
            <w:tcBorders>
              <w:top w:val="nil"/>
              <w:left w:val="nil"/>
              <w:bottom w:val="single" w:sz="4" w:space="0" w:color="auto"/>
              <w:right w:val="single" w:sz="4" w:space="0" w:color="auto"/>
            </w:tcBorders>
            <w:shd w:val="clear" w:color="auto" w:fill="auto"/>
            <w:noWrap/>
            <w:vAlign w:val="center"/>
            <w:hideMark/>
          </w:tcPr>
          <w:p w14:paraId="11EAA78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8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8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0" w:type="dxa"/>
            <w:tcBorders>
              <w:top w:val="nil"/>
              <w:left w:val="nil"/>
              <w:bottom w:val="single" w:sz="4" w:space="0" w:color="auto"/>
              <w:right w:val="single" w:sz="4" w:space="0" w:color="auto"/>
            </w:tcBorders>
            <w:shd w:val="clear" w:color="auto" w:fill="auto"/>
            <w:noWrap/>
            <w:vAlign w:val="center"/>
            <w:hideMark/>
          </w:tcPr>
          <w:p w14:paraId="11EAA78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8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8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8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8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8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8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9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9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9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9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9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9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9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9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1.25</w:t>
            </w:r>
          </w:p>
        </w:tc>
        <w:tc>
          <w:tcPr>
            <w:tcW w:w="361" w:type="dxa"/>
            <w:tcBorders>
              <w:top w:val="nil"/>
              <w:left w:val="nil"/>
              <w:bottom w:val="single" w:sz="4" w:space="0" w:color="auto"/>
              <w:right w:val="single" w:sz="4" w:space="0" w:color="auto"/>
            </w:tcBorders>
            <w:shd w:val="clear" w:color="auto" w:fill="auto"/>
            <w:noWrap/>
            <w:vAlign w:val="center"/>
            <w:hideMark/>
          </w:tcPr>
          <w:p w14:paraId="11EAA79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9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9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9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9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9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9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9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0.88</w:t>
            </w:r>
          </w:p>
        </w:tc>
        <w:tc>
          <w:tcPr>
            <w:tcW w:w="361" w:type="dxa"/>
            <w:tcBorders>
              <w:top w:val="nil"/>
              <w:left w:val="nil"/>
              <w:bottom w:val="single" w:sz="4" w:space="0" w:color="auto"/>
              <w:right w:val="single" w:sz="4" w:space="0" w:color="auto"/>
            </w:tcBorders>
            <w:shd w:val="clear" w:color="auto" w:fill="auto"/>
            <w:noWrap/>
            <w:vAlign w:val="center"/>
            <w:hideMark/>
          </w:tcPr>
          <w:p w14:paraId="11EAA7A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A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7A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A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A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A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A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A7" w14:textId="77777777" w:rsidR="00B33EEE" w:rsidRPr="00B33EEE" w:rsidRDefault="00B33EEE" w:rsidP="00B33EEE">
            <w:pPr>
              <w:spacing w:after="0"/>
              <w:jc w:val="center"/>
              <w:rPr>
                <w:rFonts w:ascii="Arial Narrow" w:hAnsi="Arial Narrow"/>
                <w:color w:val="000000"/>
                <w:sz w:val="14"/>
                <w:szCs w:val="14"/>
                <w:lang w:val="en-AU" w:eastAsia="en-AU"/>
              </w:rPr>
            </w:pPr>
          </w:p>
        </w:tc>
      </w:tr>
      <w:tr w:rsidR="00B33EEE" w:rsidRPr="00B33EEE" w14:paraId="11EAA7CF"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7A9"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7AA"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7A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7A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32.50</w:t>
            </w:r>
          </w:p>
        </w:tc>
        <w:tc>
          <w:tcPr>
            <w:tcW w:w="360" w:type="dxa"/>
            <w:tcBorders>
              <w:top w:val="nil"/>
              <w:left w:val="nil"/>
              <w:bottom w:val="single" w:sz="4" w:space="0" w:color="auto"/>
              <w:right w:val="single" w:sz="4" w:space="0" w:color="auto"/>
            </w:tcBorders>
            <w:shd w:val="clear" w:color="auto" w:fill="auto"/>
            <w:noWrap/>
            <w:vAlign w:val="center"/>
            <w:hideMark/>
          </w:tcPr>
          <w:p w14:paraId="11EAA7A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A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A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B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B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B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B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B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B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7B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B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B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B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B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B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B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7B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B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1.19</w:t>
            </w:r>
          </w:p>
        </w:tc>
        <w:tc>
          <w:tcPr>
            <w:tcW w:w="361" w:type="dxa"/>
            <w:tcBorders>
              <w:top w:val="nil"/>
              <w:left w:val="nil"/>
              <w:bottom w:val="single" w:sz="4" w:space="0" w:color="auto"/>
              <w:right w:val="single" w:sz="4" w:space="0" w:color="auto"/>
            </w:tcBorders>
            <w:shd w:val="clear" w:color="auto" w:fill="auto"/>
            <w:noWrap/>
            <w:vAlign w:val="center"/>
            <w:hideMark/>
          </w:tcPr>
          <w:p w14:paraId="11EAA7B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C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C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C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C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C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C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C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7C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C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7C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C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C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C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C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7C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r>
      <w:tr w:rsidR="00B33EEE" w:rsidRPr="00B33EEE" w14:paraId="11EAA7F6"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7D0"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7D1"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Pelican</w:t>
            </w:r>
          </w:p>
        </w:tc>
        <w:tc>
          <w:tcPr>
            <w:tcW w:w="320" w:type="dxa"/>
            <w:tcBorders>
              <w:top w:val="nil"/>
              <w:left w:val="nil"/>
              <w:bottom w:val="single" w:sz="4" w:space="0" w:color="auto"/>
              <w:right w:val="single" w:sz="4" w:space="0" w:color="auto"/>
            </w:tcBorders>
            <w:shd w:val="clear" w:color="auto" w:fill="auto"/>
            <w:noWrap/>
            <w:vAlign w:val="center"/>
            <w:hideMark/>
          </w:tcPr>
          <w:p w14:paraId="11EAA7D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7D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7D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D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D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A7D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D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D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D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7D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D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D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D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D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E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E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E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E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E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E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E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E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E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E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E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E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E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1" w:type="dxa"/>
            <w:tcBorders>
              <w:top w:val="nil"/>
              <w:left w:val="nil"/>
              <w:bottom w:val="single" w:sz="4" w:space="0" w:color="auto"/>
              <w:right w:val="single" w:sz="4" w:space="0" w:color="auto"/>
            </w:tcBorders>
            <w:shd w:val="clear" w:color="auto" w:fill="auto"/>
            <w:noWrap/>
            <w:vAlign w:val="center"/>
            <w:hideMark/>
          </w:tcPr>
          <w:p w14:paraId="11EAA7E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E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E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7F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7F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F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F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F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7F5" w14:textId="77777777" w:rsidR="00B33EEE" w:rsidRPr="00B33EEE" w:rsidRDefault="00B33EEE" w:rsidP="00B33EEE">
            <w:pPr>
              <w:spacing w:after="0"/>
              <w:jc w:val="center"/>
              <w:rPr>
                <w:rFonts w:ascii="Arial Narrow" w:hAnsi="Arial Narrow"/>
                <w:color w:val="000000"/>
                <w:sz w:val="14"/>
                <w:szCs w:val="14"/>
                <w:lang w:val="en-AU" w:eastAsia="en-AU"/>
              </w:rPr>
            </w:pPr>
          </w:p>
        </w:tc>
      </w:tr>
      <w:tr w:rsidR="00B33EEE" w:rsidRPr="00B33EEE" w14:paraId="11EAA81D"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7F7"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7F8" w14:textId="77777777" w:rsidR="00B33EEE" w:rsidRPr="00C422C5" w:rsidRDefault="00B33EEE" w:rsidP="00B33EEE">
            <w:pPr>
              <w:spacing w:after="0"/>
              <w:jc w:val="left"/>
              <w:rPr>
                <w:rFonts w:ascii="Arial Narrow" w:hAnsi="Arial Narrow"/>
                <w:color w:val="000000"/>
                <w:sz w:val="18"/>
                <w:szCs w:val="18"/>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7F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7F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F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3.75</w:t>
            </w:r>
          </w:p>
        </w:tc>
        <w:tc>
          <w:tcPr>
            <w:tcW w:w="360" w:type="dxa"/>
            <w:tcBorders>
              <w:top w:val="nil"/>
              <w:left w:val="nil"/>
              <w:bottom w:val="single" w:sz="4" w:space="0" w:color="auto"/>
              <w:right w:val="single" w:sz="4" w:space="0" w:color="auto"/>
            </w:tcBorders>
            <w:shd w:val="clear" w:color="auto" w:fill="auto"/>
            <w:noWrap/>
            <w:vAlign w:val="center"/>
            <w:hideMark/>
          </w:tcPr>
          <w:p w14:paraId="11EAA7F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F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0.13</w:t>
            </w:r>
          </w:p>
        </w:tc>
        <w:tc>
          <w:tcPr>
            <w:tcW w:w="360" w:type="dxa"/>
            <w:tcBorders>
              <w:top w:val="nil"/>
              <w:left w:val="nil"/>
              <w:bottom w:val="single" w:sz="4" w:space="0" w:color="auto"/>
              <w:right w:val="single" w:sz="4" w:space="0" w:color="auto"/>
            </w:tcBorders>
            <w:shd w:val="clear" w:color="auto" w:fill="auto"/>
            <w:noWrap/>
            <w:vAlign w:val="center"/>
            <w:hideMark/>
          </w:tcPr>
          <w:p w14:paraId="11EAA7F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7F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80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80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0" w:type="dxa"/>
            <w:tcBorders>
              <w:top w:val="nil"/>
              <w:left w:val="nil"/>
              <w:bottom w:val="single" w:sz="4" w:space="0" w:color="auto"/>
              <w:right w:val="single" w:sz="4" w:space="0" w:color="auto"/>
            </w:tcBorders>
            <w:shd w:val="clear" w:color="auto" w:fill="auto"/>
            <w:noWrap/>
            <w:vAlign w:val="center"/>
            <w:hideMark/>
          </w:tcPr>
          <w:p w14:paraId="11EAA80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3.25</w:t>
            </w:r>
          </w:p>
        </w:tc>
        <w:tc>
          <w:tcPr>
            <w:tcW w:w="360" w:type="dxa"/>
            <w:tcBorders>
              <w:top w:val="nil"/>
              <w:left w:val="nil"/>
              <w:bottom w:val="single" w:sz="4" w:space="0" w:color="auto"/>
              <w:right w:val="single" w:sz="4" w:space="0" w:color="auto"/>
            </w:tcBorders>
            <w:shd w:val="clear" w:color="auto" w:fill="auto"/>
            <w:noWrap/>
            <w:vAlign w:val="center"/>
            <w:hideMark/>
          </w:tcPr>
          <w:p w14:paraId="11EAA80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0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0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1.38</w:t>
            </w:r>
          </w:p>
        </w:tc>
        <w:tc>
          <w:tcPr>
            <w:tcW w:w="361" w:type="dxa"/>
            <w:tcBorders>
              <w:top w:val="nil"/>
              <w:left w:val="nil"/>
              <w:bottom w:val="single" w:sz="4" w:space="0" w:color="auto"/>
              <w:right w:val="single" w:sz="4" w:space="0" w:color="auto"/>
            </w:tcBorders>
            <w:shd w:val="clear" w:color="auto" w:fill="auto"/>
            <w:noWrap/>
            <w:vAlign w:val="center"/>
            <w:hideMark/>
          </w:tcPr>
          <w:p w14:paraId="11EAA80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1.19</w:t>
            </w:r>
          </w:p>
        </w:tc>
        <w:tc>
          <w:tcPr>
            <w:tcW w:w="361" w:type="dxa"/>
            <w:tcBorders>
              <w:top w:val="nil"/>
              <w:left w:val="nil"/>
              <w:bottom w:val="single" w:sz="4" w:space="0" w:color="auto"/>
              <w:right w:val="single" w:sz="4" w:space="0" w:color="auto"/>
            </w:tcBorders>
            <w:shd w:val="clear" w:color="auto" w:fill="auto"/>
            <w:noWrap/>
            <w:vAlign w:val="center"/>
            <w:hideMark/>
          </w:tcPr>
          <w:p w14:paraId="11EAA80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80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0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0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0.38</w:t>
            </w:r>
          </w:p>
        </w:tc>
        <w:tc>
          <w:tcPr>
            <w:tcW w:w="361" w:type="dxa"/>
            <w:tcBorders>
              <w:top w:val="nil"/>
              <w:left w:val="nil"/>
              <w:bottom w:val="single" w:sz="4" w:space="0" w:color="auto"/>
              <w:right w:val="single" w:sz="4" w:space="0" w:color="auto"/>
            </w:tcBorders>
            <w:shd w:val="clear" w:color="auto" w:fill="auto"/>
            <w:noWrap/>
            <w:vAlign w:val="center"/>
            <w:hideMark/>
          </w:tcPr>
          <w:p w14:paraId="11EAA80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0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0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0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0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1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1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1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0.44</w:t>
            </w:r>
          </w:p>
        </w:tc>
        <w:tc>
          <w:tcPr>
            <w:tcW w:w="361" w:type="dxa"/>
            <w:tcBorders>
              <w:top w:val="nil"/>
              <w:left w:val="nil"/>
              <w:bottom w:val="single" w:sz="4" w:space="0" w:color="auto"/>
              <w:right w:val="single" w:sz="4" w:space="0" w:color="auto"/>
            </w:tcBorders>
            <w:shd w:val="clear" w:color="auto" w:fill="auto"/>
            <w:noWrap/>
            <w:vAlign w:val="center"/>
            <w:hideMark/>
          </w:tcPr>
          <w:p w14:paraId="11EAA81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1" w:type="dxa"/>
            <w:tcBorders>
              <w:top w:val="nil"/>
              <w:left w:val="nil"/>
              <w:bottom w:val="single" w:sz="4" w:space="0" w:color="auto"/>
              <w:right w:val="single" w:sz="4" w:space="0" w:color="auto"/>
            </w:tcBorders>
            <w:shd w:val="clear" w:color="auto" w:fill="auto"/>
            <w:noWrap/>
            <w:vAlign w:val="center"/>
            <w:hideMark/>
          </w:tcPr>
          <w:p w14:paraId="11EAA81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1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16"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81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1.44</w:t>
            </w:r>
          </w:p>
        </w:tc>
        <w:tc>
          <w:tcPr>
            <w:tcW w:w="361" w:type="dxa"/>
            <w:tcBorders>
              <w:top w:val="nil"/>
              <w:left w:val="nil"/>
              <w:bottom w:val="single" w:sz="4" w:space="0" w:color="auto"/>
              <w:right w:val="single" w:sz="4" w:space="0" w:color="auto"/>
            </w:tcBorders>
            <w:shd w:val="clear" w:color="auto" w:fill="auto"/>
            <w:noWrap/>
            <w:vAlign w:val="center"/>
            <w:hideMark/>
          </w:tcPr>
          <w:p w14:paraId="11EAA81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1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1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1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1.19</w:t>
            </w:r>
          </w:p>
        </w:tc>
        <w:tc>
          <w:tcPr>
            <w:tcW w:w="361" w:type="dxa"/>
            <w:tcBorders>
              <w:top w:val="nil"/>
              <w:left w:val="nil"/>
              <w:bottom w:val="single" w:sz="4" w:space="0" w:color="auto"/>
              <w:right w:val="single" w:sz="4" w:space="0" w:color="auto"/>
            </w:tcBorders>
            <w:shd w:val="clear" w:color="auto" w:fill="auto"/>
            <w:noWrap/>
            <w:vAlign w:val="center"/>
            <w:hideMark/>
          </w:tcPr>
          <w:p w14:paraId="11EAA81C"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r>
      <w:tr w:rsidR="00B33EEE" w:rsidRPr="00B33EEE" w14:paraId="11EAA844"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81E" w14:textId="77777777" w:rsidR="00B33EEE" w:rsidRPr="00C422C5" w:rsidRDefault="00B33EEE" w:rsidP="00B33EEE">
            <w:pPr>
              <w:spacing w:after="0"/>
              <w:jc w:val="left"/>
              <w:rPr>
                <w:rFonts w:ascii="Arial Narrow" w:hAnsi="Arial Narrow"/>
                <w:color w:val="000000"/>
                <w:sz w:val="18"/>
                <w:szCs w:val="18"/>
                <w:lang w:val="en-AU" w:eastAsia="en-AU"/>
              </w:rPr>
            </w:pPr>
          </w:p>
        </w:tc>
        <w:tc>
          <w:tcPr>
            <w:tcW w:w="8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81F" w14:textId="77777777" w:rsidR="00B33EEE" w:rsidRPr="00C422C5" w:rsidRDefault="00B33EEE" w:rsidP="00B33EEE">
            <w:pPr>
              <w:spacing w:after="0"/>
              <w:jc w:val="center"/>
              <w:rPr>
                <w:rFonts w:ascii="Arial Narrow" w:hAnsi="Arial Narrow"/>
                <w:color w:val="000000"/>
                <w:sz w:val="18"/>
                <w:szCs w:val="18"/>
                <w:lang w:val="en-AU" w:eastAsia="en-AU"/>
              </w:rPr>
            </w:pPr>
            <w:r w:rsidRPr="00C422C5">
              <w:rPr>
                <w:rFonts w:ascii="Arial Narrow" w:hAnsi="Arial Narrow"/>
                <w:color w:val="000000"/>
                <w:sz w:val="18"/>
                <w:szCs w:val="18"/>
                <w:lang w:val="en-AU" w:eastAsia="en-AU"/>
              </w:rPr>
              <w:t>Peak</w:t>
            </w:r>
          </w:p>
        </w:tc>
        <w:tc>
          <w:tcPr>
            <w:tcW w:w="320" w:type="dxa"/>
            <w:tcBorders>
              <w:top w:val="nil"/>
              <w:left w:val="nil"/>
              <w:bottom w:val="single" w:sz="4" w:space="0" w:color="auto"/>
              <w:right w:val="single" w:sz="4" w:space="0" w:color="auto"/>
            </w:tcBorders>
            <w:shd w:val="clear" w:color="auto" w:fill="auto"/>
            <w:noWrap/>
            <w:vAlign w:val="center"/>
            <w:hideMark/>
          </w:tcPr>
          <w:p w14:paraId="11EAA82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2</w:t>
            </w:r>
          </w:p>
        </w:tc>
        <w:tc>
          <w:tcPr>
            <w:tcW w:w="297" w:type="dxa"/>
            <w:tcBorders>
              <w:top w:val="nil"/>
              <w:left w:val="nil"/>
              <w:bottom w:val="single" w:sz="4" w:space="0" w:color="auto"/>
              <w:right w:val="single" w:sz="4" w:space="0" w:color="auto"/>
            </w:tcBorders>
            <w:shd w:val="clear" w:color="auto" w:fill="auto"/>
            <w:noWrap/>
            <w:vAlign w:val="center"/>
            <w:hideMark/>
          </w:tcPr>
          <w:p w14:paraId="11EAA82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82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82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82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0.56</w:t>
            </w:r>
          </w:p>
        </w:tc>
        <w:tc>
          <w:tcPr>
            <w:tcW w:w="360" w:type="dxa"/>
            <w:tcBorders>
              <w:top w:val="nil"/>
              <w:left w:val="nil"/>
              <w:bottom w:val="single" w:sz="4" w:space="0" w:color="auto"/>
              <w:right w:val="single" w:sz="4" w:space="0" w:color="auto"/>
            </w:tcBorders>
            <w:shd w:val="clear" w:color="auto" w:fill="auto"/>
            <w:noWrap/>
            <w:vAlign w:val="center"/>
            <w:hideMark/>
          </w:tcPr>
          <w:p w14:paraId="11EAA82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82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82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828"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0" w:type="dxa"/>
            <w:tcBorders>
              <w:top w:val="nil"/>
              <w:left w:val="nil"/>
              <w:bottom w:val="single" w:sz="4" w:space="0" w:color="auto"/>
              <w:right w:val="single" w:sz="4" w:space="0" w:color="auto"/>
            </w:tcBorders>
            <w:shd w:val="clear" w:color="auto" w:fill="auto"/>
            <w:noWrap/>
            <w:vAlign w:val="center"/>
            <w:hideMark/>
          </w:tcPr>
          <w:p w14:paraId="11EAA82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c>
          <w:tcPr>
            <w:tcW w:w="360" w:type="dxa"/>
            <w:tcBorders>
              <w:top w:val="nil"/>
              <w:left w:val="nil"/>
              <w:bottom w:val="single" w:sz="4" w:space="0" w:color="auto"/>
              <w:right w:val="single" w:sz="4" w:space="0" w:color="auto"/>
            </w:tcBorders>
            <w:shd w:val="clear" w:color="auto" w:fill="auto"/>
            <w:noWrap/>
            <w:vAlign w:val="center"/>
            <w:hideMark/>
          </w:tcPr>
          <w:p w14:paraId="11EAA82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2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2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2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c>
          <w:tcPr>
            <w:tcW w:w="361" w:type="dxa"/>
            <w:tcBorders>
              <w:top w:val="nil"/>
              <w:left w:val="nil"/>
              <w:bottom w:val="single" w:sz="4" w:space="0" w:color="auto"/>
              <w:right w:val="single" w:sz="4" w:space="0" w:color="auto"/>
            </w:tcBorders>
            <w:shd w:val="clear" w:color="auto" w:fill="auto"/>
            <w:noWrap/>
            <w:vAlign w:val="center"/>
            <w:hideMark/>
          </w:tcPr>
          <w:p w14:paraId="11EAA82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2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3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3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3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3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834"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35"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3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3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3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3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3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4.31</w:t>
            </w:r>
          </w:p>
        </w:tc>
        <w:tc>
          <w:tcPr>
            <w:tcW w:w="361" w:type="dxa"/>
            <w:tcBorders>
              <w:top w:val="nil"/>
              <w:left w:val="nil"/>
              <w:bottom w:val="single" w:sz="4" w:space="0" w:color="auto"/>
              <w:right w:val="single" w:sz="4" w:space="0" w:color="auto"/>
            </w:tcBorders>
            <w:shd w:val="clear" w:color="auto" w:fill="auto"/>
            <w:noWrap/>
            <w:vAlign w:val="center"/>
            <w:hideMark/>
          </w:tcPr>
          <w:p w14:paraId="11EAA83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3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3D"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0.31</w:t>
            </w:r>
          </w:p>
        </w:tc>
        <w:tc>
          <w:tcPr>
            <w:tcW w:w="361" w:type="dxa"/>
            <w:tcBorders>
              <w:top w:val="nil"/>
              <w:left w:val="nil"/>
              <w:bottom w:val="single" w:sz="4" w:space="0" w:color="auto"/>
              <w:right w:val="single" w:sz="4" w:space="0" w:color="auto"/>
            </w:tcBorders>
            <w:shd w:val="clear" w:color="auto" w:fill="auto"/>
            <w:noWrap/>
            <w:vAlign w:val="center"/>
            <w:hideMark/>
          </w:tcPr>
          <w:p w14:paraId="11EAA83E"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1.88</w:t>
            </w:r>
          </w:p>
        </w:tc>
        <w:tc>
          <w:tcPr>
            <w:tcW w:w="361" w:type="dxa"/>
            <w:tcBorders>
              <w:top w:val="nil"/>
              <w:left w:val="nil"/>
              <w:bottom w:val="single" w:sz="4" w:space="0" w:color="auto"/>
              <w:right w:val="single" w:sz="4" w:space="0" w:color="auto"/>
            </w:tcBorders>
            <w:shd w:val="clear" w:color="auto" w:fill="auto"/>
            <w:noWrap/>
            <w:vAlign w:val="center"/>
            <w:hideMark/>
          </w:tcPr>
          <w:p w14:paraId="11EAA83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40"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4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42"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84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r>
      <w:tr w:rsidR="00B33EEE" w:rsidRPr="00B33EEE" w14:paraId="11EAA86B" w14:textId="77777777" w:rsidTr="00B66372">
        <w:trPr>
          <w:trHeight w:hRule="exact" w:val="397"/>
        </w:trPr>
        <w:tc>
          <w:tcPr>
            <w:tcW w:w="398" w:type="dxa"/>
            <w:vMerge/>
            <w:tcBorders>
              <w:top w:val="nil"/>
              <w:left w:val="single" w:sz="4" w:space="0" w:color="auto"/>
              <w:bottom w:val="single" w:sz="4" w:space="0" w:color="auto"/>
              <w:right w:val="single" w:sz="4" w:space="0" w:color="auto"/>
            </w:tcBorders>
            <w:vAlign w:val="center"/>
            <w:hideMark/>
          </w:tcPr>
          <w:p w14:paraId="11EAA845" w14:textId="77777777" w:rsidR="00B33EEE" w:rsidRPr="00B33EEE" w:rsidRDefault="00B33EEE" w:rsidP="00B33EEE">
            <w:pPr>
              <w:spacing w:after="0"/>
              <w:jc w:val="left"/>
              <w:rPr>
                <w:rFonts w:ascii="Arial Narrow" w:hAnsi="Arial Narrow"/>
                <w:color w:val="000000"/>
                <w:sz w:val="18"/>
                <w:szCs w:val="18"/>
                <w:lang w:val="en-AU" w:eastAsia="en-AU"/>
              </w:rPr>
            </w:pPr>
          </w:p>
        </w:tc>
        <w:tc>
          <w:tcPr>
            <w:tcW w:w="895" w:type="dxa"/>
            <w:vMerge/>
            <w:tcBorders>
              <w:top w:val="nil"/>
              <w:left w:val="single" w:sz="4" w:space="0" w:color="auto"/>
              <w:bottom w:val="single" w:sz="4" w:space="0" w:color="auto"/>
              <w:right w:val="single" w:sz="4" w:space="0" w:color="auto"/>
            </w:tcBorders>
            <w:vAlign w:val="center"/>
            <w:hideMark/>
          </w:tcPr>
          <w:p w14:paraId="11EAA846" w14:textId="77777777" w:rsidR="00B33EEE" w:rsidRPr="00B33EEE" w:rsidRDefault="00B33EEE" w:rsidP="00B33EEE">
            <w:pPr>
              <w:spacing w:after="0"/>
              <w:jc w:val="left"/>
              <w:rPr>
                <w:rFonts w:ascii="Arial Narrow" w:hAnsi="Arial Narrow"/>
                <w:color w:val="000000"/>
                <w:sz w:val="16"/>
                <w:szCs w:val="16"/>
                <w:lang w:val="en-AU" w:eastAsia="en-AU"/>
              </w:rPr>
            </w:pPr>
          </w:p>
        </w:tc>
        <w:tc>
          <w:tcPr>
            <w:tcW w:w="320" w:type="dxa"/>
            <w:tcBorders>
              <w:top w:val="nil"/>
              <w:left w:val="nil"/>
              <w:bottom w:val="single" w:sz="4" w:space="0" w:color="auto"/>
              <w:right w:val="single" w:sz="4" w:space="0" w:color="auto"/>
            </w:tcBorders>
            <w:shd w:val="clear" w:color="auto" w:fill="auto"/>
            <w:noWrap/>
            <w:vAlign w:val="center"/>
            <w:hideMark/>
          </w:tcPr>
          <w:p w14:paraId="11EAA847"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5</w:t>
            </w:r>
          </w:p>
        </w:tc>
        <w:tc>
          <w:tcPr>
            <w:tcW w:w="297" w:type="dxa"/>
            <w:tcBorders>
              <w:top w:val="nil"/>
              <w:left w:val="nil"/>
              <w:bottom w:val="single" w:sz="4" w:space="0" w:color="auto"/>
              <w:right w:val="single" w:sz="4" w:space="0" w:color="auto"/>
            </w:tcBorders>
            <w:shd w:val="clear" w:color="auto" w:fill="auto"/>
            <w:noWrap/>
            <w:vAlign w:val="center"/>
            <w:hideMark/>
          </w:tcPr>
          <w:p w14:paraId="11EAA84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84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1.00</w:t>
            </w:r>
          </w:p>
        </w:tc>
        <w:tc>
          <w:tcPr>
            <w:tcW w:w="360" w:type="dxa"/>
            <w:tcBorders>
              <w:top w:val="nil"/>
              <w:left w:val="nil"/>
              <w:bottom w:val="single" w:sz="4" w:space="0" w:color="auto"/>
              <w:right w:val="single" w:sz="4" w:space="0" w:color="auto"/>
            </w:tcBorders>
            <w:shd w:val="clear" w:color="auto" w:fill="auto"/>
            <w:noWrap/>
            <w:vAlign w:val="center"/>
            <w:hideMark/>
          </w:tcPr>
          <w:p w14:paraId="11EAA84A"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84B"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1.88</w:t>
            </w:r>
          </w:p>
        </w:tc>
        <w:tc>
          <w:tcPr>
            <w:tcW w:w="360" w:type="dxa"/>
            <w:tcBorders>
              <w:top w:val="nil"/>
              <w:left w:val="nil"/>
              <w:bottom w:val="single" w:sz="4" w:space="0" w:color="auto"/>
              <w:right w:val="single" w:sz="4" w:space="0" w:color="auto"/>
            </w:tcBorders>
            <w:shd w:val="clear" w:color="auto" w:fill="auto"/>
            <w:noWrap/>
            <w:vAlign w:val="center"/>
            <w:hideMark/>
          </w:tcPr>
          <w:p w14:paraId="11EAA84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84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84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0" w:type="dxa"/>
            <w:tcBorders>
              <w:top w:val="nil"/>
              <w:left w:val="nil"/>
              <w:bottom w:val="single" w:sz="4" w:space="0" w:color="auto"/>
              <w:right w:val="single" w:sz="4" w:space="0" w:color="auto"/>
            </w:tcBorders>
            <w:shd w:val="clear" w:color="auto" w:fill="auto"/>
            <w:noWrap/>
            <w:vAlign w:val="center"/>
            <w:hideMark/>
          </w:tcPr>
          <w:p w14:paraId="11EAA84F"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0" w:type="dxa"/>
            <w:tcBorders>
              <w:top w:val="nil"/>
              <w:left w:val="nil"/>
              <w:bottom w:val="single" w:sz="4" w:space="0" w:color="auto"/>
              <w:right w:val="single" w:sz="4" w:space="0" w:color="auto"/>
            </w:tcBorders>
            <w:shd w:val="clear" w:color="auto" w:fill="auto"/>
            <w:noWrap/>
            <w:vAlign w:val="center"/>
            <w:hideMark/>
          </w:tcPr>
          <w:p w14:paraId="11EAA85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3.88</w:t>
            </w:r>
          </w:p>
        </w:tc>
        <w:tc>
          <w:tcPr>
            <w:tcW w:w="360" w:type="dxa"/>
            <w:tcBorders>
              <w:top w:val="nil"/>
              <w:left w:val="nil"/>
              <w:bottom w:val="single" w:sz="4" w:space="0" w:color="auto"/>
              <w:right w:val="single" w:sz="4" w:space="0" w:color="auto"/>
            </w:tcBorders>
            <w:shd w:val="clear" w:color="auto" w:fill="auto"/>
            <w:noWrap/>
            <w:vAlign w:val="center"/>
            <w:hideMark/>
          </w:tcPr>
          <w:p w14:paraId="11EAA851"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5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53"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85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0.81</w:t>
            </w:r>
          </w:p>
        </w:tc>
        <w:tc>
          <w:tcPr>
            <w:tcW w:w="361" w:type="dxa"/>
            <w:tcBorders>
              <w:top w:val="nil"/>
              <w:left w:val="nil"/>
              <w:bottom w:val="single" w:sz="4" w:space="0" w:color="auto"/>
              <w:right w:val="single" w:sz="4" w:space="0" w:color="auto"/>
            </w:tcBorders>
            <w:shd w:val="clear" w:color="auto" w:fill="auto"/>
            <w:noWrap/>
            <w:vAlign w:val="center"/>
            <w:hideMark/>
          </w:tcPr>
          <w:p w14:paraId="11EAA85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1.00</w:t>
            </w:r>
          </w:p>
        </w:tc>
        <w:tc>
          <w:tcPr>
            <w:tcW w:w="361" w:type="dxa"/>
            <w:tcBorders>
              <w:top w:val="nil"/>
              <w:left w:val="nil"/>
              <w:bottom w:val="single" w:sz="4" w:space="0" w:color="auto"/>
              <w:right w:val="single" w:sz="4" w:space="0" w:color="auto"/>
            </w:tcBorders>
            <w:shd w:val="clear" w:color="auto" w:fill="auto"/>
            <w:noWrap/>
            <w:vAlign w:val="center"/>
            <w:hideMark/>
          </w:tcPr>
          <w:p w14:paraId="11EAA85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5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5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59"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5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0.25</w:t>
            </w:r>
          </w:p>
        </w:tc>
        <w:tc>
          <w:tcPr>
            <w:tcW w:w="361" w:type="dxa"/>
            <w:tcBorders>
              <w:top w:val="nil"/>
              <w:left w:val="nil"/>
              <w:bottom w:val="single" w:sz="4" w:space="0" w:color="auto"/>
              <w:right w:val="single" w:sz="4" w:space="0" w:color="auto"/>
            </w:tcBorders>
            <w:shd w:val="clear" w:color="auto" w:fill="auto"/>
            <w:noWrap/>
            <w:vAlign w:val="center"/>
            <w:hideMark/>
          </w:tcPr>
          <w:p w14:paraId="11EAA85B"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5C"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5D"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5E"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5F"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60"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0.06</w:t>
            </w:r>
          </w:p>
        </w:tc>
        <w:tc>
          <w:tcPr>
            <w:tcW w:w="361" w:type="dxa"/>
            <w:tcBorders>
              <w:top w:val="nil"/>
              <w:left w:val="nil"/>
              <w:bottom w:val="single" w:sz="4" w:space="0" w:color="auto"/>
              <w:right w:val="single" w:sz="4" w:space="0" w:color="auto"/>
            </w:tcBorders>
            <w:shd w:val="clear" w:color="auto" w:fill="auto"/>
            <w:noWrap/>
            <w:vAlign w:val="center"/>
            <w:hideMark/>
          </w:tcPr>
          <w:p w14:paraId="11EAA861"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1.81</w:t>
            </w:r>
          </w:p>
        </w:tc>
        <w:tc>
          <w:tcPr>
            <w:tcW w:w="361" w:type="dxa"/>
            <w:tcBorders>
              <w:top w:val="nil"/>
              <w:left w:val="nil"/>
              <w:bottom w:val="single" w:sz="4" w:space="0" w:color="auto"/>
              <w:right w:val="single" w:sz="4" w:space="0" w:color="auto"/>
            </w:tcBorders>
            <w:shd w:val="clear" w:color="auto" w:fill="auto"/>
            <w:noWrap/>
            <w:vAlign w:val="center"/>
            <w:hideMark/>
          </w:tcPr>
          <w:p w14:paraId="11EAA862"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63"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64"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0.75</w:t>
            </w:r>
          </w:p>
        </w:tc>
        <w:tc>
          <w:tcPr>
            <w:tcW w:w="361" w:type="dxa"/>
            <w:tcBorders>
              <w:top w:val="nil"/>
              <w:left w:val="nil"/>
              <w:bottom w:val="single" w:sz="4" w:space="0" w:color="auto"/>
              <w:right w:val="single" w:sz="4" w:space="0" w:color="auto"/>
            </w:tcBorders>
            <w:shd w:val="clear" w:color="auto" w:fill="auto"/>
            <w:noWrap/>
            <w:vAlign w:val="center"/>
            <w:hideMark/>
          </w:tcPr>
          <w:p w14:paraId="11EAA865"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8.38</w:t>
            </w:r>
          </w:p>
        </w:tc>
        <w:tc>
          <w:tcPr>
            <w:tcW w:w="361" w:type="dxa"/>
            <w:tcBorders>
              <w:top w:val="nil"/>
              <w:left w:val="nil"/>
              <w:bottom w:val="single" w:sz="4" w:space="0" w:color="auto"/>
              <w:right w:val="single" w:sz="4" w:space="0" w:color="auto"/>
            </w:tcBorders>
            <w:shd w:val="clear" w:color="auto" w:fill="auto"/>
            <w:noWrap/>
            <w:vAlign w:val="center"/>
            <w:hideMark/>
          </w:tcPr>
          <w:p w14:paraId="11EAA866"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67"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68" w14:textId="77777777" w:rsidR="00B33EEE" w:rsidRPr="00B33EEE" w:rsidRDefault="00B33EEE" w:rsidP="00B33EEE">
            <w:pPr>
              <w:spacing w:after="0"/>
              <w:jc w:val="center"/>
              <w:rPr>
                <w:rFonts w:ascii="Arial Narrow" w:hAnsi="Arial Narrow"/>
                <w:color w:val="000000"/>
                <w:sz w:val="14"/>
                <w:szCs w:val="14"/>
                <w:lang w:val="en-AU" w:eastAsia="en-AU"/>
              </w:rPr>
            </w:pPr>
          </w:p>
        </w:tc>
        <w:tc>
          <w:tcPr>
            <w:tcW w:w="361" w:type="dxa"/>
            <w:tcBorders>
              <w:top w:val="nil"/>
              <w:left w:val="nil"/>
              <w:bottom w:val="single" w:sz="4" w:space="0" w:color="auto"/>
              <w:right w:val="single" w:sz="4" w:space="0" w:color="auto"/>
            </w:tcBorders>
            <w:shd w:val="clear" w:color="auto" w:fill="auto"/>
            <w:noWrap/>
            <w:vAlign w:val="center"/>
            <w:hideMark/>
          </w:tcPr>
          <w:p w14:paraId="11EAA869"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1.13</w:t>
            </w:r>
          </w:p>
        </w:tc>
        <w:tc>
          <w:tcPr>
            <w:tcW w:w="361" w:type="dxa"/>
            <w:tcBorders>
              <w:top w:val="nil"/>
              <w:left w:val="nil"/>
              <w:bottom w:val="single" w:sz="4" w:space="0" w:color="auto"/>
              <w:right w:val="single" w:sz="4" w:space="0" w:color="auto"/>
            </w:tcBorders>
            <w:shd w:val="clear" w:color="auto" w:fill="auto"/>
            <w:noWrap/>
            <w:vAlign w:val="center"/>
            <w:hideMark/>
          </w:tcPr>
          <w:p w14:paraId="11EAA86A" w14:textId="77777777" w:rsidR="00B33EEE" w:rsidRPr="00B33EEE" w:rsidRDefault="00B33EEE" w:rsidP="00B33EEE">
            <w:pPr>
              <w:spacing w:after="0"/>
              <w:jc w:val="center"/>
              <w:rPr>
                <w:rFonts w:ascii="Arial Narrow" w:hAnsi="Arial Narrow"/>
                <w:color w:val="000000"/>
                <w:sz w:val="14"/>
                <w:szCs w:val="14"/>
                <w:lang w:val="en-AU" w:eastAsia="en-AU"/>
              </w:rPr>
            </w:pPr>
            <w:r w:rsidRPr="00B33EEE">
              <w:rPr>
                <w:rFonts w:ascii="Arial Narrow" w:hAnsi="Arial Narrow"/>
                <w:color w:val="000000"/>
                <w:sz w:val="14"/>
                <w:szCs w:val="14"/>
                <w:lang w:val="en-AU" w:eastAsia="en-AU"/>
              </w:rPr>
              <w:t>0.19</w:t>
            </w:r>
          </w:p>
        </w:tc>
      </w:tr>
    </w:tbl>
    <w:p w14:paraId="11EAA86C" w14:textId="77777777" w:rsidR="00B33EEE" w:rsidRDefault="00B33EEE" w:rsidP="00B33EEE">
      <w:pPr>
        <w:rPr>
          <w:rFonts w:eastAsia="SimSun"/>
        </w:rPr>
      </w:pPr>
    </w:p>
    <w:p w14:paraId="11EAA86D" w14:textId="77777777" w:rsidR="00B33EEE" w:rsidRDefault="00B33EEE" w:rsidP="00B33EEE">
      <w:pPr>
        <w:rPr>
          <w:rFonts w:eastAsia="SimSun"/>
        </w:rPr>
      </w:pPr>
    </w:p>
    <w:p w14:paraId="11EAA86E" w14:textId="77777777" w:rsidR="006428D8" w:rsidRDefault="006428D8" w:rsidP="00B33EEE">
      <w:pPr>
        <w:rPr>
          <w:rFonts w:eastAsia="SimSun"/>
        </w:rPr>
      </w:pPr>
    </w:p>
    <w:p w14:paraId="11EAA86F" w14:textId="77777777" w:rsidR="006428D8" w:rsidRDefault="006428D8" w:rsidP="00B33EEE">
      <w:pPr>
        <w:rPr>
          <w:rFonts w:eastAsia="SimSun"/>
        </w:rPr>
      </w:pPr>
    </w:p>
    <w:p w14:paraId="11EAA870" w14:textId="77777777" w:rsidR="006428D8" w:rsidRDefault="006428D8" w:rsidP="00B33EEE">
      <w:pPr>
        <w:rPr>
          <w:rFonts w:eastAsia="SimSun"/>
        </w:rPr>
      </w:pPr>
    </w:p>
    <w:p w14:paraId="11EAA871" w14:textId="77777777" w:rsidR="006428D8" w:rsidRDefault="006428D8" w:rsidP="00B33EEE">
      <w:pPr>
        <w:rPr>
          <w:rFonts w:eastAsia="SimSun"/>
        </w:rPr>
      </w:pPr>
    </w:p>
    <w:p w14:paraId="11EAA872" w14:textId="77777777" w:rsidR="006428D8" w:rsidRPr="00B33EEE" w:rsidRDefault="006428D8" w:rsidP="00B33EEE">
      <w:pPr>
        <w:rPr>
          <w:rFonts w:eastAsia="SimSun"/>
        </w:rPr>
      </w:pPr>
    </w:p>
    <w:p w14:paraId="11EAA873" w14:textId="63CB5F33" w:rsidR="001249B7" w:rsidRPr="006428D8" w:rsidRDefault="0036265A" w:rsidP="0036265A">
      <w:pPr>
        <w:pStyle w:val="Caption"/>
        <w:rPr>
          <w:vanish/>
        </w:rPr>
      </w:pPr>
      <w:bookmarkStart w:id="448" w:name="_Ref460423891"/>
      <w:bookmarkStart w:id="449" w:name="_Toc437424467"/>
      <w:bookmarkStart w:id="450" w:name="_Toc437424591"/>
      <w:bookmarkStart w:id="451" w:name="_Toc437432520"/>
      <w:bookmarkStart w:id="452" w:name="_Toc471373384"/>
      <w:r>
        <w:t xml:space="preserve">Table A1. </w:t>
      </w:r>
      <w:r>
        <w:fldChar w:fldCharType="begin"/>
      </w:r>
      <w:r>
        <w:instrText xml:space="preserve"> SEQ Table_A1. \* ARABIC </w:instrText>
      </w:r>
      <w:r>
        <w:fldChar w:fldCharType="separate"/>
      </w:r>
      <w:r w:rsidR="00D806F2">
        <w:rPr>
          <w:noProof/>
        </w:rPr>
        <w:t>8</w:t>
      </w:r>
      <w:r>
        <w:fldChar w:fldCharType="end"/>
      </w:r>
      <w:r>
        <w:t xml:space="preserve"> </w:t>
      </w:r>
      <w:r w:rsidRPr="00B16D0F">
        <w:t xml:space="preserve">Percent cover of </w:t>
      </w:r>
      <w:r>
        <w:t>soft</w:t>
      </w:r>
      <w:r w:rsidRPr="00B16D0F">
        <w:t xml:space="preserve"> coral </w:t>
      </w:r>
      <w:r>
        <w:t>families</w:t>
      </w:r>
      <w:r w:rsidRPr="00B16D0F">
        <w:t xml:space="preserve"> 2016</w:t>
      </w:r>
      <w:r>
        <w:t>.</w:t>
      </w:r>
      <w:bookmarkEnd w:id="448"/>
      <w:bookmarkEnd w:id="449"/>
      <w:bookmarkEnd w:id="450"/>
      <w:bookmarkEnd w:id="451"/>
      <w:bookmarkEnd w:id="452"/>
      <w:r>
        <w:t xml:space="preserve"> </w:t>
      </w:r>
    </w:p>
    <w:p w14:paraId="11EAA874" w14:textId="6E9B7BCB" w:rsidR="001E7922" w:rsidRPr="006428D8" w:rsidRDefault="0036265A" w:rsidP="0036265A">
      <w:pPr>
        <w:pStyle w:val="Caption"/>
      </w:pPr>
      <w:r>
        <w:rPr>
          <w:rStyle w:val="IntenseReference"/>
          <w:rFonts w:eastAsia="SimSun"/>
          <w:color w:val="auto"/>
        </w:rPr>
        <w:t>F</w:t>
      </w:r>
      <w:r w:rsidR="006428D8">
        <w:rPr>
          <w:rStyle w:val="IntenseReference"/>
          <w:rFonts w:eastAsia="SimSun"/>
          <w:color w:val="auto"/>
        </w:rPr>
        <w:t>amilies</w:t>
      </w:r>
      <w:r w:rsidR="001E7922" w:rsidRPr="006428D8">
        <w:rPr>
          <w:rStyle w:val="IntenseReference"/>
          <w:rFonts w:eastAsia="SimSun"/>
          <w:color w:val="auto"/>
        </w:rPr>
        <w:t xml:space="preserve"> for which cover </w:t>
      </w:r>
      <w:r>
        <w:rPr>
          <w:rStyle w:val="IntenseReference"/>
          <w:rFonts w:eastAsia="SimSun"/>
          <w:color w:val="auto"/>
        </w:rPr>
        <w:t xml:space="preserve">did not </w:t>
      </w:r>
      <w:r w:rsidR="001E7922" w:rsidRPr="006428D8">
        <w:rPr>
          <w:rStyle w:val="IntenseReference"/>
          <w:rFonts w:eastAsia="SimSun"/>
          <w:color w:val="auto"/>
        </w:rPr>
        <w:t>exceeded 0.25% on at least one reef</w:t>
      </w:r>
      <w:r>
        <w:rPr>
          <w:rStyle w:val="IntenseReference"/>
          <w:rFonts w:eastAsia="SimSun"/>
          <w:color w:val="auto"/>
        </w:rPr>
        <w:t xml:space="preserve"> or corals not identified to </w:t>
      </w:r>
      <w:r w:rsidR="006428D8">
        <w:rPr>
          <w:rStyle w:val="IntenseReference"/>
          <w:rFonts w:eastAsia="SimSun"/>
          <w:color w:val="auto"/>
        </w:rPr>
        <w:t>famil</w:t>
      </w:r>
      <w:r>
        <w:rPr>
          <w:rStyle w:val="IntenseReference"/>
          <w:rFonts w:eastAsia="SimSun"/>
          <w:color w:val="auto"/>
        </w:rPr>
        <w:t xml:space="preserve">y level </w:t>
      </w:r>
      <w:r w:rsidR="001E7922" w:rsidRPr="006428D8">
        <w:rPr>
          <w:rStyle w:val="IntenseReference"/>
          <w:rFonts w:eastAsia="SimSun"/>
          <w:color w:val="auto"/>
        </w:rPr>
        <w:t>are grouped to ‘Other’.</w:t>
      </w:r>
    </w:p>
    <w:tbl>
      <w:tblPr>
        <w:tblW w:w="13892" w:type="dxa"/>
        <w:tblInd w:w="93" w:type="dxa"/>
        <w:tblLook w:val="04A0" w:firstRow="1" w:lastRow="0" w:firstColumn="1" w:lastColumn="0" w:noHBand="0" w:noVBand="1"/>
      </w:tblPr>
      <w:tblGrid>
        <w:gridCol w:w="1046"/>
        <w:gridCol w:w="1656"/>
        <w:gridCol w:w="740"/>
        <w:gridCol w:w="1045"/>
        <w:gridCol w:w="1045"/>
        <w:gridCol w:w="1045"/>
        <w:gridCol w:w="1045"/>
        <w:gridCol w:w="1045"/>
        <w:gridCol w:w="1045"/>
        <w:gridCol w:w="1045"/>
        <w:gridCol w:w="1045"/>
        <w:gridCol w:w="1045"/>
        <w:gridCol w:w="1045"/>
      </w:tblGrid>
      <w:tr w:rsidR="006428D8" w:rsidRPr="00094C12" w14:paraId="11EAA883" w14:textId="77777777" w:rsidTr="00D170D0">
        <w:trPr>
          <w:trHeight w:val="1618"/>
          <w:tblHeader/>
        </w:trPr>
        <w:tc>
          <w:tcPr>
            <w:tcW w:w="96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1EAA875"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subregion</w:t>
            </w:r>
          </w:p>
        </w:tc>
        <w:tc>
          <w:tcPr>
            <w:tcW w:w="1520"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vAlign w:val="center"/>
            <w:hideMark/>
          </w:tcPr>
          <w:p w14:paraId="11EAA876"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Reef</w:t>
            </w:r>
          </w:p>
        </w:tc>
        <w:tc>
          <w:tcPr>
            <w:tcW w:w="680"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1EAA877"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Depth</w:t>
            </w:r>
          </w:p>
        </w:tc>
        <w:tc>
          <w:tcPr>
            <w:tcW w:w="960"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1EAA878"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Alcyoniidae</w:t>
            </w:r>
          </w:p>
        </w:tc>
        <w:tc>
          <w:tcPr>
            <w:tcW w:w="960"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1EAA879"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Anthothelidae</w:t>
            </w:r>
          </w:p>
        </w:tc>
        <w:tc>
          <w:tcPr>
            <w:tcW w:w="960"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1EAA87A" w14:textId="77777777" w:rsidR="006428D8" w:rsidRDefault="006428D8" w:rsidP="006428D8">
            <w:pPr>
              <w:spacing w:after="0"/>
              <w:jc w:val="center"/>
              <w:rPr>
                <w:rFonts w:ascii="Arial Narrow" w:hAnsi="Arial Narrow"/>
                <w:color w:val="000000"/>
                <w:sz w:val="20"/>
                <w:lang w:val="en-AU" w:eastAsia="en-AU"/>
              </w:rPr>
            </w:pPr>
            <w:r>
              <w:rPr>
                <w:rFonts w:ascii="Arial Narrow" w:hAnsi="Arial Narrow"/>
                <w:color w:val="000000"/>
                <w:sz w:val="20"/>
                <w:lang w:val="en-AU" w:eastAsia="en-AU"/>
              </w:rPr>
              <w:t>Briareidae</w:t>
            </w:r>
          </w:p>
          <w:p w14:paraId="11EAA87B" w14:textId="77777777" w:rsidR="006428D8" w:rsidRPr="00094C12" w:rsidRDefault="006428D8" w:rsidP="006428D8">
            <w:pPr>
              <w:spacing w:after="0"/>
              <w:jc w:val="center"/>
              <w:rPr>
                <w:rFonts w:ascii="Arial Narrow" w:hAnsi="Arial Narrow"/>
                <w:color w:val="000000"/>
                <w:sz w:val="20"/>
                <w:lang w:val="en-AU" w:eastAsia="en-AU"/>
              </w:rPr>
            </w:pPr>
          </w:p>
        </w:tc>
        <w:tc>
          <w:tcPr>
            <w:tcW w:w="960"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1EAA87C"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Clavulariinae</w:t>
            </w:r>
          </w:p>
        </w:tc>
        <w:tc>
          <w:tcPr>
            <w:tcW w:w="960"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1EAA87D"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Heliporidae</w:t>
            </w:r>
          </w:p>
        </w:tc>
        <w:tc>
          <w:tcPr>
            <w:tcW w:w="960"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1EAA87E"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Neptheidae</w:t>
            </w:r>
          </w:p>
        </w:tc>
        <w:tc>
          <w:tcPr>
            <w:tcW w:w="960"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1EAA87F"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Paralcyoniidae</w:t>
            </w:r>
          </w:p>
        </w:tc>
        <w:tc>
          <w:tcPr>
            <w:tcW w:w="960"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1EAA880"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Xeniidae</w:t>
            </w:r>
          </w:p>
        </w:tc>
        <w:tc>
          <w:tcPr>
            <w:tcW w:w="960"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1EAA881" w14:textId="77777777" w:rsidR="006428D8" w:rsidRPr="00094C12" w:rsidRDefault="006428D8" w:rsidP="006428D8">
            <w:pPr>
              <w:spacing w:after="0"/>
              <w:jc w:val="center"/>
              <w:rPr>
                <w:rFonts w:ascii="Calibri" w:hAnsi="Calibri"/>
                <w:color w:val="000000"/>
                <w:szCs w:val="22"/>
                <w:lang w:val="en-AU" w:eastAsia="en-AU"/>
              </w:rPr>
            </w:pPr>
            <w:r w:rsidRPr="00094C12">
              <w:rPr>
                <w:rFonts w:ascii="Calibri" w:hAnsi="Calibri"/>
                <w:color w:val="000000"/>
                <w:szCs w:val="22"/>
                <w:lang w:val="en-AU" w:eastAsia="en-AU"/>
              </w:rPr>
              <w:t>Gorgoniidae like</w:t>
            </w:r>
          </w:p>
        </w:tc>
        <w:tc>
          <w:tcPr>
            <w:tcW w:w="960"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1EAA882"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Other</w:t>
            </w:r>
          </w:p>
        </w:tc>
      </w:tr>
      <w:tr w:rsidR="006428D8" w:rsidRPr="00094C12" w14:paraId="11EAA891" w14:textId="77777777" w:rsidTr="00D170D0">
        <w:trPr>
          <w:trHeight w:hRule="exact" w:val="284"/>
        </w:trPr>
        <w:tc>
          <w:tcPr>
            <w:tcW w:w="960"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textDirection w:val="btLr"/>
            <w:vAlign w:val="center"/>
            <w:hideMark/>
          </w:tcPr>
          <w:p w14:paraId="11EAA884"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Daintree</w:t>
            </w:r>
          </w:p>
        </w:tc>
        <w:tc>
          <w:tcPr>
            <w:tcW w:w="1520"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1EAA885"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Snapper North</w:t>
            </w: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86"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8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0.02</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8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89"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2.33</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8A"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1.35</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8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8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8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8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8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90"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89F"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892"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893"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94"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9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9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9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0.31</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98"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9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9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9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9C"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0.31</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9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9E"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8AD"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8A0"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1EAA8A1"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Snapper South</w:t>
            </w: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A2"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A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0.54</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A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A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0.96</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A6"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0.04</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A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1.92</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A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A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A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A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AC"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8BB"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8AE"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8AF"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B0"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B1"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B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B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8.88</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B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B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5.06</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B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B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B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B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BA"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0.09</w:t>
            </w:r>
          </w:p>
        </w:tc>
      </w:tr>
      <w:tr w:rsidR="006428D8" w:rsidRPr="00094C12" w14:paraId="11EAA8C9"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8BC"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BD"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Low Isles</w:t>
            </w: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BE"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BF"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0.65</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C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C1"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9.30</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C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C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0.13</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C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C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C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C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C8"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8D7" w14:textId="77777777" w:rsidTr="00D170D0">
        <w:trPr>
          <w:trHeight w:hRule="exact" w:val="284"/>
        </w:trPr>
        <w:tc>
          <w:tcPr>
            <w:tcW w:w="960"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textDirection w:val="btLr"/>
            <w:vAlign w:val="center"/>
            <w:hideMark/>
          </w:tcPr>
          <w:p w14:paraId="11EAA8CA"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Johnstone</w:t>
            </w:r>
          </w:p>
        </w:tc>
        <w:tc>
          <w:tcPr>
            <w:tcW w:w="152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CB"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Green</w:t>
            </w: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CC"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CD"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0.59</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C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CF"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0.23</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D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D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D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D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D4"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0.02</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D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D6"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0.27</w:t>
            </w:r>
          </w:p>
        </w:tc>
      </w:tr>
      <w:tr w:rsidR="006428D8" w:rsidRPr="00094C12" w14:paraId="11EAA8E5"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8D8"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D9"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Fitzroy West LTMP</w:t>
            </w: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DA"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D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3.20</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D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DD"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0.47</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D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D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E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E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E2"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E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E4"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r>
      <w:tr w:rsidR="006428D8" w:rsidRPr="00094C12" w14:paraId="11EAA8F3"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8E6"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1EAA8E7"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Fitzroy East</w:t>
            </w: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E8"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E9"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0.31</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E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E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1.06</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EC"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0.09</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E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EE"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0.05</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E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F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F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F2"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01"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8F4"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8F5"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F6"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F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0.42</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F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F9"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5.69</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FA"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0.28</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F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FC"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0.08</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F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FE"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8F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00"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0F"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902"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1EAA903"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Fitzroy West</w:t>
            </w: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04"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0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5.07</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0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0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0.19</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0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0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0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0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0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0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0E"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1D"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910"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911"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12"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1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4.31</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1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1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16"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1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1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1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1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1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1C"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2B"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91E"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1EAA91F"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Franklands East</w:t>
            </w: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20"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21"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0.08</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2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2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24"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0.28</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2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0.13</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2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2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28"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2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2A"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39"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92C"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92D"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2E"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2F"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0.33</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3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31"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0.75</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32"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0.13</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3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3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3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3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3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38"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47"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93A"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1EAA93B"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Franklands West</w:t>
            </w: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3C"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3D"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1.74</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3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3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40"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4.53</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41"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42"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4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4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4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46"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55"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948"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949"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4A"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4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0.37</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4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4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4E"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0.22</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4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5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5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5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5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54"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63"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956"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1EAA957"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High East</w:t>
            </w: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58"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59"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1.01</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5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5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5.38</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5C"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5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5E"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5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60"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6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62"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71"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964"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965"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66"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6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0.12</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6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69"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8.69</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6A"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6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6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6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6E"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0.02</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6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70"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7F"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972"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1EAA973"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High West</w:t>
            </w: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74"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7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0.45</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7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7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0.31</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7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79"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3.50</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7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7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7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7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7E"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8D" w14:textId="77777777" w:rsidTr="00D170D0">
        <w:trPr>
          <w:trHeight w:hRule="exact" w:val="284"/>
        </w:trPr>
        <w:tc>
          <w:tcPr>
            <w:tcW w:w="96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980"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1EAA981"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82"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8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0.23</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8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8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1.19</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8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8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1.00</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8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8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8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8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c>
          <w:tcPr>
            <w:tcW w:w="96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EAA98C"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9B" w14:textId="77777777" w:rsidTr="00D170D0">
        <w:trPr>
          <w:trHeight w:hRule="exact" w:val="284"/>
        </w:trPr>
        <w:tc>
          <w:tcPr>
            <w:tcW w:w="96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A98E"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Tully</w:t>
            </w: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98F"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Barnards</w:t>
            </w:r>
          </w:p>
        </w:tc>
        <w:tc>
          <w:tcPr>
            <w:tcW w:w="680" w:type="dxa"/>
            <w:tcBorders>
              <w:top w:val="nil"/>
              <w:left w:val="nil"/>
              <w:bottom w:val="single" w:sz="4" w:space="0" w:color="auto"/>
              <w:right w:val="single" w:sz="4" w:space="0" w:color="auto"/>
            </w:tcBorders>
            <w:shd w:val="clear" w:color="auto" w:fill="auto"/>
            <w:noWrap/>
            <w:vAlign w:val="center"/>
            <w:hideMark/>
          </w:tcPr>
          <w:p w14:paraId="11EAA990"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991"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vAlign w:val="center"/>
            <w:hideMark/>
          </w:tcPr>
          <w:p w14:paraId="11EAA99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9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0.25</w:t>
            </w:r>
          </w:p>
        </w:tc>
        <w:tc>
          <w:tcPr>
            <w:tcW w:w="960" w:type="dxa"/>
            <w:tcBorders>
              <w:top w:val="nil"/>
              <w:left w:val="nil"/>
              <w:bottom w:val="single" w:sz="4" w:space="0" w:color="auto"/>
              <w:right w:val="single" w:sz="4" w:space="0" w:color="auto"/>
            </w:tcBorders>
            <w:shd w:val="clear" w:color="auto" w:fill="auto"/>
            <w:noWrap/>
            <w:vAlign w:val="center"/>
            <w:hideMark/>
          </w:tcPr>
          <w:p w14:paraId="11EAA99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9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9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9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9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9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9A"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A9"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99C"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99D"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99E"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99F"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0.08</w:t>
            </w:r>
          </w:p>
        </w:tc>
        <w:tc>
          <w:tcPr>
            <w:tcW w:w="960" w:type="dxa"/>
            <w:tcBorders>
              <w:top w:val="nil"/>
              <w:left w:val="nil"/>
              <w:bottom w:val="single" w:sz="4" w:space="0" w:color="auto"/>
              <w:right w:val="single" w:sz="4" w:space="0" w:color="auto"/>
            </w:tcBorders>
            <w:shd w:val="clear" w:color="auto" w:fill="auto"/>
            <w:noWrap/>
            <w:vAlign w:val="center"/>
            <w:hideMark/>
          </w:tcPr>
          <w:p w14:paraId="11EAA9A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A1"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1.63</w:t>
            </w:r>
          </w:p>
        </w:tc>
        <w:tc>
          <w:tcPr>
            <w:tcW w:w="960" w:type="dxa"/>
            <w:tcBorders>
              <w:top w:val="nil"/>
              <w:left w:val="nil"/>
              <w:bottom w:val="single" w:sz="4" w:space="0" w:color="auto"/>
              <w:right w:val="single" w:sz="4" w:space="0" w:color="auto"/>
            </w:tcBorders>
            <w:shd w:val="clear" w:color="auto" w:fill="auto"/>
            <w:noWrap/>
            <w:vAlign w:val="center"/>
            <w:hideMark/>
          </w:tcPr>
          <w:p w14:paraId="11EAA9A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A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A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A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0.25</w:t>
            </w:r>
          </w:p>
        </w:tc>
        <w:tc>
          <w:tcPr>
            <w:tcW w:w="960" w:type="dxa"/>
            <w:tcBorders>
              <w:top w:val="nil"/>
              <w:left w:val="nil"/>
              <w:bottom w:val="single" w:sz="4" w:space="0" w:color="auto"/>
              <w:right w:val="single" w:sz="4" w:space="0" w:color="auto"/>
            </w:tcBorders>
            <w:shd w:val="clear" w:color="auto" w:fill="auto"/>
            <w:noWrap/>
            <w:vAlign w:val="center"/>
            <w:hideMark/>
          </w:tcPr>
          <w:p w14:paraId="11EAA9A6"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0.08</w:t>
            </w:r>
          </w:p>
        </w:tc>
        <w:tc>
          <w:tcPr>
            <w:tcW w:w="960" w:type="dxa"/>
            <w:tcBorders>
              <w:top w:val="nil"/>
              <w:left w:val="nil"/>
              <w:bottom w:val="single" w:sz="4" w:space="0" w:color="auto"/>
              <w:right w:val="single" w:sz="4" w:space="0" w:color="auto"/>
            </w:tcBorders>
            <w:shd w:val="clear" w:color="auto" w:fill="auto"/>
            <w:noWrap/>
            <w:vAlign w:val="center"/>
            <w:hideMark/>
          </w:tcPr>
          <w:p w14:paraId="11EAA9A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A8"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B7"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9AA"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9AB"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Dunk North</w:t>
            </w:r>
          </w:p>
        </w:tc>
        <w:tc>
          <w:tcPr>
            <w:tcW w:w="680" w:type="dxa"/>
            <w:tcBorders>
              <w:top w:val="nil"/>
              <w:left w:val="nil"/>
              <w:bottom w:val="single" w:sz="4" w:space="0" w:color="auto"/>
              <w:right w:val="single" w:sz="4" w:space="0" w:color="auto"/>
            </w:tcBorders>
            <w:shd w:val="clear" w:color="auto" w:fill="auto"/>
            <w:noWrap/>
            <w:vAlign w:val="center"/>
            <w:hideMark/>
          </w:tcPr>
          <w:p w14:paraId="11EAA9AC"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9AD"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0.19</w:t>
            </w:r>
          </w:p>
        </w:tc>
        <w:tc>
          <w:tcPr>
            <w:tcW w:w="960" w:type="dxa"/>
            <w:tcBorders>
              <w:top w:val="nil"/>
              <w:left w:val="nil"/>
              <w:bottom w:val="single" w:sz="4" w:space="0" w:color="auto"/>
              <w:right w:val="single" w:sz="4" w:space="0" w:color="auto"/>
            </w:tcBorders>
            <w:shd w:val="clear" w:color="auto" w:fill="auto"/>
            <w:noWrap/>
            <w:vAlign w:val="center"/>
            <w:hideMark/>
          </w:tcPr>
          <w:p w14:paraId="11EAA9A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A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B0"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0.09</w:t>
            </w:r>
          </w:p>
        </w:tc>
        <w:tc>
          <w:tcPr>
            <w:tcW w:w="960" w:type="dxa"/>
            <w:tcBorders>
              <w:top w:val="nil"/>
              <w:left w:val="nil"/>
              <w:bottom w:val="single" w:sz="4" w:space="0" w:color="auto"/>
              <w:right w:val="single" w:sz="4" w:space="0" w:color="auto"/>
            </w:tcBorders>
            <w:shd w:val="clear" w:color="auto" w:fill="auto"/>
            <w:noWrap/>
            <w:vAlign w:val="center"/>
            <w:hideMark/>
          </w:tcPr>
          <w:p w14:paraId="11EAA9B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B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B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B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B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c>
          <w:tcPr>
            <w:tcW w:w="960" w:type="dxa"/>
            <w:tcBorders>
              <w:top w:val="nil"/>
              <w:left w:val="nil"/>
              <w:bottom w:val="single" w:sz="4" w:space="0" w:color="auto"/>
              <w:right w:val="single" w:sz="4" w:space="0" w:color="auto"/>
            </w:tcBorders>
            <w:shd w:val="clear" w:color="auto" w:fill="auto"/>
            <w:noWrap/>
            <w:vAlign w:val="center"/>
            <w:hideMark/>
          </w:tcPr>
          <w:p w14:paraId="11EAA9B6"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r>
      <w:tr w:rsidR="006428D8" w:rsidRPr="00094C12" w14:paraId="11EAA9C5"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9B8"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9B9"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9BA"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9B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0.19</w:t>
            </w:r>
          </w:p>
        </w:tc>
        <w:tc>
          <w:tcPr>
            <w:tcW w:w="960" w:type="dxa"/>
            <w:tcBorders>
              <w:top w:val="nil"/>
              <w:left w:val="nil"/>
              <w:bottom w:val="single" w:sz="4" w:space="0" w:color="auto"/>
              <w:right w:val="single" w:sz="4" w:space="0" w:color="auto"/>
            </w:tcBorders>
            <w:shd w:val="clear" w:color="auto" w:fill="auto"/>
            <w:noWrap/>
            <w:vAlign w:val="center"/>
            <w:hideMark/>
          </w:tcPr>
          <w:p w14:paraId="11EAA9B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BD"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0.13</w:t>
            </w:r>
          </w:p>
        </w:tc>
        <w:tc>
          <w:tcPr>
            <w:tcW w:w="960" w:type="dxa"/>
            <w:tcBorders>
              <w:top w:val="nil"/>
              <w:left w:val="nil"/>
              <w:bottom w:val="single" w:sz="4" w:space="0" w:color="auto"/>
              <w:right w:val="single" w:sz="4" w:space="0" w:color="auto"/>
            </w:tcBorders>
            <w:shd w:val="clear" w:color="auto" w:fill="auto"/>
            <w:noWrap/>
            <w:vAlign w:val="center"/>
            <w:hideMark/>
          </w:tcPr>
          <w:p w14:paraId="11EAA9BE"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vAlign w:val="center"/>
            <w:hideMark/>
          </w:tcPr>
          <w:p w14:paraId="11EAA9B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C0"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vAlign w:val="center"/>
            <w:hideMark/>
          </w:tcPr>
          <w:p w14:paraId="11EAA9C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C2"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0.61</w:t>
            </w:r>
          </w:p>
        </w:tc>
        <w:tc>
          <w:tcPr>
            <w:tcW w:w="960" w:type="dxa"/>
            <w:tcBorders>
              <w:top w:val="nil"/>
              <w:left w:val="nil"/>
              <w:bottom w:val="single" w:sz="4" w:space="0" w:color="auto"/>
              <w:right w:val="single" w:sz="4" w:space="0" w:color="auto"/>
            </w:tcBorders>
            <w:shd w:val="clear" w:color="auto" w:fill="auto"/>
            <w:noWrap/>
            <w:vAlign w:val="center"/>
            <w:hideMark/>
          </w:tcPr>
          <w:p w14:paraId="11EAA9C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0.88</w:t>
            </w:r>
          </w:p>
        </w:tc>
        <w:tc>
          <w:tcPr>
            <w:tcW w:w="960" w:type="dxa"/>
            <w:tcBorders>
              <w:top w:val="nil"/>
              <w:left w:val="nil"/>
              <w:bottom w:val="single" w:sz="4" w:space="0" w:color="auto"/>
              <w:right w:val="single" w:sz="4" w:space="0" w:color="auto"/>
            </w:tcBorders>
            <w:shd w:val="clear" w:color="auto" w:fill="auto"/>
            <w:noWrap/>
            <w:vAlign w:val="center"/>
            <w:hideMark/>
          </w:tcPr>
          <w:p w14:paraId="11EAA9C4"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r>
      <w:tr w:rsidR="006428D8" w:rsidRPr="00094C12" w14:paraId="11EAA9D3"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9C6"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9C7"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Dunk South</w:t>
            </w:r>
          </w:p>
        </w:tc>
        <w:tc>
          <w:tcPr>
            <w:tcW w:w="680" w:type="dxa"/>
            <w:tcBorders>
              <w:top w:val="nil"/>
              <w:left w:val="nil"/>
              <w:bottom w:val="single" w:sz="4" w:space="0" w:color="auto"/>
              <w:right w:val="single" w:sz="4" w:space="0" w:color="auto"/>
            </w:tcBorders>
            <w:shd w:val="clear" w:color="auto" w:fill="auto"/>
            <w:noWrap/>
            <w:vAlign w:val="center"/>
            <w:hideMark/>
          </w:tcPr>
          <w:p w14:paraId="11EAA9C8"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9C9"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vAlign w:val="center"/>
            <w:hideMark/>
          </w:tcPr>
          <w:p w14:paraId="11EAA9C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C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0.88</w:t>
            </w:r>
          </w:p>
        </w:tc>
        <w:tc>
          <w:tcPr>
            <w:tcW w:w="960" w:type="dxa"/>
            <w:tcBorders>
              <w:top w:val="nil"/>
              <w:left w:val="nil"/>
              <w:bottom w:val="single" w:sz="4" w:space="0" w:color="auto"/>
              <w:right w:val="single" w:sz="4" w:space="0" w:color="auto"/>
            </w:tcBorders>
            <w:shd w:val="clear" w:color="auto" w:fill="auto"/>
            <w:noWrap/>
            <w:vAlign w:val="center"/>
            <w:hideMark/>
          </w:tcPr>
          <w:p w14:paraId="11EAA9CC"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c>
          <w:tcPr>
            <w:tcW w:w="960" w:type="dxa"/>
            <w:tcBorders>
              <w:top w:val="nil"/>
              <w:left w:val="nil"/>
              <w:bottom w:val="single" w:sz="4" w:space="0" w:color="auto"/>
              <w:right w:val="single" w:sz="4" w:space="0" w:color="auto"/>
            </w:tcBorders>
            <w:shd w:val="clear" w:color="auto" w:fill="auto"/>
            <w:noWrap/>
            <w:vAlign w:val="center"/>
            <w:hideMark/>
          </w:tcPr>
          <w:p w14:paraId="11EAA9C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C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C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D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D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D2"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E1"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9D4"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9D5"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9D6"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9D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0.05</w:t>
            </w:r>
          </w:p>
        </w:tc>
        <w:tc>
          <w:tcPr>
            <w:tcW w:w="960" w:type="dxa"/>
            <w:tcBorders>
              <w:top w:val="nil"/>
              <w:left w:val="nil"/>
              <w:bottom w:val="single" w:sz="4" w:space="0" w:color="auto"/>
              <w:right w:val="single" w:sz="4" w:space="0" w:color="auto"/>
            </w:tcBorders>
            <w:shd w:val="clear" w:color="auto" w:fill="auto"/>
            <w:noWrap/>
            <w:vAlign w:val="center"/>
            <w:hideMark/>
          </w:tcPr>
          <w:p w14:paraId="11EAA9D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D9"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2.44</w:t>
            </w:r>
          </w:p>
        </w:tc>
        <w:tc>
          <w:tcPr>
            <w:tcW w:w="960" w:type="dxa"/>
            <w:tcBorders>
              <w:top w:val="nil"/>
              <w:left w:val="nil"/>
              <w:bottom w:val="single" w:sz="4" w:space="0" w:color="auto"/>
              <w:right w:val="single" w:sz="4" w:space="0" w:color="auto"/>
            </w:tcBorders>
            <w:shd w:val="clear" w:color="auto" w:fill="auto"/>
            <w:noWrap/>
            <w:vAlign w:val="center"/>
            <w:hideMark/>
          </w:tcPr>
          <w:p w14:paraId="11EAA9D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D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D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D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D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D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E0"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EF"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9E2"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9E3"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Bedarra</w:t>
            </w:r>
          </w:p>
        </w:tc>
        <w:tc>
          <w:tcPr>
            <w:tcW w:w="680" w:type="dxa"/>
            <w:tcBorders>
              <w:top w:val="nil"/>
              <w:left w:val="nil"/>
              <w:bottom w:val="single" w:sz="4" w:space="0" w:color="auto"/>
              <w:right w:val="single" w:sz="4" w:space="0" w:color="auto"/>
            </w:tcBorders>
            <w:shd w:val="clear" w:color="auto" w:fill="auto"/>
            <w:noWrap/>
            <w:vAlign w:val="center"/>
            <w:hideMark/>
          </w:tcPr>
          <w:p w14:paraId="11EAA9E4"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9E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vAlign w:val="center"/>
            <w:hideMark/>
          </w:tcPr>
          <w:p w14:paraId="11EAA9E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E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c>
          <w:tcPr>
            <w:tcW w:w="960" w:type="dxa"/>
            <w:tcBorders>
              <w:top w:val="nil"/>
              <w:left w:val="nil"/>
              <w:bottom w:val="single" w:sz="4" w:space="0" w:color="auto"/>
              <w:right w:val="single" w:sz="4" w:space="0" w:color="auto"/>
            </w:tcBorders>
            <w:shd w:val="clear" w:color="auto" w:fill="auto"/>
            <w:noWrap/>
            <w:vAlign w:val="center"/>
            <w:hideMark/>
          </w:tcPr>
          <w:p w14:paraId="11EAA9E8"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vAlign w:val="center"/>
            <w:hideMark/>
          </w:tcPr>
          <w:p w14:paraId="11EAA9E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E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E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E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ED"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vAlign w:val="center"/>
            <w:hideMark/>
          </w:tcPr>
          <w:p w14:paraId="11EAA9EE"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9FD"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9F0"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9F1"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9F2"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9F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0.08</w:t>
            </w:r>
          </w:p>
        </w:tc>
        <w:tc>
          <w:tcPr>
            <w:tcW w:w="960" w:type="dxa"/>
            <w:tcBorders>
              <w:top w:val="nil"/>
              <w:left w:val="nil"/>
              <w:bottom w:val="single" w:sz="4" w:space="0" w:color="auto"/>
              <w:right w:val="single" w:sz="4" w:space="0" w:color="auto"/>
            </w:tcBorders>
            <w:shd w:val="clear" w:color="auto" w:fill="auto"/>
            <w:noWrap/>
            <w:vAlign w:val="center"/>
            <w:hideMark/>
          </w:tcPr>
          <w:p w14:paraId="11EAA9F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F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3.31</w:t>
            </w:r>
          </w:p>
        </w:tc>
        <w:tc>
          <w:tcPr>
            <w:tcW w:w="960" w:type="dxa"/>
            <w:tcBorders>
              <w:top w:val="nil"/>
              <w:left w:val="nil"/>
              <w:bottom w:val="single" w:sz="4" w:space="0" w:color="auto"/>
              <w:right w:val="single" w:sz="4" w:space="0" w:color="auto"/>
            </w:tcBorders>
            <w:shd w:val="clear" w:color="auto" w:fill="auto"/>
            <w:noWrap/>
            <w:vAlign w:val="center"/>
            <w:hideMark/>
          </w:tcPr>
          <w:p w14:paraId="11EAA9F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F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F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F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9FA"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0.02</w:t>
            </w:r>
          </w:p>
        </w:tc>
        <w:tc>
          <w:tcPr>
            <w:tcW w:w="960" w:type="dxa"/>
            <w:tcBorders>
              <w:top w:val="nil"/>
              <w:left w:val="nil"/>
              <w:bottom w:val="single" w:sz="4" w:space="0" w:color="auto"/>
              <w:right w:val="single" w:sz="4" w:space="0" w:color="auto"/>
            </w:tcBorders>
            <w:shd w:val="clear" w:color="auto" w:fill="auto"/>
            <w:noWrap/>
            <w:vAlign w:val="center"/>
            <w:hideMark/>
          </w:tcPr>
          <w:p w14:paraId="11EAA9F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0.13</w:t>
            </w:r>
          </w:p>
        </w:tc>
        <w:tc>
          <w:tcPr>
            <w:tcW w:w="960" w:type="dxa"/>
            <w:tcBorders>
              <w:top w:val="nil"/>
              <w:left w:val="nil"/>
              <w:bottom w:val="single" w:sz="4" w:space="0" w:color="auto"/>
              <w:right w:val="single" w:sz="4" w:space="0" w:color="auto"/>
            </w:tcBorders>
            <w:shd w:val="clear" w:color="auto" w:fill="auto"/>
            <w:noWrap/>
            <w:vAlign w:val="center"/>
            <w:hideMark/>
          </w:tcPr>
          <w:p w14:paraId="11EAA9FC"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r>
      <w:tr w:rsidR="006428D8" w:rsidRPr="00094C12" w14:paraId="11EAAA0B" w14:textId="77777777" w:rsidTr="00D170D0">
        <w:trPr>
          <w:trHeight w:hRule="exact" w:val="284"/>
        </w:trPr>
        <w:tc>
          <w:tcPr>
            <w:tcW w:w="96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A9FE"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Burdekin</w:t>
            </w: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9FF"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Palms East</w:t>
            </w:r>
          </w:p>
        </w:tc>
        <w:tc>
          <w:tcPr>
            <w:tcW w:w="680" w:type="dxa"/>
            <w:tcBorders>
              <w:top w:val="nil"/>
              <w:left w:val="nil"/>
              <w:bottom w:val="single" w:sz="4" w:space="0" w:color="auto"/>
              <w:right w:val="single" w:sz="4" w:space="0" w:color="auto"/>
            </w:tcBorders>
            <w:shd w:val="clear" w:color="auto" w:fill="auto"/>
            <w:noWrap/>
            <w:vAlign w:val="center"/>
            <w:hideMark/>
          </w:tcPr>
          <w:p w14:paraId="11EAAA00"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A01"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0.25</w:t>
            </w:r>
          </w:p>
        </w:tc>
        <w:tc>
          <w:tcPr>
            <w:tcW w:w="960" w:type="dxa"/>
            <w:tcBorders>
              <w:top w:val="nil"/>
              <w:left w:val="nil"/>
              <w:bottom w:val="single" w:sz="4" w:space="0" w:color="auto"/>
              <w:right w:val="single" w:sz="4" w:space="0" w:color="auto"/>
            </w:tcBorders>
            <w:shd w:val="clear" w:color="auto" w:fill="auto"/>
            <w:noWrap/>
            <w:vAlign w:val="center"/>
            <w:hideMark/>
          </w:tcPr>
          <w:p w14:paraId="11EAAA0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0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0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0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0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0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0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0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0A"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A19"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0C"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A0D"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A0E"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A0F"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0.28</w:t>
            </w:r>
          </w:p>
        </w:tc>
        <w:tc>
          <w:tcPr>
            <w:tcW w:w="960" w:type="dxa"/>
            <w:tcBorders>
              <w:top w:val="nil"/>
              <w:left w:val="nil"/>
              <w:bottom w:val="single" w:sz="4" w:space="0" w:color="auto"/>
              <w:right w:val="single" w:sz="4" w:space="0" w:color="auto"/>
            </w:tcBorders>
            <w:shd w:val="clear" w:color="auto" w:fill="auto"/>
            <w:noWrap/>
            <w:vAlign w:val="center"/>
            <w:hideMark/>
          </w:tcPr>
          <w:p w14:paraId="11EAAA1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1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1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1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1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1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1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1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18"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A27"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1A"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A1B"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Palms West</w:t>
            </w:r>
          </w:p>
        </w:tc>
        <w:tc>
          <w:tcPr>
            <w:tcW w:w="680" w:type="dxa"/>
            <w:tcBorders>
              <w:top w:val="nil"/>
              <w:left w:val="nil"/>
              <w:bottom w:val="single" w:sz="4" w:space="0" w:color="auto"/>
              <w:right w:val="single" w:sz="4" w:space="0" w:color="auto"/>
            </w:tcBorders>
            <w:shd w:val="clear" w:color="auto" w:fill="auto"/>
            <w:noWrap/>
            <w:vAlign w:val="center"/>
            <w:hideMark/>
          </w:tcPr>
          <w:p w14:paraId="11EAAA1C"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A1D"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2.47</w:t>
            </w:r>
          </w:p>
        </w:tc>
        <w:tc>
          <w:tcPr>
            <w:tcW w:w="960" w:type="dxa"/>
            <w:tcBorders>
              <w:top w:val="nil"/>
              <w:left w:val="nil"/>
              <w:bottom w:val="single" w:sz="4" w:space="0" w:color="auto"/>
              <w:right w:val="single" w:sz="4" w:space="0" w:color="auto"/>
            </w:tcBorders>
            <w:shd w:val="clear" w:color="auto" w:fill="auto"/>
            <w:noWrap/>
            <w:vAlign w:val="center"/>
            <w:hideMark/>
          </w:tcPr>
          <w:p w14:paraId="11EAAA1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1F"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0.44</w:t>
            </w:r>
          </w:p>
        </w:tc>
        <w:tc>
          <w:tcPr>
            <w:tcW w:w="960" w:type="dxa"/>
            <w:tcBorders>
              <w:top w:val="nil"/>
              <w:left w:val="nil"/>
              <w:bottom w:val="single" w:sz="4" w:space="0" w:color="auto"/>
              <w:right w:val="single" w:sz="4" w:space="0" w:color="auto"/>
            </w:tcBorders>
            <w:shd w:val="clear" w:color="auto" w:fill="auto"/>
            <w:noWrap/>
            <w:vAlign w:val="center"/>
            <w:hideMark/>
          </w:tcPr>
          <w:p w14:paraId="11EAAA20"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0.31</w:t>
            </w:r>
          </w:p>
        </w:tc>
        <w:tc>
          <w:tcPr>
            <w:tcW w:w="960" w:type="dxa"/>
            <w:tcBorders>
              <w:top w:val="nil"/>
              <w:left w:val="nil"/>
              <w:bottom w:val="single" w:sz="4" w:space="0" w:color="auto"/>
              <w:right w:val="single" w:sz="4" w:space="0" w:color="auto"/>
            </w:tcBorders>
            <w:shd w:val="clear" w:color="auto" w:fill="auto"/>
            <w:noWrap/>
            <w:vAlign w:val="center"/>
            <w:hideMark/>
          </w:tcPr>
          <w:p w14:paraId="11EAAA2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22"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0.60</w:t>
            </w:r>
          </w:p>
        </w:tc>
        <w:tc>
          <w:tcPr>
            <w:tcW w:w="960" w:type="dxa"/>
            <w:tcBorders>
              <w:top w:val="nil"/>
              <w:left w:val="nil"/>
              <w:bottom w:val="single" w:sz="4" w:space="0" w:color="auto"/>
              <w:right w:val="single" w:sz="4" w:space="0" w:color="auto"/>
            </w:tcBorders>
            <w:shd w:val="clear" w:color="auto" w:fill="auto"/>
            <w:noWrap/>
            <w:vAlign w:val="center"/>
            <w:hideMark/>
          </w:tcPr>
          <w:p w14:paraId="11EAAA2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24"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vAlign w:val="center"/>
            <w:hideMark/>
          </w:tcPr>
          <w:p w14:paraId="11EAAA2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26"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A35"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28"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A29"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A2A"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A2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2.43</w:t>
            </w:r>
          </w:p>
        </w:tc>
        <w:tc>
          <w:tcPr>
            <w:tcW w:w="960" w:type="dxa"/>
            <w:tcBorders>
              <w:top w:val="nil"/>
              <w:left w:val="nil"/>
              <w:bottom w:val="single" w:sz="4" w:space="0" w:color="auto"/>
              <w:right w:val="single" w:sz="4" w:space="0" w:color="auto"/>
            </w:tcBorders>
            <w:shd w:val="clear" w:color="auto" w:fill="auto"/>
            <w:noWrap/>
            <w:vAlign w:val="center"/>
            <w:hideMark/>
          </w:tcPr>
          <w:p w14:paraId="11EAAA2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2D"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3.31</w:t>
            </w:r>
          </w:p>
        </w:tc>
        <w:tc>
          <w:tcPr>
            <w:tcW w:w="960" w:type="dxa"/>
            <w:tcBorders>
              <w:top w:val="nil"/>
              <w:left w:val="nil"/>
              <w:bottom w:val="single" w:sz="4" w:space="0" w:color="auto"/>
              <w:right w:val="single" w:sz="4" w:space="0" w:color="auto"/>
            </w:tcBorders>
            <w:shd w:val="clear" w:color="auto" w:fill="auto"/>
            <w:noWrap/>
            <w:vAlign w:val="center"/>
            <w:hideMark/>
          </w:tcPr>
          <w:p w14:paraId="11EAAA2E"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0.25</w:t>
            </w:r>
          </w:p>
        </w:tc>
        <w:tc>
          <w:tcPr>
            <w:tcW w:w="960" w:type="dxa"/>
            <w:tcBorders>
              <w:top w:val="nil"/>
              <w:left w:val="nil"/>
              <w:bottom w:val="single" w:sz="4" w:space="0" w:color="auto"/>
              <w:right w:val="single" w:sz="4" w:space="0" w:color="auto"/>
            </w:tcBorders>
            <w:shd w:val="clear" w:color="auto" w:fill="auto"/>
            <w:noWrap/>
            <w:vAlign w:val="center"/>
            <w:hideMark/>
          </w:tcPr>
          <w:p w14:paraId="11EAAA2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30"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0.19</w:t>
            </w:r>
          </w:p>
        </w:tc>
        <w:tc>
          <w:tcPr>
            <w:tcW w:w="960" w:type="dxa"/>
            <w:tcBorders>
              <w:top w:val="nil"/>
              <w:left w:val="nil"/>
              <w:bottom w:val="single" w:sz="4" w:space="0" w:color="auto"/>
              <w:right w:val="single" w:sz="4" w:space="0" w:color="auto"/>
            </w:tcBorders>
            <w:shd w:val="clear" w:color="auto" w:fill="auto"/>
            <w:noWrap/>
            <w:vAlign w:val="center"/>
            <w:hideMark/>
          </w:tcPr>
          <w:p w14:paraId="11EAAA3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3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3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0.19</w:t>
            </w:r>
          </w:p>
        </w:tc>
        <w:tc>
          <w:tcPr>
            <w:tcW w:w="960" w:type="dxa"/>
            <w:tcBorders>
              <w:top w:val="nil"/>
              <w:left w:val="nil"/>
              <w:bottom w:val="single" w:sz="4" w:space="0" w:color="auto"/>
              <w:right w:val="single" w:sz="4" w:space="0" w:color="auto"/>
            </w:tcBorders>
            <w:shd w:val="clear" w:color="auto" w:fill="auto"/>
            <w:noWrap/>
            <w:vAlign w:val="center"/>
            <w:hideMark/>
          </w:tcPr>
          <w:p w14:paraId="11EAAA34"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A43"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36"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A37"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Havannah</w:t>
            </w:r>
          </w:p>
        </w:tc>
        <w:tc>
          <w:tcPr>
            <w:tcW w:w="680" w:type="dxa"/>
            <w:tcBorders>
              <w:top w:val="nil"/>
              <w:left w:val="nil"/>
              <w:bottom w:val="single" w:sz="4" w:space="0" w:color="auto"/>
              <w:right w:val="single" w:sz="4" w:space="0" w:color="auto"/>
            </w:tcBorders>
            <w:shd w:val="clear" w:color="auto" w:fill="auto"/>
            <w:noWrap/>
            <w:vAlign w:val="center"/>
            <w:hideMark/>
          </w:tcPr>
          <w:p w14:paraId="11EAAA38"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A39"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0.04</w:t>
            </w:r>
          </w:p>
        </w:tc>
        <w:tc>
          <w:tcPr>
            <w:tcW w:w="960" w:type="dxa"/>
            <w:tcBorders>
              <w:top w:val="nil"/>
              <w:left w:val="nil"/>
              <w:bottom w:val="single" w:sz="4" w:space="0" w:color="auto"/>
              <w:right w:val="single" w:sz="4" w:space="0" w:color="auto"/>
            </w:tcBorders>
            <w:shd w:val="clear" w:color="auto" w:fill="auto"/>
            <w:noWrap/>
            <w:vAlign w:val="center"/>
            <w:hideMark/>
          </w:tcPr>
          <w:p w14:paraId="11EAAA3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3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1.03</w:t>
            </w:r>
          </w:p>
        </w:tc>
        <w:tc>
          <w:tcPr>
            <w:tcW w:w="960" w:type="dxa"/>
            <w:tcBorders>
              <w:top w:val="nil"/>
              <w:left w:val="nil"/>
              <w:bottom w:val="single" w:sz="4" w:space="0" w:color="auto"/>
              <w:right w:val="single" w:sz="4" w:space="0" w:color="auto"/>
            </w:tcBorders>
            <w:shd w:val="clear" w:color="auto" w:fill="auto"/>
            <w:noWrap/>
            <w:vAlign w:val="center"/>
            <w:hideMark/>
          </w:tcPr>
          <w:p w14:paraId="11EAAA3C"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vAlign w:val="center"/>
            <w:hideMark/>
          </w:tcPr>
          <w:p w14:paraId="11EAAA3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3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3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4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4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42"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r>
      <w:tr w:rsidR="006428D8" w:rsidRPr="00094C12" w14:paraId="11EAAA51"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44"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A45"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A46"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A4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0.13</w:t>
            </w:r>
          </w:p>
        </w:tc>
        <w:tc>
          <w:tcPr>
            <w:tcW w:w="960" w:type="dxa"/>
            <w:tcBorders>
              <w:top w:val="nil"/>
              <w:left w:val="nil"/>
              <w:bottom w:val="single" w:sz="4" w:space="0" w:color="auto"/>
              <w:right w:val="single" w:sz="4" w:space="0" w:color="auto"/>
            </w:tcBorders>
            <w:shd w:val="clear" w:color="auto" w:fill="auto"/>
            <w:noWrap/>
            <w:vAlign w:val="center"/>
            <w:hideMark/>
          </w:tcPr>
          <w:p w14:paraId="11EAAA4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49"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1.63</w:t>
            </w:r>
          </w:p>
        </w:tc>
        <w:tc>
          <w:tcPr>
            <w:tcW w:w="960" w:type="dxa"/>
            <w:tcBorders>
              <w:top w:val="nil"/>
              <w:left w:val="nil"/>
              <w:bottom w:val="single" w:sz="4" w:space="0" w:color="auto"/>
              <w:right w:val="single" w:sz="4" w:space="0" w:color="auto"/>
            </w:tcBorders>
            <w:shd w:val="clear" w:color="auto" w:fill="auto"/>
            <w:noWrap/>
            <w:vAlign w:val="center"/>
            <w:hideMark/>
          </w:tcPr>
          <w:p w14:paraId="11EAAA4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4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4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4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4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4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50"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A5F"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52"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tcBorders>
              <w:top w:val="nil"/>
              <w:left w:val="nil"/>
              <w:bottom w:val="single" w:sz="4" w:space="0" w:color="auto"/>
              <w:right w:val="single" w:sz="4" w:space="0" w:color="auto"/>
            </w:tcBorders>
            <w:shd w:val="clear" w:color="auto" w:fill="auto"/>
            <w:noWrap/>
            <w:vAlign w:val="center"/>
            <w:hideMark/>
          </w:tcPr>
          <w:p w14:paraId="11EAAA53"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Havannah North</w:t>
            </w:r>
          </w:p>
        </w:tc>
        <w:tc>
          <w:tcPr>
            <w:tcW w:w="680" w:type="dxa"/>
            <w:tcBorders>
              <w:top w:val="nil"/>
              <w:left w:val="nil"/>
              <w:bottom w:val="single" w:sz="4" w:space="0" w:color="auto"/>
              <w:right w:val="single" w:sz="4" w:space="0" w:color="auto"/>
            </w:tcBorders>
            <w:shd w:val="clear" w:color="auto" w:fill="auto"/>
            <w:noWrap/>
            <w:vAlign w:val="center"/>
            <w:hideMark/>
          </w:tcPr>
          <w:p w14:paraId="11EAAA54"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A5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vAlign w:val="center"/>
            <w:hideMark/>
          </w:tcPr>
          <w:p w14:paraId="11EAAA5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5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4.75</w:t>
            </w:r>
          </w:p>
        </w:tc>
        <w:tc>
          <w:tcPr>
            <w:tcW w:w="960" w:type="dxa"/>
            <w:tcBorders>
              <w:top w:val="nil"/>
              <w:left w:val="nil"/>
              <w:bottom w:val="single" w:sz="4" w:space="0" w:color="auto"/>
              <w:right w:val="single" w:sz="4" w:space="0" w:color="auto"/>
            </w:tcBorders>
            <w:shd w:val="clear" w:color="auto" w:fill="auto"/>
            <w:noWrap/>
            <w:vAlign w:val="center"/>
            <w:hideMark/>
          </w:tcPr>
          <w:p w14:paraId="11EAAA5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5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5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5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5C"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0.02</w:t>
            </w:r>
          </w:p>
        </w:tc>
        <w:tc>
          <w:tcPr>
            <w:tcW w:w="960" w:type="dxa"/>
            <w:tcBorders>
              <w:top w:val="nil"/>
              <w:left w:val="nil"/>
              <w:bottom w:val="single" w:sz="4" w:space="0" w:color="auto"/>
              <w:right w:val="single" w:sz="4" w:space="0" w:color="auto"/>
            </w:tcBorders>
            <w:shd w:val="clear" w:color="auto" w:fill="auto"/>
            <w:noWrap/>
            <w:vAlign w:val="center"/>
            <w:hideMark/>
          </w:tcPr>
          <w:p w14:paraId="11EAAA5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5E"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A6D"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60"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tcBorders>
              <w:top w:val="nil"/>
              <w:left w:val="nil"/>
              <w:bottom w:val="single" w:sz="4" w:space="0" w:color="auto"/>
              <w:right w:val="single" w:sz="4" w:space="0" w:color="auto"/>
            </w:tcBorders>
            <w:shd w:val="clear" w:color="auto" w:fill="auto"/>
            <w:noWrap/>
            <w:vAlign w:val="center"/>
            <w:hideMark/>
          </w:tcPr>
          <w:p w14:paraId="11EAAA61"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Pandora North</w:t>
            </w:r>
          </w:p>
        </w:tc>
        <w:tc>
          <w:tcPr>
            <w:tcW w:w="680" w:type="dxa"/>
            <w:tcBorders>
              <w:top w:val="nil"/>
              <w:left w:val="nil"/>
              <w:bottom w:val="single" w:sz="4" w:space="0" w:color="auto"/>
              <w:right w:val="single" w:sz="4" w:space="0" w:color="auto"/>
            </w:tcBorders>
            <w:shd w:val="clear" w:color="auto" w:fill="auto"/>
            <w:noWrap/>
            <w:vAlign w:val="center"/>
            <w:hideMark/>
          </w:tcPr>
          <w:p w14:paraId="11EAAA62"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A6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0.12</w:t>
            </w:r>
          </w:p>
        </w:tc>
        <w:tc>
          <w:tcPr>
            <w:tcW w:w="960" w:type="dxa"/>
            <w:tcBorders>
              <w:top w:val="nil"/>
              <w:left w:val="nil"/>
              <w:bottom w:val="single" w:sz="4" w:space="0" w:color="auto"/>
              <w:right w:val="single" w:sz="4" w:space="0" w:color="auto"/>
            </w:tcBorders>
            <w:shd w:val="clear" w:color="auto" w:fill="auto"/>
            <w:noWrap/>
            <w:vAlign w:val="center"/>
            <w:hideMark/>
          </w:tcPr>
          <w:p w14:paraId="11EAAA6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6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5.00</w:t>
            </w:r>
          </w:p>
        </w:tc>
        <w:tc>
          <w:tcPr>
            <w:tcW w:w="960" w:type="dxa"/>
            <w:tcBorders>
              <w:top w:val="nil"/>
              <w:left w:val="nil"/>
              <w:bottom w:val="single" w:sz="4" w:space="0" w:color="auto"/>
              <w:right w:val="single" w:sz="4" w:space="0" w:color="auto"/>
            </w:tcBorders>
            <w:shd w:val="clear" w:color="auto" w:fill="auto"/>
            <w:noWrap/>
            <w:vAlign w:val="center"/>
            <w:hideMark/>
          </w:tcPr>
          <w:p w14:paraId="11EAAA66"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1.67</w:t>
            </w:r>
          </w:p>
        </w:tc>
        <w:tc>
          <w:tcPr>
            <w:tcW w:w="960" w:type="dxa"/>
            <w:tcBorders>
              <w:top w:val="nil"/>
              <w:left w:val="nil"/>
              <w:bottom w:val="single" w:sz="4" w:space="0" w:color="auto"/>
              <w:right w:val="single" w:sz="4" w:space="0" w:color="auto"/>
            </w:tcBorders>
            <w:shd w:val="clear" w:color="auto" w:fill="auto"/>
            <w:noWrap/>
            <w:vAlign w:val="center"/>
            <w:hideMark/>
          </w:tcPr>
          <w:p w14:paraId="11EAAA6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68"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0.02</w:t>
            </w:r>
          </w:p>
        </w:tc>
        <w:tc>
          <w:tcPr>
            <w:tcW w:w="960" w:type="dxa"/>
            <w:tcBorders>
              <w:top w:val="nil"/>
              <w:left w:val="nil"/>
              <w:bottom w:val="single" w:sz="4" w:space="0" w:color="auto"/>
              <w:right w:val="single" w:sz="4" w:space="0" w:color="auto"/>
            </w:tcBorders>
            <w:shd w:val="clear" w:color="auto" w:fill="auto"/>
            <w:noWrap/>
            <w:vAlign w:val="center"/>
            <w:hideMark/>
          </w:tcPr>
          <w:p w14:paraId="11EAAA6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6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6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0.13</w:t>
            </w:r>
          </w:p>
        </w:tc>
        <w:tc>
          <w:tcPr>
            <w:tcW w:w="960" w:type="dxa"/>
            <w:tcBorders>
              <w:top w:val="nil"/>
              <w:left w:val="nil"/>
              <w:bottom w:val="single" w:sz="4" w:space="0" w:color="auto"/>
              <w:right w:val="single" w:sz="4" w:space="0" w:color="auto"/>
            </w:tcBorders>
            <w:shd w:val="clear" w:color="auto" w:fill="auto"/>
            <w:noWrap/>
            <w:vAlign w:val="center"/>
            <w:hideMark/>
          </w:tcPr>
          <w:p w14:paraId="11EAAA6C"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r>
      <w:tr w:rsidR="006428D8" w:rsidRPr="00094C12" w14:paraId="11EAAA7B"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6E"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A6F"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Pandora</w:t>
            </w:r>
          </w:p>
        </w:tc>
        <w:tc>
          <w:tcPr>
            <w:tcW w:w="680" w:type="dxa"/>
            <w:tcBorders>
              <w:top w:val="nil"/>
              <w:left w:val="nil"/>
              <w:bottom w:val="single" w:sz="4" w:space="0" w:color="auto"/>
              <w:right w:val="single" w:sz="4" w:space="0" w:color="auto"/>
            </w:tcBorders>
            <w:shd w:val="clear" w:color="auto" w:fill="auto"/>
            <w:noWrap/>
            <w:vAlign w:val="center"/>
            <w:hideMark/>
          </w:tcPr>
          <w:p w14:paraId="11EAAA70"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A71"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vAlign w:val="center"/>
            <w:hideMark/>
          </w:tcPr>
          <w:p w14:paraId="11EAAA7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7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7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7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7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7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7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7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7A"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A89"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7C"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A7D"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A7E"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A7F"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0.02</w:t>
            </w:r>
          </w:p>
        </w:tc>
        <w:tc>
          <w:tcPr>
            <w:tcW w:w="960" w:type="dxa"/>
            <w:tcBorders>
              <w:top w:val="nil"/>
              <w:left w:val="nil"/>
              <w:bottom w:val="single" w:sz="4" w:space="0" w:color="auto"/>
              <w:right w:val="single" w:sz="4" w:space="0" w:color="auto"/>
            </w:tcBorders>
            <w:shd w:val="clear" w:color="auto" w:fill="auto"/>
            <w:noWrap/>
            <w:vAlign w:val="center"/>
            <w:hideMark/>
          </w:tcPr>
          <w:p w14:paraId="11EAAA8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8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82"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0.13</w:t>
            </w:r>
          </w:p>
        </w:tc>
        <w:tc>
          <w:tcPr>
            <w:tcW w:w="960" w:type="dxa"/>
            <w:tcBorders>
              <w:top w:val="nil"/>
              <w:left w:val="nil"/>
              <w:bottom w:val="single" w:sz="4" w:space="0" w:color="auto"/>
              <w:right w:val="single" w:sz="4" w:space="0" w:color="auto"/>
            </w:tcBorders>
            <w:shd w:val="clear" w:color="auto" w:fill="auto"/>
            <w:noWrap/>
            <w:vAlign w:val="center"/>
            <w:hideMark/>
          </w:tcPr>
          <w:p w14:paraId="11EAAA8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84"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vAlign w:val="center"/>
            <w:hideMark/>
          </w:tcPr>
          <w:p w14:paraId="11EAAA8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8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8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88"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A97"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8A"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A8B"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Lady Elliot</w:t>
            </w:r>
          </w:p>
        </w:tc>
        <w:tc>
          <w:tcPr>
            <w:tcW w:w="680" w:type="dxa"/>
            <w:tcBorders>
              <w:top w:val="nil"/>
              <w:left w:val="nil"/>
              <w:bottom w:val="single" w:sz="4" w:space="0" w:color="auto"/>
              <w:right w:val="single" w:sz="4" w:space="0" w:color="auto"/>
            </w:tcBorders>
            <w:shd w:val="clear" w:color="auto" w:fill="auto"/>
            <w:noWrap/>
            <w:vAlign w:val="center"/>
            <w:hideMark/>
          </w:tcPr>
          <w:p w14:paraId="11EAAA8C"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A8D"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0.02</w:t>
            </w:r>
          </w:p>
        </w:tc>
        <w:tc>
          <w:tcPr>
            <w:tcW w:w="960" w:type="dxa"/>
            <w:tcBorders>
              <w:top w:val="nil"/>
              <w:left w:val="nil"/>
              <w:bottom w:val="single" w:sz="4" w:space="0" w:color="auto"/>
              <w:right w:val="single" w:sz="4" w:space="0" w:color="auto"/>
            </w:tcBorders>
            <w:shd w:val="clear" w:color="auto" w:fill="auto"/>
            <w:noWrap/>
            <w:vAlign w:val="center"/>
            <w:hideMark/>
          </w:tcPr>
          <w:p w14:paraId="11EAAA8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8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9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9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9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9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9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9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96"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AA5"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98"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A99"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A9A"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A9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0.10</w:t>
            </w:r>
          </w:p>
        </w:tc>
        <w:tc>
          <w:tcPr>
            <w:tcW w:w="960" w:type="dxa"/>
            <w:tcBorders>
              <w:top w:val="nil"/>
              <w:left w:val="nil"/>
              <w:bottom w:val="single" w:sz="4" w:space="0" w:color="auto"/>
              <w:right w:val="single" w:sz="4" w:space="0" w:color="auto"/>
            </w:tcBorders>
            <w:shd w:val="clear" w:color="auto" w:fill="auto"/>
            <w:noWrap/>
            <w:vAlign w:val="center"/>
            <w:hideMark/>
          </w:tcPr>
          <w:p w14:paraId="11EAAA9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9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9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9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A0"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vAlign w:val="center"/>
            <w:hideMark/>
          </w:tcPr>
          <w:p w14:paraId="11EAAAA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A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A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A4"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AB3"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A6"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AA7"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Magnetic</w:t>
            </w:r>
          </w:p>
        </w:tc>
        <w:tc>
          <w:tcPr>
            <w:tcW w:w="680" w:type="dxa"/>
            <w:tcBorders>
              <w:top w:val="nil"/>
              <w:left w:val="nil"/>
              <w:bottom w:val="single" w:sz="4" w:space="0" w:color="auto"/>
              <w:right w:val="single" w:sz="4" w:space="0" w:color="auto"/>
            </w:tcBorders>
            <w:shd w:val="clear" w:color="auto" w:fill="auto"/>
            <w:noWrap/>
            <w:vAlign w:val="center"/>
            <w:hideMark/>
          </w:tcPr>
          <w:p w14:paraId="11EAAAA8"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AA9"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c>
          <w:tcPr>
            <w:tcW w:w="960" w:type="dxa"/>
            <w:tcBorders>
              <w:top w:val="nil"/>
              <w:left w:val="nil"/>
              <w:bottom w:val="single" w:sz="4" w:space="0" w:color="auto"/>
              <w:right w:val="single" w:sz="4" w:space="0" w:color="auto"/>
            </w:tcBorders>
            <w:shd w:val="clear" w:color="auto" w:fill="auto"/>
            <w:noWrap/>
            <w:vAlign w:val="center"/>
            <w:hideMark/>
          </w:tcPr>
          <w:p w14:paraId="11EAAAA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A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c>
          <w:tcPr>
            <w:tcW w:w="960" w:type="dxa"/>
            <w:tcBorders>
              <w:top w:val="nil"/>
              <w:left w:val="nil"/>
              <w:bottom w:val="single" w:sz="4" w:space="0" w:color="auto"/>
              <w:right w:val="single" w:sz="4" w:space="0" w:color="auto"/>
            </w:tcBorders>
            <w:shd w:val="clear" w:color="auto" w:fill="auto"/>
            <w:noWrap/>
            <w:vAlign w:val="center"/>
            <w:hideMark/>
          </w:tcPr>
          <w:p w14:paraId="11EAAAA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A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A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A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B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B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B2"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AC1"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B4"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AB5"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AB6"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AB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0.24</w:t>
            </w:r>
          </w:p>
        </w:tc>
        <w:tc>
          <w:tcPr>
            <w:tcW w:w="960" w:type="dxa"/>
            <w:tcBorders>
              <w:top w:val="nil"/>
              <w:left w:val="nil"/>
              <w:bottom w:val="single" w:sz="4" w:space="0" w:color="auto"/>
              <w:right w:val="single" w:sz="4" w:space="0" w:color="auto"/>
            </w:tcBorders>
            <w:shd w:val="clear" w:color="auto" w:fill="auto"/>
            <w:noWrap/>
            <w:vAlign w:val="center"/>
            <w:hideMark/>
          </w:tcPr>
          <w:p w14:paraId="11EAAAB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B9"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0.31</w:t>
            </w:r>
          </w:p>
        </w:tc>
        <w:tc>
          <w:tcPr>
            <w:tcW w:w="960" w:type="dxa"/>
            <w:tcBorders>
              <w:top w:val="nil"/>
              <w:left w:val="nil"/>
              <w:bottom w:val="single" w:sz="4" w:space="0" w:color="auto"/>
              <w:right w:val="single" w:sz="4" w:space="0" w:color="auto"/>
            </w:tcBorders>
            <w:shd w:val="clear" w:color="auto" w:fill="auto"/>
            <w:noWrap/>
            <w:vAlign w:val="center"/>
            <w:hideMark/>
          </w:tcPr>
          <w:p w14:paraId="11EAAAB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B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B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B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B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BF"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vAlign w:val="center"/>
            <w:hideMark/>
          </w:tcPr>
          <w:p w14:paraId="11EAAAC0"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ACF"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C2"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tcBorders>
              <w:top w:val="nil"/>
              <w:left w:val="nil"/>
              <w:bottom w:val="single" w:sz="4" w:space="0" w:color="auto"/>
              <w:right w:val="single" w:sz="4" w:space="0" w:color="auto"/>
            </w:tcBorders>
            <w:shd w:val="clear" w:color="auto" w:fill="auto"/>
            <w:noWrap/>
            <w:vAlign w:val="center"/>
            <w:hideMark/>
          </w:tcPr>
          <w:p w14:paraId="11EAAAC3"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Middle R</w:t>
            </w:r>
            <w:r>
              <w:rPr>
                <w:rFonts w:ascii="Arial Narrow" w:hAnsi="Arial Narrow"/>
                <w:color w:val="000000"/>
                <w:sz w:val="20"/>
                <w:lang w:val="en-AU" w:eastAsia="en-AU"/>
              </w:rPr>
              <w:t>ee</w:t>
            </w:r>
            <w:r w:rsidRPr="00094C12">
              <w:rPr>
                <w:rFonts w:ascii="Arial Narrow" w:hAnsi="Arial Narrow"/>
                <w:color w:val="000000"/>
                <w:sz w:val="20"/>
                <w:lang w:val="en-AU" w:eastAsia="en-AU"/>
              </w:rPr>
              <w:t>f LTMP</w:t>
            </w:r>
          </w:p>
        </w:tc>
        <w:tc>
          <w:tcPr>
            <w:tcW w:w="680" w:type="dxa"/>
            <w:tcBorders>
              <w:top w:val="nil"/>
              <w:left w:val="nil"/>
              <w:bottom w:val="single" w:sz="4" w:space="0" w:color="auto"/>
              <w:right w:val="single" w:sz="4" w:space="0" w:color="auto"/>
            </w:tcBorders>
            <w:shd w:val="clear" w:color="auto" w:fill="auto"/>
            <w:noWrap/>
            <w:vAlign w:val="center"/>
            <w:hideMark/>
          </w:tcPr>
          <w:p w14:paraId="11EAAAC4"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AC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0.43</w:t>
            </w:r>
          </w:p>
        </w:tc>
        <w:tc>
          <w:tcPr>
            <w:tcW w:w="960" w:type="dxa"/>
            <w:tcBorders>
              <w:top w:val="nil"/>
              <w:left w:val="nil"/>
              <w:bottom w:val="single" w:sz="4" w:space="0" w:color="auto"/>
              <w:right w:val="single" w:sz="4" w:space="0" w:color="auto"/>
            </w:tcBorders>
            <w:shd w:val="clear" w:color="auto" w:fill="auto"/>
            <w:noWrap/>
            <w:vAlign w:val="center"/>
            <w:hideMark/>
          </w:tcPr>
          <w:p w14:paraId="11EAAAC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C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C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C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CA"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vAlign w:val="center"/>
            <w:hideMark/>
          </w:tcPr>
          <w:p w14:paraId="11EAAAC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C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CD"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1.23</w:t>
            </w:r>
          </w:p>
        </w:tc>
        <w:tc>
          <w:tcPr>
            <w:tcW w:w="960" w:type="dxa"/>
            <w:tcBorders>
              <w:top w:val="nil"/>
              <w:left w:val="nil"/>
              <w:bottom w:val="single" w:sz="4" w:space="0" w:color="auto"/>
              <w:right w:val="single" w:sz="4" w:space="0" w:color="auto"/>
            </w:tcBorders>
            <w:shd w:val="clear" w:color="auto" w:fill="auto"/>
            <w:noWrap/>
            <w:vAlign w:val="center"/>
            <w:hideMark/>
          </w:tcPr>
          <w:p w14:paraId="11EAAACE"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0.38</w:t>
            </w:r>
          </w:p>
        </w:tc>
      </w:tr>
      <w:tr w:rsidR="006428D8" w:rsidRPr="00094C12" w14:paraId="11EAAADD" w14:textId="77777777" w:rsidTr="00D170D0">
        <w:trPr>
          <w:trHeight w:hRule="exact" w:val="284"/>
        </w:trPr>
        <w:tc>
          <w:tcPr>
            <w:tcW w:w="96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AAD0"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Proserpine</w:t>
            </w:r>
          </w:p>
        </w:tc>
        <w:tc>
          <w:tcPr>
            <w:tcW w:w="1520" w:type="dxa"/>
            <w:tcBorders>
              <w:top w:val="nil"/>
              <w:left w:val="nil"/>
              <w:bottom w:val="single" w:sz="4" w:space="0" w:color="auto"/>
              <w:right w:val="single" w:sz="4" w:space="0" w:color="auto"/>
            </w:tcBorders>
            <w:shd w:val="clear" w:color="auto" w:fill="auto"/>
            <w:noWrap/>
            <w:vAlign w:val="center"/>
            <w:hideMark/>
          </w:tcPr>
          <w:p w14:paraId="11EAAAD1"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Hayman</w:t>
            </w:r>
          </w:p>
        </w:tc>
        <w:tc>
          <w:tcPr>
            <w:tcW w:w="680" w:type="dxa"/>
            <w:tcBorders>
              <w:top w:val="nil"/>
              <w:left w:val="nil"/>
              <w:bottom w:val="single" w:sz="4" w:space="0" w:color="auto"/>
              <w:right w:val="single" w:sz="4" w:space="0" w:color="auto"/>
            </w:tcBorders>
            <w:shd w:val="clear" w:color="auto" w:fill="auto"/>
            <w:noWrap/>
            <w:vAlign w:val="center"/>
            <w:hideMark/>
          </w:tcPr>
          <w:p w14:paraId="11EAAAD2"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AD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1.16</w:t>
            </w:r>
          </w:p>
        </w:tc>
        <w:tc>
          <w:tcPr>
            <w:tcW w:w="960" w:type="dxa"/>
            <w:tcBorders>
              <w:top w:val="nil"/>
              <w:left w:val="nil"/>
              <w:bottom w:val="single" w:sz="4" w:space="0" w:color="auto"/>
              <w:right w:val="single" w:sz="4" w:space="0" w:color="auto"/>
            </w:tcBorders>
            <w:shd w:val="clear" w:color="auto" w:fill="auto"/>
            <w:noWrap/>
            <w:vAlign w:val="center"/>
            <w:hideMark/>
          </w:tcPr>
          <w:p w14:paraId="11EAAAD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D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1.63</w:t>
            </w:r>
          </w:p>
        </w:tc>
        <w:tc>
          <w:tcPr>
            <w:tcW w:w="960" w:type="dxa"/>
            <w:tcBorders>
              <w:top w:val="nil"/>
              <w:left w:val="nil"/>
              <w:bottom w:val="single" w:sz="4" w:space="0" w:color="auto"/>
              <w:right w:val="single" w:sz="4" w:space="0" w:color="auto"/>
            </w:tcBorders>
            <w:shd w:val="clear" w:color="auto" w:fill="auto"/>
            <w:noWrap/>
            <w:vAlign w:val="center"/>
            <w:hideMark/>
          </w:tcPr>
          <w:p w14:paraId="11EAAAD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D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D8"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c>
          <w:tcPr>
            <w:tcW w:w="960" w:type="dxa"/>
            <w:tcBorders>
              <w:top w:val="nil"/>
              <w:left w:val="nil"/>
              <w:bottom w:val="single" w:sz="4" w:space="0" w:color="auto"/>
              <w:right w:val="single" w:sz="4" w:space="0" w:color="auto"/>
            </w:tcBorders>
            <w:shd w:val="clear" w:color="auto" w:fill="auto"/>
            <w:noWrap/>
            <w:vAlign w:val="center"/>
            <w:hideMark/>
          </w:tcPr>
          <w:p w14:paraId="11EAAAD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D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D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DC"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0.07</w:t>
            </w:r>
          </w:p>
        </w:tc>
      </w:tr>
      <w:tr w:rsidR="006428D8" w:rsidRPr="00094C12" w14:paraId="11EAAAEB"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DE"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tcBorders>
              <w:top w:val="nil"/>
              <w:left w:val="nil"/>
              <w:bottom w:val="single" w:sz="4" w:space="0" w:color="auto"/>
              <w:right w:val="single" w:sz="4" w:space="0" w:color="auto"/>
            </w:tcBorders>
            <w:shd w:val="clear" w:color="auto" w:fill="auto"/>
            <w:noWrap/>
            <w:vAlign w:val="center"/>
            <w:hideMark/>
          </w:tcPr>
          <w:p w14:paraId="11EAAADF"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Langford</w:t>
            </w:r>
          </w:p>
        </w:tc>
        <w:tc>
          <w:tcPr>
            <w:tcW w:w="680" w:type="dxa"/>
            <w:tcBorders>
              <w:top w:val="nil"/>
              <w:left w:val="nil"/>
              <w:bottom w:val="single" w:sz="4" w:space="0" w:color="auto"/>
              <w:right w:val="single" w:sz="4" w:space="0" w:color="auto"/>
            </w:tcBorders>
            <w:shd w:val="clear" w:color="auto" w:fill="auto"/>
            <w:noWrap/>
            <w:vAlign w:val="center"/>
            <w:hideMark/>
          </w:tcPr>
          <w:p w14:paraId="11EAAAE0"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AE1"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2.00</w:t>
            </w:r>
          </w:p>
        </w:tc>
        <w:tc>
          <w:tcPr>
            <w:tcW w:w="960" w:type="dxa"/>
            <w:tcBorders>
              <w:top w:val="nil"/>
              <w:left w:val="nil"/>
              <w:bottom w:val="single" w:sz="4" w:space="0" w:color="auto"/>
              <w:right w:val="single" w:sz="4" w:space="0" w:color="auto"/>
            </w:tcBorders>
            <w:shd w:val="clear" w:color="auto" w:fill="auto"/>
            <w:noWrap/>
            <w:vAlign w:val="center"/>
            <w:hideMark/>
          </w:tcPr>
          <w:p w14:paraId="11EAAAE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E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0.43</w:t>
            </w:r>
          </w:p>
        </w:tc>
        <w:tc>
          <w:tcPr>
            <w:tcW w:w="960" w:type="dxa"/>
            <w:tcBorders>
              <w:top w:val="nil"/>
              <w:left w:val="nil"/>
              <w:bottom w:val="single" w:sz="4" w:space="0" w:color="auto"/>
              <w:right w:val="single" w:sz="4" w:space="0" w:color="auto"/>
            </w:tcBorders>
            <w:shd w:val="clear" w:color="auto" w:fill="auto"/>
            <w:noWrap/>
            <w:vAlign w:val="center"/>
            <w:hideMark/>
          </w:tcPr>
          <w:p w14:paraId="11EAAAE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E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E6"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0.04</w:t>
            </w:r>
          </w:p>
        </w:tc>
        <w:tc>
          <w:tcPr>
            <w:tcW w:w="960" w:type="dxa"/>
            <w:tcBorders>
              <w:top w:val="nil"/>
              <w:left w:val="nil"/>
              <w:bottom w:val="single" w:sz="4" w:space="0" w:color="auto"/>
              <w:right w:val="single" w:sz="4" w:space="0" w:color="auto"/>
            </w:tcBorders>
            <w:shd w:val="clear" w:color="auto" w:fill="auto"/>
            <w:noWrap/>
            <w:vAlign w:val="center"/>
            <w:hideMark/>
          </w:tcPr>
          <w:p w14:paraId="11EAAAE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E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E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EA"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0.13</w:t>
            </w:r>
          </w:p>
        </w:tc>
      </w:tr>
      <w:tr w:rsidR="006428D8" w:rsidRPr="00094C12" w14:paraId="11EAAAF9"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EC"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tcBorders>
              <w:top w:val="nil"/>
              <w:left w:val="nil"/>
              <w:bottom w:val="single" w:sz="4" w:space="0" w:color="auto"/>
              <w:right w:val="single" w:sz="4" w:space="0" w:color="auto"/>
            </w:tcBorders>
            <w:shd w:val="clear" w:color="auto" w:fill="auto"/>
            <w:noWrap/>
            <w:vAlign w:val="center"/>
            <w:hideMark/>
          </w:tcPr>
          <w:p w14:paraId="11EAAAED"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Border</w:t>
            </w:r>
          </w:p>
        </w:tc>
        <w:tc>
          <w:tcPr>
            <w:tcW w:w="680" w:type="dxa"/>
            <w:tcBorders>
              <w:top w:val="nil"/>
              <w:left w:val="nil"/>
              <w:bottom w:val="single" w:sz="4" w:space="0" w:color="auto"/>
              <w:right w:val="single" w:sz="4" w:space="0" w:color="auto"/>
            </w:tcBorders>
            <w:shd w:val="clear" w:color="auto" w:fill="auto"/>
            <w:noWrap/>
            <w:vAlign w:val="center"/>
            <w:hideMark/>
          </w:tcPr>
          <w:p w14:paraId="11EAAAEE"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AEF"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2.86</w:t>
            </w:r>
          </w:p>
        </w:tc>
        <w:tc>
          <w:tcPr>
            <w:tcW w:w="960" w:type="dxa"/>
            <w:tcBorders>
              <w:top w:val="nil"/>
              <w:left w:val="nil"/>
              <w:bottom w:val="single" w:sz="4" w:space="0" w:color="auto"/>
              <w:right w:val="single" w:sz="4" w:space="0" w:color="auto"/>
            </w:tcBorders>
            <w:shd w:val="clear" w:color="auto" w:fill="auto"/>
            <w:noWrap/>
            <w:vAlign w:val="center"/>
            <w:hideMark/>
          </w:tcPr>
          <w:p w14:paraId="11EAAAF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F1"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0.30</w:t>
            </w:r>
          </w:p>
        </w:tc>
        <w:tc>
          <w:tcPr>
            <w:tcW w:w="960" w:type="dxa"/>
            <w:tcBorders>
              <w:top w:val="nil"/>
              <w:left w:val="nil"/>
              <w:bottom w:val="single" w:sz="4" w:space="0" w:color="auto"/>
              <w:right w:val="single" w:sz="4" w:space="0" w:color="auto"/>
            </w:tcBorders>
            <w:shd w:val="clear" w:color="auto" w:fill="auto"/>
            <w:noWrap/>
            <w:vAlign w:val="center"/>
            <w:hideMark/>
          </w:tcPr>
          <w:p w14:paraId="11EAAAF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F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F4"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0.02</w:t>
            </w:r>
          </w:p>
        </w:tc>
        <w:tc>
          <w:tcPr>
            <w:tcW w:w="960" w:type="dxa"/>
            <w:tcBorders>
              <w:top w:val="nil"/>
              <w:left w:val="nil"/>
              <w:bottom w:val="single" w:sz="4" w:space="0" w:color="auto"/>
              <w:right w:val="single" w:sz="4" w:space="0" w:color="auto"/>
            </w:tcBorders>
            <w:shd w:val="clear" w:color="auto" w:fill="auto"/>
            <w:noWrap/>
            <w:vAlign w:val="center"/>
            <w:hideMark/>
          </w:tcPr>
          <w:p w14:paraId="11EAAAF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F6"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vAlign w:val="center"/>
            <w:hideMark/>
          </w:tcPr>
          <w:p w14:paraId="11EAAAF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F8"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07"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AFA"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AFB"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Hook</w:t>
            </w:r>
          </w:p>
        </w:tc>
        <w:tc>
          <w:tcPr>
            <w:tcW w:w="680" w:type="dxa"/>
            <w:tcBorders>
              <w:top w:val="nil"/>
              <w:left w:val="nil"/>
              <w:bottom w:val="single" w:sz="4" w:space="0" w:color="auto"/>
              <w:right w:val="single" w:sz="4" w:space="0" w:color="auto"/>
            </w:tcBorders>
            <w:shd w:val="clear" w:color="auto" w:fill="auto"/>
            <w:noWrap/>
            <w:vAlign w:val="center"/>
            <w:hideMark/>
          </w:tcPr>
          <w:p w14:paraId="11EAAAFC"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AFD"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2.71</w:t>
            </w:r>
          </w:p>
        </w:tc>
        <w:tc>
          <w:tcPr>
            <w:tcW w:w="960" w:type="dxa"/>
            <w:tcBorders>
              <w:top w:val="nil"/>
              <w:left w:val="nil"/>
              <w:bottom w:val="single" w:sz="4" w:space="0" w:color="auto"/>
              <w:right w:val="single" w:sz="4" w:space="0" w:color="auto"/>
            </w:tcBorders>
            <w:shd w:val="clear" w:color="auto" w:fill="auto"/>
            <w:noWrap/>
            <w:vAlign w:val="center"/>
            <w:hideMark/>
          </w:tcPr>
          <w:p w14:paraId="11EAAAF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AFF"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1.44</w:t>
            </w:r>
          </w:p>
        </w:tc>
        <w:tc>
          <w:tcPr>
            <w:tcW w:w="960" w:type="dxa"/>
            <w:tcBorders>
              <w:top w:val="nil"/>
              <w:left w:val="nil"/>
              <w:bottom w:val="single" w:sz="4" w:space="0" w:color="auto"/>
              <w:right w:val="single" w:sz="4" w:space="0" w:color="auto"/>
            </w:tcBorders>
            <w:shd w:val="clear" w:color="auto" w:fill="auto"/>
            <w:noWrap/>
            <w:vAlign w:val="center"/>
            <w:hideMark/>
          </w:tcPr>
          <w:p w14:paraId="11EAAB0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0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02"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vAlign w:val="center"/>
            <w:hideMark/>
          </w:tcPr>
          <w:p w14:paraId="11EAAB0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0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0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06"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15"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08"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B09"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B0A"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B0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1.88</w:t>
            </w:r>
          </w:p>
        </w:tc>
        <w:tc>
          <w:tcPr>
            <w:tcW w:w="960" w:type="dxa"/>
            <w:tcBorders>
              <w:top w:val="nil"/>
              <w:left w:val="nil"/>
              <w:bottom w:val="single" w:sz="4" w:space="0" w:color="auto"/>
              <w:right w:val="single" w:sz="4" w:space="0" w:color="auto"/>
            </w:tcBorders>
            <w:shd w:val="clear" w:color="auto" w:fill="auto"/>
            <w:noWrap/>
            <w:vAlign w:val="center"/>
            <w:hideMark/>
          </w:tcPr>
          <w:p w14:paraId="11EAAB0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0D"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0.31</w:t>
            </w:r>
          </w:p>
        </w:tc>
        <w:tc>
          <w:tcPr>
            <w:tcW w:w="960" w:type="dxa"/>
            <w:tcBorders>
              <w:top w:val="nil"/>
              <w:left w:val="nil"/>
              <w:bottom w:val="single" w:sz="4" w:space="0" w:color="auto"/>
              <w:right w:val="single" w:sz="4" w:space="0" w:color="auto"/>
            </w:tcBorders>
            <w:shd w:val="clear" w:color="auto" w:fill="auto"/>
            <w:noWrap/>
            <w:vAlign w:val="center"/>
            <w:hideMark/>
          </w:tcPr>
          <w:p w14:paraId="11EAAB0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0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10"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vAlign w:val="center"/>
            <w:hideMark/>
          </w:tcPr>
          <w:p w14:paraId="11EAAB1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1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1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0.13</w:t>
            </w:r>
          </w:p>
        </w:tc>
        <w:tc>
          <w:tcPr>
            <w:tcW w:w="960" w:type="dxa"/>
            <w:tcBorders>
              <w:top w:val="nil"/>
              <w:left w:val="nil"/>
              <w:bottom w:val="single" w:sz="4" w:space="0" w:color="auto"/>
              <w:right w:val="single" w:sz="4" w:space="0" w:color="auto"/>
            </w:tcBorders>
            <w:shd w:val="clear" w:color="auto" w:fill="auto"/>
            <w:noWrap/>
            <w:vAlign w:val="center"/>
            <w:hideMark/>
          </w:tcPr>
          <w:p w14:paraId="11EAAB14"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23"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16"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B17"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Double Cone</w:t>
            </w:r>
          </w:p>
        </w:tc>
        <w:tc>
          <w:tcPr>
            <w:tcW w:w="680" w:type="dxa"/>
            <w:tcBorders>
              <w:top w:val="nil"/>
              <w:left w:val="nil"/>
              <w:bottom w:val="single" w:sz="4" w:space="0" w:color="auto"/>
              <w:right w:val="single" w:sz="4" w:space="0" w:color="auto"/>
            </w:tcBorders>
            <w:shd w:val="clear" w:color="auto" w:fill="auto"/>
            <w:noWrap/>
            <w:vAlign w:val="center"/>
            <w:hideMark/>
          </w:tcPr>
          <w:p w14:paraId="11EAAB18"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B19"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0.90</w:t>
            </w:r>
          </w:p>
        </w:tc>
        <w:tc>
          <w:tcPr>
            <w:tcW w:w="960" w:type="dxa"/>
            <w:tcBorders>
              <w:top w:val="nil"/>
              <w:left w:val="nil"/>
              <w:bottom w:val="single" w:sz="4" w:space="0" w:color="auto"/>
              <w:right w:val="single" w:sz="4" w:space="0" w:color="auto"/>
            </w:tcBorders>
            <w:shd w:val="clear" w:color="auto" w:fill="auto"/>
            <w:noWrap/>
            <w:vAlign w:val="center"/>
            <w:hideMark/>
          </w:tcPr>
          <w:p w14:paraId="11EAAB1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1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2.06</w:t>
            </w:r>
          </w:p>
        </w:tc>
        <w:tc>
          <w:tcPr>
            <w:tcW w:w="960" w:type="dxa"/>
            <w:tcBorders>
              <w:top w:val="nil"/>
              <w:left w:val="nil"/>
              <w:bottom w:val="single" w:sz="4" w:space="0" w:color="auto"/>
              <w:right w:val="single" w:sz="4" w:space="0" w:color="auto"/>
            </w:tcBorders>
            <w:shd w:val="clear" w:color="auto" w:fill="auto"/>
            <w:noWrap/>
            <w:vAlign w:val="center"/>
            <w:hideMark/>
          </w:tcPr>
          <w:p w14:paraId="11EAAB1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1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1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1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2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2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22"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31"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24"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B25"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B26"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B2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0.52</w:t>
            </w:r>
          </w:p>
        </w:tc>
        <w:tc>
          <w:tcPr>
            <w:tcW w:w="960" w:type="dxa"/>
            <w:tcBorders>
              <w:top w:val="nil"/>
              <w:left w:val="nil"/>
              <w:bottom w:val="single" w:sz="4" w:space="0" w:color="auto"/>
              <w:right w:val="single" w:sz="4" w:space="0" w:color="auto"/>
            </w:tcBorders>
            <w:shd w:val="clear" w:color="auto" w:fill="auto"/>
            <w:noWrap/>
            <w:vAlign w:val="center"/>
            <w:hideMark/>
          </w:tcPr>
          <w:p w14:paraId="11EAAB2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29"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1.06</w:t>
            </w:r>
          </w:p>
        </w:tc>
        <w:tc>
          <w:tcPr>
            <w:tcW w:w="960" w:type="dxa"/>
            <w:tcBorders>
              <w:top w:val="nil"/>
              <w:left w:val="nil"/>
              <w:bottom w:val="single" w:sz="4" w:space="0" w:color="auto"/>
              <w:right w:val="single" w:sz="4" w:space="0" w:color="auto"/>
            </w:tcBorders>
            <w:shd w:val="clear" w:color="auto" w:fill="auto"/>
            <w:noWrap/>
            <w:vAlign w:val="center"/>
            <w:hideMark/>
          </w:tcPr>
          <w:p w14:paraId="11EAAB2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2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2C"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vAlign w:val="center"/>
            <w:hideMark/>
          </w:tcPr>
          <w:p w14:paraId="11EAAB2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2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2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30"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3F"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32"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B33"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Daydream</w:t>
            </w:r>
          </w:p>
        </w:tc>
        <w:tc>
          <w:tcPr>
            <w:tcW w:w="680" w:type="dxa"/>
            <w:tcBorders>
              <w:top w:val="nil"/>
              <w:left w:val="nil"/>
              <w:bottom w:val="single" w:sz="4" w:space="0" w:color="auto"/>
              <w:right w:val="single" w:sz="4" w:space="0" w:color="auto"/>
            </w:tcBorders>
            <w:shd w:val="clear" w:color="auto" w:fill="auto"/>
            <w:noWrap/>
            <w:vAlign w:val="center"/>
            <w:hideMark/>
          </w:tcPr>
          <w:p w14:paraId="11EAAB34"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B3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1.37</w:t>
            </w:r>
          </w:p>
        </w:tc>
        <w:tc>
          <w:tcPr>
            <w:tcW w:w="960" w:type="dxa"/>
            <w:tcBorders>
              <w:top w:val="nil"/>
              <w:left w:val="nil"/>
              <w:bottom w:val="single" w:sz="4" w:space="0" w:color="auto"/>
              <w:right w:val="single" w:sz="4" w:space="0" w:color="auto"/>
            </w:tcBorders>
            <w:shd w:val="clear" w:color="auto" w:fill="auto"/>
            <w:noWrap/>
            <w:vAlign w:val="center"/>
            <w:hideMark/>
          </w:tcPr>
          <w:p w14:paraId="11EAAB3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3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3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3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3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3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3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3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3E"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4D"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40"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B41"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B42"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B4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0.42</w:t>
            </w:r>
          </w:p>
        </w:tc>
        <w:tc>
          <w:tcPr>
            <w:tcW w:w="960" w:type="dxa"/>
            <w:tcBorders>
              <w:top w:val="nil"/>
              <w:left w:val="nil"/>
              <w:bottom w:val="single" w:sz="4" w:space="0" w:color="auto"/>
              <w:right w:val="single" w:sz="4" w:space="0" w:color="auto"/>
            </w:tcBorders>
            <w:shd w:val="clear" w:color="auto" w:fill="auto"/>
            <w:noWrap/>
            <w:vAlign w:val="center"/>
            <w:hideMark/>
          </w:tcPr>
          <w:p w14:paraId="11EAAB4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4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4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4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4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4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4A"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0.02</w:t>
            </w:r>
          </w:p>
        </w:tc>
        <w:tc>
          <w:tcPr>
            <w:tcW w:w="960" w:type="dxa"/>
            <w:tcBorders>
              <w:top w:val="nil"/>
              <w:left w:val="nil"/>
              <w:bottom w:val="single" w:sz="4" w:space="0" w:color="auto"/>
              <w:right w:val="single" w:sz="4" w:space="0" w:color="auto"/>
            </w:tcBorders>
            <w:shd w:val="clear" w:color="auto" w:fill="auto"/>
            <w:noWrap/>
            <w:vAlign w:val="center"/>
            <w:hideMark/>
          </w:tcPr>
          <w:p w14:paraId="11EAAB4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4C"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5B"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4E"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B4F"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Dent</w:t>
            </w:r>
          </w:p>
        </w:tc>
        <w:tc>
          <w:tcPr>
            <w:tcW w:w="680" w:type="dxa"/>
            <w:tcBorders>
              <w:top w:val="nil"/>
              <w:left w:val="nil"/>
              <w:bottom w:val="single" w:sz="4" w:space="0" w:color="auto"/>
              <w:right w:val="single" w:sz="4" w:space="0" w:color="auto"/>
            </w:tcBorders>
            <w:shd w:val="clear" w:color="auto" w:fill="auto"/>
            <w:noWrap/>
            <w:vAlign w:val="center"/>
            <w:hideMark/>
          </w:tcPr>
          <w:p w14:paraId="11EAAB50"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B51"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0.67</w:t>
            </w:r>
          </w:p>
        </w:tc>
        <w:tc>
          <w:tcPr>
            <w:tcW w:w="960" w:type="dxa"/>
            <w:tcBorders>
              <w:top w:val="nil"/>
              <w:left w:val="nil"/>
              <w:bottom w:val="single" w:sz="4" w:space="0" w:color="auto"/>
              <w:right w:val="single" w:sz="4" w:space="0" w:color="auto"/>
            </w:tcBorders>
            <w:shd w:val="clear" w:color="auto" w:fill="auto"/>
            <w:noWrap/>
            <w:vAlign w:val="center"/>
            <w:hideMark/>
          </w:tcPr>
          <w:p w14:paraId="11EAAB5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5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2.82</w:t>
            </w:r>
          </w:p>
        </w:tc>
        <w:tc>
          <w:tcPr>
            <w:tcW w:w="960" w:type="dxa"/>
            <w:tcBorders>
              <w:top w:val="nil"/>
              <w:left w:val="nil"/>
              <w:bottom w:val="single" w:sz="4" w:space="0" w:color="auto"/>
              <w:right w:val="single" w:sz="4" w:space="0" w:color="auto"/>
            </w:tcBorders>
            <w:shd w:val="clear" w:color="auto" w:fill="auto"/>
            <w:noWrap/>
            <w:vAlign w:val="center"/>
            <w:hideMark/>
          </w:tcPr>
          <w:p w14:paraId="11EAAB5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5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5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5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5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5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5A"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69"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5C"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B5D"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B5E"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B5F"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0.24</w:t>
            </w:r>
          </w:p>
        </w:tc>
        <w:tc>
          <w:tcPr>
            <w:tcW w:w="960" w:type="dxa"/>
            <w:tcBorders>
              <w:top w:val="nil"/>
              <w:left w:val="nil"/>
              <w:bottom w:val="single" w:sz="4" w:space="0" w:color="auto"/>
              <w:right w:val="single" w:sz="4" w:space="0" w:color="auto"/>
            </w:tcBorders>
            <w:shd w:val="clear" w:color="auto" w:fill="auto"/>
            <w:noWrap/>
            <w:vAlign w:val="center"/>
            <w:hideMark/>
          </w:tcPr>
          <w:p w14:paraId="11EAAB6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61"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0.25</w:t>
            </w:r>
          </w:p>
        </w:tc>
        <w:tc>
          <w:tcPr>
            <w:tcW w:w="960" w:type="dxa"/>
            <w:tcBorders>
              <w:top w:val="nil"/>
              <w:left w:val="nil"/>
              <w:bottom w:val="single" w:sz="4" w:space="0" w:color="auto"/>
              <w:right w:val="single" w:sz="4" w:space="0" w:color="auto"/>
            </w:tcBorders>
            <w:shd w:val="clear" w:color="auto" w:fill="auto"/>
            <w:noWrap/>
            <w:vAlign w:val="center"/>
            <w:hideMark/>
          </w:tcPr>
          <w:p w14:paraId="11EAAB6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6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64"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vAlign w:val="center"/>
            <w:hideMark/>
          </w:tcPr>
          <w:p w14:paraId="11EAAB6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6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6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68"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77"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6A"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B6B"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Shute Harbour</w:t>
            </w:r>
          </w:p>
        </w:tc>
        <w:tc>
          <w:tcPr>
            <w:tcW w:w="680" w:type="dxa"/>
            <w:tcBorders>
              <w:top w:val="nil"/>
              <w:left w:val="nil"/>
              <w:bottom w:val="single" w:sz="4" w:space="0" w:color="auto"/>
              <w:right w:val="single" w:sz="4" w:space="0" w:color="auto"/>
            </w:tcBorders>
            <w:shd w:val="clear" w:color="auto" w:fill="auto"/>
            <w:noWrap/>
            <w:vAlign w:val="center"/>
            <w:hideMark/>
          </w:tcPr>
          <w:p w14:paraId="11EAAB6C"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B6D"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1.91</w:t>
            </w:r>
          </w:p>
        </w:tc>
        <w:tc>
          <w:tcPr>
            <w:tcW w:w="960" w:type="dxa"/>
            <w:tcBorders>
              <w:top w:val="nil"/>
              <w:left w:val="nil"/>
              <w:bottom w:val="single" w:sz="4" w:space="0" w:color="auto"/>
              <w:right w:val="single" w:sz="4" w:space="0" w:color="auto"/>
            </w:tcBorders>
            <w:shd w:val="clear" w:color="auto" w:fill="auto"/>
            <w:noWrap/>
            <w:vAlign w:val="center"/>
            <w:hideMark/>
          </w:tcPr>
          <w:p w14:paraId="11EAAB6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6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7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7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72"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0.04</w:t>
            </w:r>
          </w:p>
        </w:tc>
        <w:tc>
          <w:tcPr>
            <w:tcW w:w="960" w:type="dxa"/>
            <w:tcBorders>
              <w:top w:val="nil"/>
              <w:left w:val="nil"/>
              <w:bottom w:val="single" w:sz="4" w:space="0" w:color="auto"/>
              <w:right w:val="single" w:sz="4" w:space="0" w:color="auto"/>
            </w:tcBorders>
            <w:shd w:val="clear" w:color="auto" w:fill="auto"/>
            <w:noWrap/>
            <w:vAlign w:val="center"/>
            <w:hideMark/>
          </w:tcPr>
          <w:p w14:paraId="11EAAB7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7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7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76"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85"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78"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B79"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B7A"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B7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0.93</w:t>
            </w:r>
          </w:p>
        </w:tc>
        <w:tc>
          <w:tcPr>
            <w:tcW w:w="960" w:type="dxa"/>
            <w:tcBorders>
              <w:top w:val="nil"/>
              <w:left w:val="nil"/>
              <w:bottom w:val="single" w:sz="4" w:space="0" w:color="auto"/>
              <w:right w:val="single" w:sz="4" w:space="0" w:color="auto"/>
            </w:tcBorders>
            <w:shd w:val="clear" w:color="auto" w:fill="auto"/>
            <w:noWrap/>
            <w:vAlign w:val="center"/>
            <w:hideMark/>
          </w:tcPr>
          <w:p w14:paraId="11EAAB7C"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vAlign w:val="center"/>
            <w:hideMark/>
          </w:tcPr>
          <w:p w14:paraId="11EAAB7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7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7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80"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0.05</w:t>
            </w:r>
          </w:p>
        </w:tc>
        <w:tc>
          <w:tcPr>
            <w:tcW w:w="960" w:type="dxa"/>
            <w:tcBorders>
              <w:top w:val="nil"/>
              <w:left w:val="nil"/>
              <w:bottom w:val="single" w:sz="4" w:space="0" w:color="auto"/>
              <w:right w:val="single" w:sz="4" w:space="0" w:color="auto"/>
            </w:tcBorders>
            <w:shd w:val="clear" w:color="auto" w:fill="auto"/>
            <w:noWrap/>
            <w:vAlign w:val="center"/>
            <w:hideMark/>
          </w:tcPr>
          <w:p w14:paraId="11EAAB8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8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8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84"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93"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86"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B87"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Pine</w:t>
            </w:r>
          </w:p>
        </w:tc>
        <w:tc>
          <w:tcPr>
            <w:tcW w:w="680" w:type="dxa"/>
            <w:tcBorders>
              <w:top w:val="nil"/>
              <w:left w:val="nil"/>
              <w:bottom w:val="single" w:sz="4" w:space="0" w:color="auto"/>
              <w:right w:val="single" w:sz="4" w:space="0" w:color="auto"/>
            </w:tcBorders>
            <w:shd w:val="clear" w:color="auto" w:fill="auto"/>
            <w:noWrap/>
            <w:vAlign w:val="center"/>
            <w:hideMark/>
          </w:tcPr>
          <w:p w14:paraId="11EAAB88"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B89"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0.13</w:t>
            </w:r>
          </w:p>
        </w:tc>
        <w:tc>
          <w:tcPr>
            <w:tcW w:w="960" w:type="dxa"/>
            <w:tcBorders>
              <w:top w:val="nil"/>
              <w:left w:val="nil"/>
              <w:bottom w:val="single" w:sz="4" w:space="0" w:color="auto"/>
              <w:right w:val="single" w:sz="4" w:space="0" w:color="auto"/>
            </w:tcBorders>
            <w:shd w:val="clear" w:color="auto" w:fill="auto"/>
            <w:noWrap/>
            <w:vAlign w:val="center"/>
            <w:hideMark/>
          </w:tcPr>
          <w:p w14:paraId="11EAAB8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8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0.94</w:t>
            </w:r>
          </w:p>
        </w:tc>
        <w:tc>
          <w:tcPr>
            <w:tcW w:w="960" w:type="dxa"/>
            <w:tcBorders>
              <w:top w:val="nil"/>
              <w:left w:val="nil"/>
              <w:bottom w:val="single" w:sz="4" w:space="0" w:color="auto"/>
              <w:right w:val="single" w:sz="4" w:space="0" w:color="auto"/>
            </w:tcBorders>
            <w:shd w:val="clear" w:color="auto" w:fill="auto"/>
            <w:noWrap/>
            <w:vAlign w:val="center"/>
            <w:hideMark/>
          </w:tcPr>
          <w:p w14:paraId="11EAAB8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8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8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8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9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9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92"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A1"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94"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B95"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B96"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B9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0.31</w:t>
            </w:r>
          </w:p>
        </w:tc>
        <w:tc>
          <w:tcPr>
            <w:tcW w:w="960" w:type="dxa"/>
            <w:tcBorders>
              <w:top w:val="nil"/>
              <w:left w:val="nil"/>
              <w:bottom w:val="single" w:sz="4" w:space="0" w:color="auto"/>
              <w:right w:val="single" w:sz="4" w:space="0" w:color="auto"/>
            </w:tcBorders>
            <w:shd w:val="clear" w:color="auto" w:fill="auto"/>
            <w:noWrap/>
            <w:vAlign w:val="center"/>
            <w:hideMark/>
          </w:tcPr>
          <w:p w14:paraId="11EAAB9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99"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0.50</w:t>
            </w:r>
          </w:p>
        </w:tc>
        <w:tc>
          <w:tcPr>
            <w:tcW w:w="960" w:type="dxa"/>
            <w:tcBorders>
              <w:top w:val="nil"/>
              <w:left w:val="nil"/>
              <w:bottom w:val="single" w:sz="4" w:space="0" w:color="auto"/>
              <w:right w:val="single" w:sz="4" w:space="0" w:color="auto"/>
            </w:tcBorders>
            <w:shd w:val="clear" w:color="auto" w:fill="auto"/>
            <w:noWrap/>
            <w:vAlign w:val="center"/>
            <w:hideMark/>
          </w:tcPr>
          <w:p w14:paraId="11EAAB9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9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9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9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9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9F"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c>
          <w:tcPr>
            <w:tcW w:w="960" w:type="dxa"/>
            <w:tcBorders>
              <w:top w:val="nil"/>
              <w:left w:val="nil"/>
              <w:bottom w:val="single" w:sz="4" w:space="0" w:color="auto"/>
              <w:right w:val="single" w:sz="4" w:space="0" w:color="auto"/>
            </w:tcBorders>
            <w:shd w:val="clear" w:color="auto" w:fill="auto"/>
            <w:noWrap/>
            <w:vAlign w:val="center"/>
            <w:hideMark/>
          </w:tcPr>
          <w:p w14:paraId="11EAABA0"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AF"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A2"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BA3"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Seaforth</w:t>
            </w:r>
          </w:p>
        </w:tc>
        <w:tc>
          <w:tcPr>
            <w:tcW w:w="680" w:type="dxa"/>
            <w:tcBorders>
              <w:top w:val="nil"/>
              <w:left w:val="nil"/>
              <w:bottom w:val="single" w:sz="4" w:space="0" w:color="auto"/>
              <w:right w:val="single" w:sz="4" w:space="0" w:color="auto"/>
            </w:tcBorders>
            <w:shd w:val="clear" w:color="auto" w:fill="auto"/>
            <w:noWrap/>
            <w:vAlign w:val="center"/>
            <w:hideMark/>
          </w:tcPr>
          <w:p w14:paraId="11EAABA4"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BA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0.68</w:t>
            </w:r>
          </w:p>
        </w:tc>
        <w:tc>
          <w:tcPr>
            <w:tcW w:w="960" w:type="dxa"/>
            <w:tcBorders>
              <w:top w:val="nil"/>
              <w:left w:val="nil"/>
              <w:bottom w:val="single" w:sz="4" w:space="0" w:color="auto"/>
              <w:right w:val="single" w:sz="4" w:space="0" w:color="auto"/>
            </w:tcBorders>
            <w:shd w:val="clear" w:color="auto" w:fill="auto"/>
            <w:noWrap/>
            <w:vAlign w:val="center"/>
            <w:hideMark/>
          </w:tcPr>
          <w:p w14:paraId="11EAABA6"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c>
          <w:tcPr>
            <w:tcW w:w="960" w:type="dxa"/>
            <w:tcBorders>
              <w:top w:val="nil"/>
              <w:left w:val="nil"/>
              <w:bottom w:val="single" w:sz="4" w:space="0" w:color="auto"/>
              <w:right w:val="single" w:sz="4" w:space="0" w:color="auto"/>
            </w:tcBorders>
            <w:shd w:val="clear" w:color="auto" w:fill="auto"/>
            <w:noWrap/>
            <w:vAlign w:val="center"/>
            <w:hideMark/>
          </w:tcPr>
          <w:p w14:paraId="11EAABA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1.25</w:t>
            </w:r>
          </w:p>
        </w:tc>
        <w:tc>
          <w:tcPr>
            <w:tcW w:w="960" w:type="dxa"/>
            <w:tcBorders>
              <w:top w:val="nil"/>
              <w:left w:val="nil"/>
              <w:bottom w:val="single" w:sz="4" w:space="0" w:color="auto"/>
              <w:right w:val="single" w:sz="4" w:space="0" w:color="auto"/>
            </w:tcBorders>
            <w:shd w:val="clear" w:color="auto" w:fill="auto"/>
            <w:noWrap/>
            <w:vAlign w:val="center"/>
            <w:hideMark/>
          </w:tcPr>
          <w:p w14:paraId="11EAABA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A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A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A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A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A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AE"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BD"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B0"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BB1"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BB2"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BB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0.10</w:t>
            </w:r>
          </w:p>
        </w:tc>
        <w:tc>
          <w:tcPr>
            <w:tcW w:w="960" w:type="dxa"/>
            <w:tcBorders>
              <w:top w:val="nil"/>
              <w:left w:val="nil"/>
              <w:bottom w:val="single" w:sz="4" w:space="0" w:color="auto"/>
              <w:right w:val="single" w:sz="4" w:space="0" w:color="auto"/>
            </w:tcBorders>
            <w:shd w:val="clear" w:color="auto" w:fill="auto"/>
            <w:noWrap/>
            <w:vAlign w:val="center"/>
            <w:hideMark/>
          </w:tcPr>
          <w:p w14:paraId="11EAABB4"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1.34</w:t>
            </w:r>
          </w:p>
        </w:tc>
        <w:tc>
          <w:tcPr>
            <w:tcW w:w="960" w:type="dxa"/>
            <w:tcBorders>
              <w:top w:val="nil"/>
              <w:left w:val="nil"/>
              <w:bottom w:val="single" w:sz="4" w:space="0" w:color="auto"/>
              <w:right w:val="single" w:sz="4" w:space="0" w:color="auto"/>
            </w:tcBorders>
            <w:shd w:val="clear" w:color="auto" w:fill="auto"/>
            <w:noWrap/>
            <w:vAlign w:val="center"/>
            <w:hideMark/>
          </w:tcPr>
          <w:p w14:paraId="11EAABB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0.19</w:t>
            </w:r>
          </w:p>
        </w:tc>
        <w:tc>
          <w:tcPr>
            <w:tcW w:w="960" w:type="dxa"/>
            <w:tcBorders>
              <w:top w:val="nil"/>
              <w:left w:val="nil"/>
              <w:bottom w:val="single" w:sz="4" w:space="0" w:color="auto"/>
              <w:right w:val="single" w:sz="4" w:space="0" w:color="auto"/>
            </w:tcBorders>
            <w:shd w:val="clear" w:color="auto" w:fill="auto"/>
            <w:noWrap/>
            <w:vAlign w:val="center"/>
            <w:hideMark/>
          </w:tcPr>
          <w:p w14:paraId="11EAABB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B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B8"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vAlign w:val="center"/>
            <w:hideMark/>
          </w:tcPr>
          <w:p w14:paraId="11EAABB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B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B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BC"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CB" w14:textId="77777777" w:rsidTr="00D170D0">
        <w:trPr>
          <w:trHeight w:hRule="exact" w:val="284"/>
        </w:trPr>
        <w:tc>
          <w:tcPr>
            <w:tcW w:w="96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ABBE"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Fitzroy</w:t>
            </w: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BBF"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Barren</w:t>
            </w:r>
          </w:p>
        </w:tc>
        <w:tc>
          <w:tcPr>
            <w:tcW w:w="680" w:type="dxa"/>
            <w:tcBorders>
              <w:top w:val="nil"/>
              <w:left w:val="nil"/>
              <w:bottom w:val="single" w:sz="4" w:space="0" w:color="auto"/>
              <w:right w:val="single" w:sz="4" w:space="0" w:color="auto"/>
            </w:tcBorders>
            <w:shd w:val="clear" w:color="auto" w:fill="auto"/>
            <w:noWrap/>
            <w:vAlign w:val="center"/>
            <w:hideMark/>
          </w:tcPr>
          <w:p w14:paraId="11EAABC0"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BC1"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vAlign w:val="center"/>
            <w:hideMark/>
          </w:tcPr>
          <w:p w14:paraId="11EAABC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C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C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C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C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C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C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C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CA"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D9"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CC"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BCD"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BCE"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BC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D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D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D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D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D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D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D6"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0.23</w:t>
            </w:r>
          </w:p>
        </w:tc>
        <w:tc>
          <w:tcPr>
            <w:tcW w:w="960" w:type="dxa"/>
            <w:tcBorders>
              <w:top w:val="nil"/>
              <w:left w:val="nil"/>
              <w:bottom w:val="single" w:sz="4" w:space="0" w:color="auto"/>
              <w:right w:val="single" w:sz="4" w:space="0" w:color="auto"/>
            </w:tcBorders>
            <w:shd w:val="clear" w:color="auto" w:fill="auto"/>
            <w:noWrap/>
            <w:vAlign w:val="center"/>
            <w:hideMark/>
          </w:tcPr>
          <w:p w14:paraId="11EAABD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D8"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E7"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DA"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BDB"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North Keppel</w:t>
            </w:r>
          </w:p>
        </w:tc>
        <w:tc>
          <w:tcPr>
            <w:tcW w:w="680" w:type="dxa"/>
            <w:tcBorders>
              <w:top w:val="nil"/>
              <w:left w:val="nil"/>
              <w:bottom w:val="single" w:sz="4" w:space="0" w:color="auto"/>
              <w:right w:val="single" w:sz="4" w:space="0" w:color="auto"/>
            </w:tcBorders>
            <w:shd w:val="clear" w:color="auto" w:fill="auto"/>
            <w:noWrap/>
            <w:vAlign w:val="center"/>
            <w:hideMark/>
          </w:tcPr>
          <w:p w14:paraId="11EAABDC"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BD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D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D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E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E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E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E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E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E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E6"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BF5"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E8"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BE9"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BEA"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BE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vAlign w:val="center"/>
            <w:hideMark/>
          </w:tcPr>
          <w:p w14:paraId="11EAABE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E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E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E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F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F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F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F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F4"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C03"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BF6"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BF7"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Middle</w:t>
            </w:r>
          </w:p>
        </w:tc>
        <w:tc>
          <w:tcPr>
            <w:tcW w:w="680" w:type="dxa"/>
            <w:tcBorders>
              <w:top w:val="nil"/>
              <w:left w:val="nil"/>
              <w:bottom w:val="single" w:sz="4" w:space="0" w:color="auto"/>
              <w:right w:val="single" w:sz="4" w:space="0" w:color="auto"/>
            </w:tcBorders>
            <w:shd w:val="clear" w:color="auto" w:fill="auto"/>
            <w:noWrap/>
            <w:vAlign w:val="center"/>
            <w:hideMark/>
          </w:tcPr>
          <w:p w14:paraId="11EAABF8"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BF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F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F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F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F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F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BF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0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0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02"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C11"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C04"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C05"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C06"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C0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c>
          <w:tcPr>
            <w:tcW w:w="960" w:type="dxa"/>
            <w:tcBorders>
              <w:top w:val="nil"/>
              <w:left w:val="nil"/>
              <w:bottom w:val="single" w:sz="4" w:space="0" w:color="auto"/>
              <w:right w:val="single" w:sz="4" w:space="0" w:color="auto"/>
            </w:tcBorders>
            <w:shd w:val="clear" w:color="auto" w:fill="auto"/>
            <w:noWrap/>
            <w:vAlign w:val="center"/>
            <w:hideMark/>
          </w:tcPr>
          <w:p w14:paraId="11EAAC0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0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0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0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0C"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0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0E"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0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10"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C1F"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C12"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C13"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Keppels South</w:t>
            </w:r>
          </w:p>
        </w:tc>
        <w:tc>
          <w:tcPr>
            <w:tcW w:w="680" w:type="dxa"/>
            <w:tcBorders>
              <w:top w:val="nil"/>
              <w:left w:val="nil"/>
              <w:bottom w:val="single" w:sz="4" w:space="0" w:color="auto"/>
              <w:right w:val="single" w:sz="4" w:space="0" w:color="auto"/>
            </w:tcBorders>
            <w:shd w:val="clear" w:color="auto" w:fill="auto"/>
            <w:noWrap/>
            <w:vAlign w:val="center"/>
            <w:hideMark/>
          </w:tcPr>
          <w:p w14:paraId="11EAAC14"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C1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1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1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1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1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1A"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1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1C"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0.05</w:t>
            </w:r>
          </w:p>
        </w:tc>
        <w:tc>
          <w:tcPr>
            <w:tcW w:w="960" w:type="dxa"/>
            <w:tcBorders>
              <w:top w:val="nil"/>
              <w:left w:val="nil"/>
              <w:bottom w:val="single" w:sz="4" w:space="0" w:color="auto"/>
              <w:right w:val="single" w:sz="4" w:space="0" w:color="auto"/>
            </w:tcBorders>
            <w:shd w:val="clear" w:color="auto" w:fill="auto"/>
            <w:noWrap/>
            <w:vAlign w:val="center"/>
            <w:hideMark/>
          </w:tcPr>
          <w:p w14:paraId="11EAAC1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1E"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C2D"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C20"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C21"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C22"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C2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0.02</w:t>
            </w:r>
          </w:p>
        </w:tc>
        <w:tc>
          <w:tcPr>
            <w:tcW w:w="960" w:type="dxa"/>
            <w:tcBorders>
              <w:top w:val="nil"/>
              <w:left w:val="nil"/>
              <w:bottom w:val="single" w:sz="4" w:space="0" w:color="auto"/>
              <w:right w:val="single" w:sz="4" w:space="0" w:color="auto"/>
            </w:tcBorders>
            <w:shd w:val="clear" w:color="auto" w:fill="auto"/>
            <w:noWrap/>
            <w:vAlign w:val="center"/>
            <w:hideMark/>
          </w:tcPr>
          <w:p w14:paraId="11EAAC2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2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2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2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2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2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2A"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0.05</w:t>
            </w:r>
          </w:p>
        </w:tc>
        <w:tc>
          <w:tcPr>
            <w:tcW w:w="960" w:type="dxa"/>
            <w:tcBorders>
              <w:top w:val="nil"/>
              <w:left w:val="nil"/>
              <w:bottom w:val="single" w:sz="4" w:space="0" w:color="auto"/>
              <w:right w:val="single" w:sz="4" w:space="0" w:color="auto"/>
            </w:tcBorders>
            <w:shd w:val="clear" w:color="auto" w:fill="auto"/>
            <w:noWrap/>
            <w:vAlign w:val="center"/>
            <w:hideMark/>
          </w:tcPr>
          <w:p w14:paraId="11EAAC2B"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2C"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C3B"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C2E"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C2F"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Pelican</w:t>
            </w:r>
          </w:p>
        </w:tc>
        <w:tc>
          <w:tcPr>
            <w:tcW w:w="680" w:type="dxa"/>
            <w:tcBorders>
              <w:top w:val="nil"/>
              <w:left w:val="nil"/>
              <w:bottom w:val="single" w:sz="4" w:space="0" w:color="auto"/>
              <w:right w:val="single" w:sz="4" w:space="0" w:color="auto"/>
            </w:tcBorders>
            <w:shd w:val="clear" w:color="auto" w:fill="auto"/>
            <w:noWrap/>
            <w:vAlign w:val="center"/>
            <w:hideMark/>
          </w:tcPr>
          <w:p w14:paraId="11EAAC30"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C3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3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3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3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3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36"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37"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38"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39"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3A"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C49"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C3C"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C3D"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C3E"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C3F"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0.30</w:t>
            </w:r>
          </w:p>
        </w:tc>
        <w:tc>
          <w:tcPr>
            <w:tcW w:w="960" w:type="dxa"/>
            <w:tcBorders>
              <w:top w:val="nil"/>
              <w:left w:val="nil"/>
              <w:bottom w:val="single" w:sz="4" w:space="0" w:color="auto"/>
              <w:right w:val="single" w:sz="4" w:space="0" w:color="auto"/>
            </w:tcBorders>
            <w:shd w:val="clear" w:color="auto" w:fill="auto"/>
            <w:noWrap/>
            <w:vAlign w:val="center"/>
            <w:hideMark/>
          </w:tcPr>
          <w:p w14:paraId="11EAAC40"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0.22</w:t>
            </w:r>
          </w:p>
        </w:tc>
        <w:tc>
          <w:tcPr>
            <w:tcW w:w="960" w:type="dxa"/>
            <w:tcBorders>
              <w:top w:val="nil"/>
              <w:left w:val="nil"/>
              <w:bottom w:val="single" w:sz="4" w:space="0" w:color="auto"/>
              <w:right w:val="single" w:sz="4" w:space="0" w:color="auto"/>
            </w:tcBorders>
            <w:shd w:val="clear" w:color="auto" w:fill="auto"/>
            <w:noWrap/>
            <w:vAlign w:val="center"/>
            <w:hideMark/>
          </w:tcPr>
          <w:p w14:paraId="11EAAC4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42"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4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44"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vAlign w:val="center"/>
            <w:hideMark/>
          </w:tcPr>
          <w:p w14:paraId="11EAAC45"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46"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c>
          <w:tcPr>
            <w:tcW w:w="960" w:type="dxa"/>
            <w:tcBorders>
              <w:top w:val="nil"/>
              <w:left w:val="nil"/>
              <w:bottom w:val="single" w:sz="4" w:space="0" w:color="auto"/>
              <w:right w:val="single" w:sz="4" w:space="0" w:color="auto"/>
            </w:tcBorders>
            <w:shd w:val="clear" w:color="auto" w:fill="auto"/>
            <w:noWrap/>
            <w:vAlign w:val="center"/>
            <w:hideMark/>
          </w:tcPr>
          <w:p w14:paraId="11EAAC47"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0.41</w:t>
            </w:r>
          </w:p>
        </w:tc>
        <w:tc>
          <w:tcPr>
            <w:tcW w:w="960" w:type="dxa"/>
            <w:tcBorders>
              <w:top w:val="nil"/>
              <w:left w:val="nil"/>
              <w:bottom w:val="single" w:sz="4" w:space="0" w:color="auto"/>
              <w:right w:val="single" w:sz="4" w:space="0" w:color="auto"/>
            </w:tcBorders>
            <w:shd w:val="clear" w:color="auto" w:fill="auto"/>
            <w:noWrap/>
            <w:vAlign w:val="center"/>
            <w:hideMark/>
          </w:tcPr>
          <w:p w14:paraId="11EAAC48"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0.03</w:t>
            </w:r>
          </w:p>
        </w:tc>
      </w:tr>
      <w:tr w:rsidR="006428D8" w:rsidRPr="00094C12" w14:paraId="11EAAC57"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C4A"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C4B"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Peak</w:t>
            </w:r>
          </w:p>
        </w:tc>
        <w:tc>
          <w:tcPr>
            <w:tcW w:w="680" w:type="dxa"/>
            <w:tcBorders>
              <w:top w:val="nil"/>
              <w:left w:val="nil"/>
              <w:bottom w:val="single" w:sz="4" w:space="0" w:color="auto"/>
              <w:right w:val="single" w:sz="4" w:space="0" w:color="auto"/>
            </w:tcBorders>
            <w:shd w:val="clear" w:color="auto" w:fill="auto"/>
            <w:noWrap/>
            <w:vAlign w:val="center"/>
            <w:hideMark/>
          </w:tcPr>
          <w:p w14:paraId="11EAAC4C"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auto" w:fill="auto"/>
            <w:noWrap/>
            <w:vAlign w:val="center"/>
            <w:hideMark/>
          </w:tcPr>
          <w:p w14:paraId="11EAAC4D"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vAlign w:val="center"/>
            <w:hideMark/>
          </w:tcPr>
          <w:p w14:paraId="11EAAC4E"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0.09</w:t>
            </w:r>
          </w:p>
        </w:tc>
        <w:tc>
          <w:tcPr>
            <w:tcW w:w="960" w:type="dxa"/>
            <w:tcBorders>
              <w:top w:val="nil"/>
              <w:left w:val="nil"/>
              <w:bottom w:val="single" w:sz="4" w:space="0" w:color="auto"/>
              <w:right w:val="single" w:sz="4" w:space="0" w:color="auto"/>
            </w:tcBorders>
            <w:shd w:val="clear" w:color="auto" w:fill="auto"/>
            <w:noWrap/>
            <w:vAlign w:val="center"/>
            <w:hideMark/>
          </w:tcPr>
          <w:p w14:paraId="11EAAC4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50"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5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52"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0.01</w:t>
            </w:r>
          </w:p>
        </w:tc>
        <w:tc>
          <w:tcPr>
            <w:tcW w:w="960" w:type="dxa"/>
            <w:tcBorders>
              <w:top w:val="nil"/>
              <w:left w:val="nil"/>
              <w:bottom w:val="single" w:sz="4" w:space="0" w:color="auto"/>
              <w:right w:val="single" w:sz="4" w:space="0" w:color="auto"/>
            </w:tcBorders>
            <w:shd w:val="clear" w:color="auto" w:fill="auto"/>
            <w:noWrap/>
            <w:vAlign w:val="center"/>
            <w:hideMark/>
          </w:tcPr>
          <w:p w14:paraId="11EAAC53"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54"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55"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0.13</w:t>
            </w:r>
          </w:p>
        </w:tc>
        <w:tc>
          <w:tcPr>
            <w:tcW w:w="960" w:type="dxa"/>
            <w:tcBorders>
              <w:top w:val="nil"/>
              <w:left w:val="nil"/>
              <w:bottom w:val="single" w:sz="4" w:space="0" w:color="auto"/>
              <w:right w:val="single" w:sz="4" w:space="0" w:color="auto"/>
            </w:tcBorders>
            <w:shd w:val="clear" w:color="auto" w:fill="auto"/>
            <w:noWrap/>
            <w:vAlign w:val="center"/>
            <w:hideMark/>
          </w:tcPr>
          <w:p w14:paraId="11EAAC56" w14:textId="77777777" w:rsidR="006428D8" w:rsidRPr="00094C12" w:rsidRDefault="006428D8" w:rsidP="006428D8">
            <w:pPr>
              <w:spacing w:after="0"/>
              <w:jc w:val="center"/>
              <w:rPr>
                <w:rFonts w:ascii="Arial Narrow" w:hAnsi="Arial Narrow"/>
                <w:color w:val="000000"/>
                <w:sz w:val="18"/>
                <w:szCs w:val="18"/>
                <w:lang w:val="en-AU" w:eastAsia="en-AU"/>
              </w:rPr>
            </w:pPr>
          </w:p>
        </w:tc>
      </w:tr>
      <w:tr w:rsidR="006428D8" w:rsidRPr="00094C12" w14:paraId="11EAAC65" w14:textId="77777777" w:rsidTr="00D170D0">
        <w:trPr>
          <w:trHeight w:hRule="exact" w:val="284"/>
        </w:trPr>
        <w:tc>
          <w:tcPr>
            <w:tcW w:w="960" w:type="dxa"/>
            <w:vMerge/>
            <w:tcBorders>
              <w:top w:val="nil"/>
              <w:left w:val="single" w:sz="4" w:space="0" w:color="auto"/>
              <w:bottom w:val="single" w:sz="4" w:space="0" w:color="auto"/>
              <w:right w:val="single" w:sz="4" w:space="0" w:color="auto"/>
            </w:tcBorders>
            <w:vAlign w:val="center"/>
            <w:hideMark/>
          </w:tcPr>
          <w:p w14:paraId="11EAAC58" w14:textId="77777777" w:rsidR="006428D8" w:rsidRPr="00094C12" w:rsidRDefault="006428D8" w:rsidP="006428D8">
            <w:pPr>
              <w:spacing w:after="0"/>
              <w:jc w:val="left"/>
              <w:rPr>
                <w:rFonts w:ascii="Arial Narrow" w:hAnsi="Arial Narrow"/>
                <w:color w:val="000000"/>
                <w:sz w:val="20"/>
                <w:lang w:val="en-AU" w:eastAsia="en-AU"/>
              </w:rPr>
            </w:pPr>
          </w:p>
        </w:tc>
        <w:tc>
          <w:tcPr>
            <w:tcW w:w="1520" w:type="dxa"/>
            <w:vMerge/>
            <w:tcBorders>
              <w:top w:val="nil"/>
              <w:left w:val="single" w:sz="4" w:space="0" w:color="auto"/>
              <w:bottom w:val="single" w:sz="4" w:space="0" w:color="auto"/>
              <w:right w:val="single" w:sz="4" w:space="0" w:color="auto"/>
            </w:tcBorders>
            <w:vAlign w:val="center"/>
            <w:hideMark/>
          </w:tcPr>
          <w:p w14:paraId="11EAAC59" w14:textId="77777777" w:rsidR="006428D8" w:rsidRPr="00094C12" w:rsidRDefault="006428D8" w:rsidP="006428D8">
            <w:pPr>
              <w:spacing w:after="0"/>
              <w:jc w:val="left"/>
              <w:rPr>
                <w:rFonts w:ascii="Arial Narrow" w:hAnsi="Arial Narrow"/>
                <w:color w:val="000000"/>
                <w:sz w:val="20"/>
                <w:lang w:val="en-AU"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11EAAC5A" w14:textId="77777777" w:rsidR="006428D8" w:rsidRPr="00094C12" w:rsidRDefault="006428D8" w:rsidP="006428D8">
            <w:pPr>
              <w:spacing w:after="0"/>
              <w:jc w:val="center"/>
              <w:rPr>
                <w:rFonts w:ascii="Arial Narrow" w:hAnsi="Arial Narrow"/>
                <w:color w:val="000000"/>
                <w:sz w:val="20"/>
                <w:lang w:val="en-AU" w:eastAsia="en-AU"/>
              </w:rPr>
            </w:pPr>
            <w:r w:rsidRPr="00094C12">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auto" w:fill="auto"/>
            <w:noWrap/>
            <w:vAlign w:val="center"/>
            <w:hideMark/>
          </w:tcPr>
          <w:p w14:paraId="11EAAC5B"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0.14</w:t>
            </w:r>
          </w:p>
        </w:tc>
        <w:tc>
          <w:tcPr>
            <w:tcW w:w="960" w:type="dxa"/>
            <w:tcBorders>
              <w:top w:val="nil"/>
              <w:left w:val="nil"/>
              <w:bottom w:val="single" w:sz="4" w:space="0" w:color="auto"/>
              <w:right w:val="single" w:sz="4" w:space="0" w:color="auto"/>
            </w:tcBorders>
            <w:shd w:val="clear" w:color="auto" w:fill="auto"/>
            <w:noWrap/>
            <w:vAlign w:val="center"/>
            <w:hideMark/>
          </w:tcPr>
          <w:p w14:paraId="11EAAC5C"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0.06</w:t>
            </w:r>
          </w:p>
        </w:tc>
        <w:tc>
          <w:tcPr>
            <w:tcW w:w="960" w:type="dxa"/>
            <w:tcBorders>
              <w:top w:val="nil"/>
              <w:left w:val="nil"/>
              <w:bottom w:val="single" w:sz="4" w:space="0" w:color="auto"/>
              <w:right w:val="single" w:sz="4" w:space="0" w:color="auto"/>
            </w:tcBorders>
            <w:shd w:val="clear" w:color="auto" w:fill="auto"/>
            <w:noWrap/>
            <w:vAlign w:val="center"/>
            <w:hideMark/>
          </w:tcPr>
          <w:p w14:paraId="11EAAC5D"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5E"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0.09</w:t>
            </w:r>
          </w:p>
        </w:tc>
        <w:tc>
          <w:tcPr>
            <w:tcW w:w="960" w:type="dxa"/>
            <w:tcBorders>
              <w:top w:val="nil"/>
              <w:left w:val="nil"/>
              <w:bottom w:val="single" w:sz="4" w:space="0" w:color="auto"/>
              <w:right w:val="single" w:sz="4" w:space="0" w:color="auto"/>
            </w:tcBorders>
            <w:shd w:val="clear" w:color="auto" w:fill="auto"/>
            <w:noWrap/>
            <w:vAlign w:val="center"/>
            <w:hideMark/>
          </w:tcPr>
          <w:p w14:paraId="11EAAC5F"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60"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0.05</w:t>
            </w:r>
          </w:p>
        </w:tc>
        <w:tc>
          <w:tcPr>
            <w:tcW w:w="960" w:type="dxa"/>
            <w:tcBorders>
              <w:top w:val="nil"/>
              <w:left w:val="nil"/>
              <w:bottom w:val="single" w:sz="4" w:space="0" w:color="auto"/>
              <w:right w:val="single" w:sz="4" w:space="0" w:color="auto"/>
            </w:tcBorders>
            <w:shd w:val="clear" w:color="auto" w:fill="auto"/>
            <w:noWrap/>
            <w:vAlign w:val="center"/>
            <w:hideMark/>
          </w:tcPr>
          <w:p w14:paraId="11EAAC61" w14:textId="77777777" w:rsidR="006428D8" w:rsidRPr="00094C12" w:rsidRDefault="006428D8" w:rsidP="006428D8">
            <w:pPr>
              <w:spacing w:after="0"/>
              <w:jc w:val="center"/>
              <w:rPr>
                <w:rFonts w:ascii="Arial Narrow" w:hAnsi="Arial Narrow"/>
                <w:color w:val="000000"/>
                <w:sz w:val="18"/>
                <w:szCs w:val="18"/>
                <w:lang w:val="en-AU" w:eastAsia="en-AU"/>
              </w:rPr>
            </w:pPr>
          </w:p>
        </w:tc>
        <w:tc>
          <w:tcPr>
            <w:tcW w:w="960" w:type="dxa"/>
            <w:tcBorders>
              <w:top w:val="nil"/>
              <w:left w:val="nil"/>
              <w:bottom w:val="single" w:sz="4" w:space="0" w:color="auto"/>
              <w:right w:val="single" w:sz="4" w:space="0" w:color="auto"/>
            </w:tcBorders>
            <w:shd w:val="clear" w:color="auto" w:fill="auto"/>
            <w:noWrap/>
            <w:vAlign w:val="center"/>
            <w:hideMark/>
          </w:tcPr>
          <w:p w14:paraId="11EAAC62"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0.02</w:t>
            </w:r>
          </w:p>
        </w:tc>
        <w:tc>
          <w:tcPr>
            <w:tcW w:w="960" w:type="dxa"/>
            <w:tcBorders>
              <w:top w:val="nil"/>
              <w:left w:val="nil"/>
              <w:bottom w:val="single" w:sz="4" w:space="0" w:color="auto"/>
              <w:right w:val="single" w:sz="4" w:space="0" w:color="auto"/>
            </w:tcBorders>
            <w:shd w:val="clear" w:color="auto" w:fill="auto"/>
            <w:noWrap/>
            <w:vAlign w:val="center"/>
            <w:hideMark/>
          </w:tcPr>
          <w:p w14:paraId="11EAAC63"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0.94</w:t>
            </w:r>
          </w:p>
        </w:tc>
        <w:tc>
          <w:tcPr>
            <w:tcW w:w="960" w:type="dxa"/>
            <w:tcBorders>
              <w:top w:val="nil"/>
              <w:left w:val="nil"/>
              <w:bottom w:val="single" w:sz="4" w:space="0" w:color="auto"/>
              <w:right w:val="single" w:sz="4" w:space="0" w:color="auto"/>
            </w:tcBorders>
            <w:shd w:val="clear" w:color="auto" w:fill="auto"/>
            <w:noWrap/>
            <w:vAlign w:val="center"/>
            <w:hideMark/>
          </w:tcPr>
          <w:p w14:paraId="11EAAC64" w14:textId="77777777" w:rsidR="006428D8" w:rsidRPr="00094C12" w:rsidRDefault="006428D8" w:rsidP="006428D8">
            <w:pPr>
              <w:spacing w:after="0"/>
              <w:jc w:val="center"/>
              <w:rPr>
                <w:rFonts w:ascii="Arial Narrow" w:hAnsi="Arial Narrow"/>
                <w:color w:val="000000"/>
                <w:sz w:val="18"/>
                <w:szCs w:val="18"/>
                <w:lang w:val="en-AU" w:eastAsia="en-AU"/>
              </w:rPr>
            </w:pPr>
            <w:r w:rsidRPr="00094C12">
              <w:rPr>
                <w:rFonts w:ascii="Arial Narrow" w:hAnsi="Arial Narrow"/>
                <w:color w:val="000000"/>
                <w:sz w:val="18"/>
                <w:szCs w:val="18"/>
                <w:lang w:val="en-AU" w:eastAsia="en-AU"/>
              </w:rPr>
              <w:t>0.13</w:t>
            </w:r>
          </w:p>
        </w:tc>
      </w:tr>
    </w:tbl>
    <w:p w14:paraId="11EAAC66" w14:textId="77777777" w:rsidR="000A241F" w:rsidRPr="00F439FB" w:rsidRDefault="000A241F" w:rsidP="002168E2">
      <w:pPr>
        <w:rPr>
          <w:color w:val="4F81BD" w:themeColor="accent1"/>
        </w:rPr>
        <w:sectPr w:rsidR="000A241F" w:rsidRPr="00F439FB" w:rsidSect="00BF3FC5">
          <w:pgSz w:w="16840" w:h="11907" w:orient="landscape" w:code="9"/>
          <w:pgMar w:top="1134" w:right="1440" w:bottom="1134" w:left="1418" w:header="862" w:footer="720" w:gutter="0"/>
          <w:cols w:space="720"/>
          <w:docGrid w:linePitch="299"/>
        </w:sectPr>
      </w:pPr>
    </w:p>
    <w:p w14:paraId="11EAAC67" w14:textId="14C796A5" w:rsidR="006428D8" w:rsidRPr="006428D8" w:rsidRDefault="0036265A" w:rsidP="0036265A">
      <w:pPr>
        <w:pStyle w:val="Caption"/>
        <w:rPr>
          <w:vanish/>
        </w:rPr>
      </w:pPr>
      <w:bookmarkStart w:id="453" w:name="_Ref491182154"/>
      <w:bookmarkStart w:id="454" w:name="_Ref460423904"/>
      <w:bookmarkStart w:id="455" w:name="_Toc342644684"/>
      <w:bookmarkStart w:id="456" w:name="_Toc437424468"/>
      <w:bookmarkStart w:id="457" w:name="_Toc437424592"/>
      <w:bookmarkStart w:id="458" w:name="_Toc437432521"/>
      <w:bookmarkStart w:id="459" w:name="_Toc311284554"/>
      <w:bookmarkStart w:id="460" w:name="_Toc311371441"/>
      <w:bookmarkStart w:id="461" w:name="_Toc471373385"/>
      <w:r>
        <w:t xml:space="preserve">Table A1. </w:t>
      </w:r>
      <w:r>
        <w:fldChar w:fldCharType="begin"/>
      </w:r>
      <w:r>
        <w:instrText xml:space="preserve"> SEQ Table_A1. \* ARABIC </w:instrText>
      </w:r>
      <w:r>
        <w:fldChar w:fldCharType="separate"/>
      </w:r>
      <w:r w:rsidR="00D806F2">
        <w:rPr>
          <w:noProof/>
        </w:rPr>
        <w:t>9</w:t>
      </w:r>
      <w:r>
        <w:fldChar w:fldCharType="end"/>
      </w:r>
      <w:bookmarkEnd w:id="453"/>
      <w:r>
        <w:t xml:space="preserve"> </w:t>
      </w:r>
      <w:r w:rsidRPr="00D57D4B">
        <w:t xml:space="preserve">Percent cover of </w:t>
      </w:r>
      <w:r>
        <w:t>Macroalgae groups</w:t>
      </w:r>
      <w:r w:rsidRPr="00D57D4B">
        <w:t xml:space="preserve"> 2016</w:t>
      </w:r>
      <w:r>
        <w:t>.</w:t>
      </w:r>
      <w:bookmarkEnd w:id="454"/>
      <w:bookmarkEnd w:id="455"/>
      <w:bookmarkEnd w:id="456"/>
      <w:bookmarkEnd w:id="457"/>
      <w:bookmarkEnd w:id="458"/>
      <w:bookmarkEnd w:id="459"/>
      <w:bookmarkEnd w:id="460"/>
      <w:bookmarkEnd w:id="461"/>
    </w:p>
    <w:p w14:paraId="11EAAC68" w14:textId="766A4019" w:rsidR="006428D8" w:rsidRPr="006428D8" w:rsidRDefault="006428D8" w:rsidP="00F872DF">
      <w:pPr>
        <w:pStyle w:val="Caption"/>
      </w:pPr>
      <w:r w:rsidRPr="006428D8">
        <w:t xml:space="preserve"> </w:t>
      </w:r>
      <w:r w:rsidR="009D2F51">
        <w:t>G</w:t>
      </w:r>
      <w:r w:rsidRPr="006428D8">
        <w:t>enera for which cover exceeded 0.5% on at least one reef</w:t>
      </w:r>
      <w:r w:rsidR="009D2F51">
        <w:t xml:space="preserve"> are included</w:t>
      </w:r>
      <w:r w:rsidRPr="006428D8">
        <w:t>, rare or unidentified genera are grouped to ‘Other</w:t>
      </w:r>
      <w:r w:rsidR="009D2F51">
        <w:t xml:space="preserve"> within major </w:t>
      </w:r>
      <w:r w:rsidR="008066D5">
        <w:t>classes</w:t>
      </w:r>
      <w:r w:rsidR="009D2F51">
        <w:t xml:space="preserve"> of Macroalgae</w:t>
      </w:r>
      <w:r w:rsidRPr="006428D8">
        <w:t>’.</w:t>
      </w:r>
    </w:p>
    <w:tbl>
      <w:tblPr>
        <w:tblW w:w="13892" w:type="dxa"/>
        <w:tblInd w:w="93" w:type="dxa"/>
        <w:tblLook w:val="04A0" w:firstRow="1" w:lastRow="0" w:firstColumn="1" w:lastColumn="0" w:noHBand="0" w:noVBand="1"/>
      </w:tblPr>
      <w:tblGrid>
        <w:gridCol w:w="692"/>
        <w:gridCol w:w="1731"/>
        <w:gridCol w:w="493"/>
        <w:gridCol w:w="744"/>
        <w:gridCol w:w="591"/>
        <w:gridCol w:w="591"/>
        <w:gridCol w:w="591"/>
        <w:gridCol w:w="744"/>
        <w:gridCol w:w="754"/>
        <w:gridCol w:w="601"/>
        <w:gridCol w:w="844"/>
        <w:gridCol w:w="497"/>
        <w:gridCol w:w="663"/>
        <w:gridCol w:w="663"/>
        <w:gridCol w:w="832"/>
        <w:gridCol w:w="663"/>
        <w:gridCol w:w="832"/>
        <w:gridCol w:w="832"/>
        <w:gridCol w:w="663"/>
      </w:tblGrid>
      <w:tr w:rsidR="006428D8" w:rsidRPr="00882085" w14:paraId="11EAAC6F" w14:textId="77777777" w:rsidTr="006428D8">
        <w:trPr>
          <w:trHeight w:val="288"/>
          <w:tblHeader/>
        </w:trPr>
        <w:tc>
          <w:tcPr>
            <w:tcW w:w="704"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11EAAC6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subregion</w:t>
            </w:r>
          </w:p>
        </w:tc>
        <w:tc>
          <w:tcPr>
            <w:tcW w:w="1768"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11EAAC6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Reef</w:t>
            </w:r>
          </w:p>
        </w:tc>
        <w:tc>
          <w:tcPr>
            <w:tcW w:w="50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11EAAC6B" w14:textId="77777777" w:rsidR="006428D8" w:rsidRPr="00882085" w:rsidRDefault="006428D8" w:rsidP="006428D8">
            <w:pPr>
              <w:spacing w:after="0"/>
              <w:jc w:val="center"/>
              <w:rPr>
                <w:rFonts w:ascii="Calibri" w:hAnsi="Calibri"/>
                <w:color w:val="000000"/>
                <w:szCs w:val="22"/>
                <w:lang w:val="en-AU" w:eastAsia="en-AU"/>
              </w:rPr>
            </w:pPr>
            <w:r w:rsidRPr="00882085">
              <w:rPr>
                <w:rFonts w:ascii="Calibri" w:hAnsi="Calibri"/>
                <w:color w:val="000000"/>
                <w:szCs w:val="22"/>
                <w:lang w:val="en-AU" w:eastAsia="en-AU"/>
              </w:rPr>
              <w:t>Depth</w:t>
            </w:r>
          </w:p>
        </w:tc>
        <w:tc>
          <w:tcPr>
            <w:tcW w:w="3312" w:type="dxa"/>
            <w:gridSpan w:val="5"/>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11EAAC6C"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Rhodophyta (red algae)</w:t>
            </w:r>
          </w:p>
        </w:tc>
        <w:tc>
          <w:tcPr>
            <w:tcW w:w="2236" w:type="dxa"/>
            <w:gridSpan w:val="3"/>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11EAAC6D" w14:textId="5F94A628"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Chlorophyta</w:t>
            </w:r>
            <w:r w:rsidR="00E75F5C">
              <w:rPr>
                <w:rFonts w:ascii="Arial Narrow" w:hAnsi="Arial Narrow"/>
                <w:color w:val="000000"/>
                <w:sz w:val="20"/>
                <w:lang w:val="en-AU" w:eastAsia="en-AU"/>
              </w:rPr>
              <w:t xml:space="preserve"> </w:t>
            </w:r>
            <w:r w:rsidRPr="00882085">
              <w:rPr>
                <w:rFonts w:ascii="Arial Narrow" w:hAnsi="Arial Narrow"/>
                <w:color w:val="000000"/>
                <w:sz w:val="20"/>
                <w:lang w:val="en-AU" w:eastAsia="en-AU"/>
              </w:rPr>
              <w:t>(green algae)</w:t>
            </w:r>
          </w:p>
        </w:tc>
        <w:tc>
          <w:tcPr>
            <w:tcW w:w="5655" w:type="dxa"/>
            <w:gridSpan w:val="8"/>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11EAAC6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Phaeophyta (brown algae)</w:t>
            </w:r>
          </w:p>
        </w:tc>
      </w:tr>
      <w:tr w:rsidR="006428D8" w:rsidRPr="00882085" w14:paraId="11EAAC83" w14:textId="77777777" w:rsidTr="00184C63">
        <w:trPr>
          <w:trHeight w:val="1513"/>
          <w:tblHeader/>
        </w:trPr>
        <w:tc>
          <w:tcPr>
            <w:tcW w:w="704"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1EAAC70"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1EAAC71"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1EAAC72" w14:textId="77777777" w:rsidR="006428D8" w:rsidRPr="00882085" w:rsidRDefault="006428D8" w:rsidP="006428D8">
            <w:pPr>
              <w:spacing w:after="0"/>
              <w:jc w:val="left"/>
              <w:rPr>
                <w:rFonts w:ascii="Calibri" w:hAnsi="Calibri"/>
                <w:color w:val="000000"/>
                <w:szCs w:val="22"/>
                <w:lang w:val="en-AU" w:eastAsia="en-AU"/>
              </w:rPr>
            </w:pPr>
          </w:p>
        </w:tc>
        <w:tc>
          <w:tcPr>
            <w:tcW w:w="756"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EAAC73"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Hypnea</w:t>
            </w:r>
          </w:p>
        </w:tc>
        <w:tc>
          <w:tcPr>
            <w:tcW w:w="60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EAAC74"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Peyssonnelia</w:t>
            </w:r>
          </w:p>
        </w:tc>
        <w:tc>
          <w:tcPr>
            <w:tcW w:w="60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EAAC75"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 xml:space="preserve">Calcareous </w:t>
            </w:r>
          </w:p>
        </w:tc>
        <w:tc>
          <w:tcPr>
            <w:tcW w:w="60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EAAC7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Asparagopsis</w:t>
            </w:r>
          </w:p>
        </w:tc>
        <w:tc>
          <w:tcPr>
            <w:tcW w:w="756"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EAAC77"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Other</w:t>
            </w:r>
          </w:p>
        </w:tc>
        <w:tc>
          <w:tcPr>
            <w:tcW w:w="767"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EAAC78"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Caulerpa</w:t>
            </w:r>
          </w:p>
        </w:tc>
        <w:tc>
          <w:tcPr>
            <w:tcW w:w="61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EAAC7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Halimeda</w:t>
            </w:r>
          </w:p>
        </w:tc>
        <w:tc>
          <w:tcPr>
            <w:tcW w:w="859"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EAAC7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Other</w:t>
            </w:r>
          </w:p>
        </w:tc>
        <w:tc>
          <w:tcPr>
            <w:tcW w:w="425"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EAAC7B"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Stypopodium</w:t>
            </w:r>
          </w:p>
        </w:tc>
        <w:tc>
          <w:tcPr>
            <w:tcW w:w="673"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EAAC7C"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Spatoglossum</w:t>
            </w:r>
          </w:p>
        </w:tc>
        <w:tc>
          <w:tcPr>
            <w:tcW w:w="673"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EAAC7D"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Padina</w:t>
            </w:r>
          </w:p>
        </w:tc>
        <w:tc>
          <w:tcPr>
            <w:tcW w:w="846"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EAAC7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Dictyota</w:t>
            </w:r>
          </w:p>
        </w:tc>
        <w:tc>
          <w:tcPr>
            <w:tcW w:w="673"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EAAC7F"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Dictyopteris</w:t>
            </w:r>
          </w:p>
        </w:tc>
        <w:tc>
          <w:tcPr>
            <w:tcW w:w="846"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EAAC80"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Lobophora</w:t>
            </w:r>
          </w:p>
        </w:tc>
        <w:tc>
          <w:tcPr>
            <w:tcW w:w="846"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EAAC8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Sargassum</w:t>
            </w:r>
          </w:p>
        </w:tc>
        <w:tc>
          <w:tcPr>
            <w:tcW w:w="673"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EAAC8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Other</w:t>
            </w:r>
          </w:p>
        </w:tc>
      </w:tr>
      <w:tr w:rsidR="006428D8" w:rsidRPr="00882085" w14:paraId="11EAAC97" w14:textId="77777777" w:rsidTr="00184C63">
        <w:trPr>
          <w:trHeight w:val="340"/>
        </w:trPr>
        <w:tc>
          <w:tcPr>
            <w:tcW w:w="704"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AC84"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Daintree</w:t>
            </w: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C85"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Snapper North</w:t>
            </w:r>
          </w:p>
        </w:tc>
        <w:tc>
          <w:tcPr>
            <w:tcW w:w="500" w:type="dxa"/>
            <w:tcBorders>
              <w:top w:val="nil"/>
              <w:left w:val="nil"/>
              <w:bottom w:val="single" w:sz="4" w:space="0" w:color="auto"/>
              <w:right w:val="single" w:sz="4" w:space="0" w:color="auto"/>
            </w:tcBorders>
            <w:shd w:val="clear" w:color="auto" w:fill="auto"/>
            <w:noWrap/>
            <w:vAlign w:val="center"/>
            <w:hideMark/>
          </w:tcPr>
          <w:p w14:paraId="11EAAC8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C8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11.04</w:t>
            </w:r>
          </w:p>
        </w:tc>
        <w:tc>
          <w:tcPr>
            <w:tcW w:w="600" w:type="dxa"/>
            <w:tcBorders>
              <w:top w:val="nil"/>
              <w:left w:val="nil"/>
              <w:bottom w:val="single" w:sz="4" w:space="0" w:color="auto"/>
              <w:right w:val="single" w:sz="4" w:space="0" w:color="auto"/>
            </w:tcBorders>
            <w:shd w:val="clear" w:color="auto" w:fill="auto"/>
            <w:noWrap/>
            <w:vAlign w:val="center"/>
            <w:hideMark/>
          </w:tcPr>
          <w:p w14:paraId="11EAAC8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1.71</w:t>
            </w:r>
          </w:p>
        </w:tc>
        <w:tc>
          <w:tcPr>
            <w:tcW w:w="600" w:type="dxa"/>
            <w:tcBorders>
              <w:top w:val="nil"/>
              <w:left w:val="nil"/>
              <w:bottom w:val="single" w:sz="4" w:space="0" w:color="auto"/>
              <w:right w:val="single" w:sz="4" w:space="0" w:color="auto"/>
            </w:tcBorders>
            <w:shd w:val="clear" w:color="auto" w:fill="auto"/>
            <w:noWrap/>
            <w:vAlign w:val="center"/>
            <w:hideMark/>
          </w:tcPr>
          <w:p w14:paraId="11EAAC8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4.58</w:t>
            </w:r>
          </w:p>
        </w:tc>
        <w:tc>
          <w:tcPr>
            <w:tcW w:w="600" w:type="dxa"/>
            <w:tcBorders>
              <w:top w:val="nil"/>
              <w:left w:val="nil"/>
              <w:bottom w:val="single" w:sz="4" w:space="0" w:color="auto"/>
              <w:right w:val="single" w:sz="4" w:space="0" w:color="auto"/>
            </w:tcBorders>
            <w:shd w:val="clear" w:color="auto" w:fill="auto"/>
            <w:noWrap/>
            <w:vAlign w:val="center"/>
            <w:hideMark/>
          </w:tcPr>
          <w:p w14:paraId="11EAAC8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4.58</w:t>
            </w:r>
          </w:p>
        </w:tc>
        <w:tc>
          <w:tcPr>
            <w:tcW w:w="756" w:type="dxa"/>
            <w:tcBorders>
              <w:top w:val="nil"/>
              <w:left w:val="nil"/>
              <w:bottom w:val="single" w:sz="4" w:space="0" w:color="auto"/>
              <w:right w:val="single" w:sz="4" w:space="0" w:color="auto"/>
            </w:tcBorders>
            <w:shd w:val="clear" w:color="auto" w:fill="auto"/>
            <w:noWrap/>
            <w:vAlign w:val="center"/>
            <w:hideMark/>
          </w:tcPr>
          <w:p w14:paraId="11EAAC8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14.46</w:t>
            </w:r>
          </w:p>
        </w:tc>
        <w:tc>
          <w:tcPr>
            <w:tcW w:w="767" w:type="dxa"/>
            <w:tcBorders>
              <w:top w:val="nil"/>
              <w:left w:val="nil"/>
              <w:bottom w:val="single" w:sz="4" w:space="0" w:color="auto"/>
              <w:right w:val="single" w:sz="4" w:space="0" w:color="auto"/>
            </w:tcBorders>
            <w:shd w:val="clear" w:color="auto" w:fill="auto"/>
            <w:noWrap/>
            <w:vAlign w:val="center"/>
            <w:hideMark/>
          </w:tcPr>
          <w:p w14:paraId="11EAAC8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0.04</w:t>
            </w:r>
          </w:p>
        </w:tc>
        <w:tc>
          <w:tcPr>
            <w:tcW w:w="610" w:type="dxa"/>
            <w:tcBorders>
              <w:top w:val="nil"/>
              <w:left w:val="nil"/>
              <w:bottom w:val="single" w:sz="4" w:space="0" w:color="auto"/>
              <w:right w:val="single" w:sz="4" w:space="0" w:color="auto"/>
            </w:tcBorders>
            <w:shd w:val="clear" w:color="auto" w:fill="auto"/>
            <w:noWrap/>
            <w:vAlign w:val="center"/>
            <w:hideMark/>
          </w:tcPr>
          <w:p w14:paraId="11EAAC8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0.33</w:t>
            </w:r>
          </w:p>
        </w:tc>
        <w:tc>
          <w:tcPr>
            <w:tcW w:w="859" w:type="dxa"/>
            <w:tcBorders>
              <w:top w:val="nil"/>
              <w:left w:val="nil"/>
              <w:bottom w:val="single" w:sz="4" w:space="0" w:color="auto"/>
              <w:right w:val="single" w:sz="4" w:space="0" w:color="auto"/>
            </w:tcBorders>
            <w:shd w:val="clear" w:color="auto" w:fill="auto"/>
            <w:noWrap/>
            <w:vAlign w:val="center"/>
            <w:hideMark/>
          </w:tcPr>
          <w:p w14:paraId="11EAAC8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0.17</w:t>
            </w:r>
          </w:p>
        </w:tc>
        <w:tc>
          <w:tcPr>
            <w:tcW w:w="425" w:type="dxa"/>
            <w:tcBorders>
              <w:top w:val="nil"/>
              <w:left w:val="nil"/>
              <w:bottom w:val="single" w:sz="4" w:space="0" w:color="auto"/>
              <w:right w:val="single" w:sz="4" w:space="0" w:color="auto"/>
            </w:tcBorders>
            <w:shd w:val="clear" w:color="auto" w:fill="auto"/>
            <w:noWrap/>
            <w:vAlign w:val="center"/>
            <w:hideMark/>
          </w:tcPr>
          <w:p w14:paraId="11EAAC8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9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9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0.04</w:t>
            </w:r>
          </w:p>
        </w:tc>
        <w:tc>
          <w:tcPr>
            <w:tcW w:w="846" w:type="dxa"/>
            <w:tcBorders>
              <w:top w:val="nil"/>
              <w:left w:val="nil"/>
              <w:bottom w:val="single" w:sz="4" w:space="0" w:color="auto"/>
              <w:right w:val="single" w:sz="4" w:space="0" w:color="auto"/>
            </w:tcBorders>
            <w:shd w:val="clear" w:color="auto" w:fill="auto"/>
            <w:noWrap/>
            <w:vAlign w:val="center"/>
            <w:hideMark/>
          </w:tcPr>
          <w:p w14:paraId="11EAAC9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17.25</w:t>
            </w:r>
          </w:p>
        </w:tc>
        <w:tc>
          <w:tcPr>
            <w:tcW w:w="673" w:type="dxa"/>
            <w:tcBorders>
              <w:top w:val="nil"/>
              <w:left w:val="nil"/>
              <w:bottom w:val="single" w:sz="4" w:space="0" w:color="auto"/>
              <w:right w:val="single" w:sz="4" w:space="0" w:color="auto"/>
            </w:tcBorders>
            <w:shd w:val="clear" w:color="auto" w:fill="auto"/>
            <w:noWrap/>
            <w:vAlign w:val="center"/>
            <w:hideMark/>
          </w:tcPr>
          <w:p w14:paraId="11EAAC9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C9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0.04</w:t>
            </w:r>
          </w:p>
        </w:tc>
        <w:tc>
          <w:tcPr>
            <w:tcW w:w="846" w:type="dxa"/>
            <w:tcBorders>
              <w:top w:val="nil"/>
              <w:left w:val="nil"/>
              <w:bottom w:val="single" w:sz="4" w:space="0" w:color="auto"/>
              <w:right w:val="single" w:sz="4" w:space="0" w:color="auto"/>
            </w:tcBorders>
            <w:shd w:val="clear" w:color="auto" w:fill="auto"/>
            <w:noWrap/>
            <w:vAlign w:val="center"/>
            <w:hideMark/>
          </w:tcPr>
          <w:p w14:paraId="11EAAC9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9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1.29</w:t>
            </w:r>
          </w:p>
        </w:tc>
      </w:tr>
      <w:tr w:rsidR="006428D8" w:rsidRPr="00882085" w14:paraId="11EAACA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C9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C99"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C9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C9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00" w:type="dxa"/>
            <w:tcBorders>
              <w:top w:val="nil"/>
              <w:left w:val="nil"/>
              <w:bottom w:val="single" w:sz="4" w:space="0" w:color="auto"/>
              <w:right w:val="single" w:sz="4" w:space="0" w:color="auto"/>
            </w:tcBorders>
            <w:shd w:val="clear" w:color="auto" w:fill="auto"/>
            <w:noWrap/>
            <w:vAlign w:val="center"/>
            <w:hideMark/>
          </w:tcPr>
          <w:p w14:paraId="11EAAC9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600" w:type="dxa"/>
            <w:tcBorders>
              <w:top w:val="nil"/>
              <w:left w:val="nil"/>
              <w:bottom w:val="single" w:sz="4" w:space="0" w:color="auto"/>
              <w:right w:val="single" w:sz="4" w:space="0" w:color="auto"/>
            </w:tcBorders>
            <w:shd w:val="clear" w:color="auto" w:fill="auto"/>
            <w:noWrap/>
            <w:vAlign w:val="center"/>
            <w:hideMark/>
          </w:tcPr>
          <w:p w14:paraId="11EAAC9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00" w:type="dxa"/>
            <w:tcBorders>
              <w:top w:val="nil"/>
              <w:left w:val="nil"/>
              <w:bottom w:val="single" w:sz="4" w:space="0" w:color="auto"/>
              <w:right w:val="single" w:sz="4" w:space="0" w:color="auto"/>
            </w:tcBorders>
            <w:shd w:val="clear" w:color="auto" w:fill="auto"/>
            <w:noWrap/>
            <w:vAlign w:val="center"/>
            <w:hideMark/>
          </w:tcPr>
          <w:p w14:paraId="11EAAC9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C9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0.56</w:t>
            </w:r>
          </w:p>
        </w:tc>
        <w:tc>
          <w:tcPr>
            <w:tcW w:w="767" w:type="dxa"/>
            <w:tcBorders>
              <w:top w:val="nil"/>
              <w:left w:val="nil"/>
              <w:bottom w:val="single" w:sz="4" w:space="0" w:color="auto"/>
              <w:right w:val="single" w:sz="4" w:space="0" w:color="auto"/>
            </w:tcBorders>
            <w:shd w:val="clear" w:color="auto" w:fill="auto"/>
            <w:noWrap/>
            <w:vAlign w:val="center"/>
            <w:hideMark/>
          </w:tcPr>
          <w:p w14:paraId="11EAACA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CA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CA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425" w:type="dxa"/>
            <w:tcBorders>
              <w:top w:val="nil"/>
              <w:left w:val="nil"/>
              <w:bottom w:val="single" w:sz="4" w:space="0" w:color="auto"/>
              <w:right w:val="single" w:sz="4" w:space="0" w:color="auto"/>
            </w:tcBorders>
            <w:shd w:val="clear" w:color="auto" w:fill="auto"/>
            <w:noWrap/>
            <w:vAlign w:val="center"/>
            <w:hideMark/>
          </w:tcPr>
          <w:p w14:paraId="11EAACA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A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A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CA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73" w:type="dxa"/>
            <w:tcBorders>
              <w:top w:val="nil"/>
              <w:left w:val="nil"/>
              <w:bottom w:val="single" w:sz="4" w:space="0" w:color="auto"/>
              <w:right w:val="single" w:sz="4" w:space="0" w:color="auto"/>
            </w:tcBorders>
            <w:shd w:val="clear" w:color="auto" w:fill="auto"/>
            <w:noWrap/>
            <w:vAlign w:val="center"/>
            <w:hideMark/>
          </w:tcPr>
          <w:p w14:paraId="11EAACA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CA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CA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A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r>
      <w:tr w:rsidR="006428D8" w:rsidRPr="00882085" w14:paraId="11EAACB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CA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CAD"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Snapper South</w:t>
            </w:r>
          </w:p>
        </w:tc>
        <w:tc>
          <w:tcPr>
            <w:tcW w:w="500" w:type="dxa"/>
            <w:tcBorders>
              <w:top w:val="nil"/>
              <w:left w:val="nil"/>
              <w:bottom w:val="single" w:sz="4" w:space="0" w:color="auto"/>
              <w:right w:val="single" w:sz="4" w:space="0" w:color="auto"/>
            </w:tcBorders>
            <w:shd w:val="clear" w:color="auto" w:fill="auto"/>
            <w:noWrap/>
            <w:vAlign w:val="center"/>
            <w:hideMark/>
          </w:tcPr>
          <w:p w14:paraId="11EAACA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CA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1.88</w:t>
            </w:r>
          </w:p>
        </w:tc>
        <w:tc>
          <w:tcPr>
            <w:tcW w:w="600" w:type="dxa"/>
            <w:tcBorders>
              <w:top w:val="nil"/>
              <w:left w:val="nil"/>
              <w:bottom w:val="single" w:sz="4" w:space="0" w:color="auto"/>
              <w:right w:val="single" w:sz="4" w:space="0" w:color="auto"/>
            </w:tcBorders>
            <w:shd w:val="clear" w:color="auto" w:fill="auto"/>
            <w:noWrap/>
            <w:vAlign w:val="center"/>
            <w:hideMark/>
          </w:tcPr>
          <w:p w14:paraId="11EAACB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CB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0.38</w:t>
            </w:r>
          </w:p>
        </w:tc>
        <w:tc>
          <w:tcPr>
            <w:tcW w:w="600" w:type="dxa"/>
            <w:tcBorders>
              <w:top w:val="nil"/>
              <w:left w:val="nil"/>
              <w:bottom w:val="single" w:sz="4" w:space="0" w:color="auto"/>
              <w:right w:val="single" w:sz="4" w:space="0" w:color="auto"/>
            </w:tcBorders>
            <w:shd w:val="clear" w:color="auto" w:fill="auto"/>
            <w:noWrap/>
            <w:vAlign w:val="center"/>
            <w:hideMark/>
          </w:tcPr>
          <w:p w14:paraId="11EAACB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CB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2.13</w:t>
            </w:r>
          </w:p>
        </w:tc>
        <w:tc>
          <w:tcPr>
            <w:tcW w:w="767" w:type="dxa"/>
            <w:tcBorders>
              <w:top w:val="nil"/>
              <w:left w:val="nil"/>
              <w:bottom w:val="single" w:sz="4" w:space="0" w:color="auto"/>
              <w:right w:val="single" w:sz="4" w:space="0" w:color="auto"/>
            </w:tcBorders>
            <w:shd w:val="clear" w:color="auto" w:fill="auto"/>
            <w:noWrap/>
            <w:vAlign w:val="center"/>
            <w:hideMark/>
          </w:tcPr>
          <w:p w14:paraId="11EAACB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CB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CB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425" w:type="dxa"/>
            <w:tcBorders>
              <w:top w:val="nil"/>
              <w:left w:val="nil"/>
              <w:bottom w:val="single" w:sz="4" w:space="0" w:color="auto"/>
              <w:right w:val="single" w:sz="4" w:space="0" w:color="auto"/>
            </w:tcBorders>
            <w:shd w:val="clear" w:color="auto" w:fill="auto"/>
            <w:noWrap/>
            <w:vAlign w:val="center"/>
            <w:hideMark/>
          </w:tcPr>
          <w:p w14:paraId="11EAACB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B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B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CB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B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CB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CB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BE"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CD3"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CC0"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CC1"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CC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CC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7.13</w:t>
            </w:r>
          </w:p>
        </w:tc>
        <w:tc>
          <w:tcPr>
            <w:tcW w:w="600" w:type="dxa"/>
            <w:tcBorders>
              <w:top w:val="nil"/>
              <w:left w:val="nil"/>
              <w:bottom w:val="single" w:sz="4" w:space="0" w:color="auto"/>
              <w:right w:val="single" w:sz="4" w:space="0" w:color="auto"/>
            </w:tcBorders>
            <w:shd w:val="clear" w:color="auto" w:fill="auto"/>
            <w:noWrap/>
            <w:vAlign w:val="center"/>
            <w:hideMark/>
          </w:tcPr>
          <w:p w14:paraId="11EAACC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00" w:type="dxa"/>
            <w:tcBorders>
              <w:top w:val="nil"/>
              <w:left w:val="nil"/>
              <w:bottom w:val="single" w:sz="4" w:space="0" w:color="auto"/>
              <w:right w:val="single" w:sz="4" w:space="0" w:color="auto"/>
            </w:tcBorders>
            <w:shd w:val="clear" w:color="auto" w:fill="auto"/>
            <w:noWrap/>
            <w:vAlign w:val="center"/>
            <w:hideMark/>
          </w:tcPr>
          <w:p w14:paraId="11EAACC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1.19</w:t>
            </w:r>
          </w:p>
        </w:tc>
        <w:tc>
          <w:tcPr>
            <w:tcW w:w="600" w:type="dxa"/>
            <w:tcBorders>
              <w:top w:val="nil"/>
              <w:left w:val="nil"/>
              <w:bottom w:val="single" w:sz="4" w:space="0" w:color="auto"/>
              <w:right w:val="single" w:sz="4" w:space="0" w:color="auto"/>
            </w:tcBorders>
            <w:shd w:val="clear" w:color="auto" w:fill="auto"/>
            <w:noWrap/>
            <w:vAlign w:val="center"/>
            <w:hideMark/>
          </w:tcPr>
          <w:p w14:paraId="11EAACC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CC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5.69</w:t>
            </w:r>
          </w:p>
        </w:tc>
        <w:tc>
          <w:tcPr>
            <w:tcW w:w="767" w:type="dxa"/>
            <w:tcBorders>
              <w:top w:val="nil"/>
              <w:left w:val="nil"/>
              <w:bottom w:val="single" w:sz="4" w:space="0" w:color="auto"/>
              <w:right w:val="single" w:sz="4" w:space="0" w:color="auto"/>
            </w:tcBorders>
            <w:shd w:val="clear" w:color="auto" w:fill="auto"/>
            <w:noWrap/>
            <w:vAlign w:val="center"/>
            <w:hideMark/>
          </w:tcPr>
          <w:p w14:paraId="11EAACC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CC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CC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425" w:type="dxa"/>
            <w:tcBorders>
              <w:top w:val="nil"/>
              <w:left w:val="nil"/>
              <w:bottom w:val="single" w:sz="4" w:space="0" w:color="auto"/>
              <w:right w:val="single" w:sz="4" w:space="0" w:color="auto"/>
            </w:tcBorders>
            <w:shd w:val="clear" w:color="auto" w:fill="auto"/>
            <w:noWrap/>
            <w:vAlign w:val="center"/>
            <w:hideMark/>
          </w:tcPr>
          <w:p w14:paraId="11EAACC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C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C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CC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0.75</w:t>
            </w:r>
          </w:p>
        </w:tc>
        <w:tc>
          <w:tcPr>
            <w:tcW w:w="673" w:type="dxa"/>
            <w:tcBorders>
              <w:top w:val="nil"/>
              <w:left w:val="nil"/>
              <w:bottom w:val="single" w:sz="4" w:space="0" w:color="auto"/>
              <w:right w:val="single" w:sz="4" w:space="0" w:color="auto"/>
            </w:tcBorders>
            <w:shd w:val="clear" w:color="auto" w:fill="auto"/>
            <w:noWrap/>
            <w:vAlign w:val="center"/>
            <w:hideMark/>
          </w:tcPr>
          <w:p w14:paraId="11EAACC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CD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CD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D2"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CE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CD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tcBorders>
              <w:top w:val="nil"/>
              <w:left w:val="nil"/>
              <w:bottom w:val="single" w:sz="4" w:space="0" w:color="auto"/>
              <w:right w:val="single" w:sz="4" w:space="0" w:color="auto"/>
            </w:tcBorders>
            <w:shd w:val="clear" w:color="auto" w:fill="auto"/>
            <w:noWrap/>
            <w:vAlign w:val="center"/>
            <w:hideMark/>
          </w:tcPr>
          <w:p w14:paraId="11EAACD5"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Low Isles</w:t>
            </w:r>
          </w:p>
        </w:tc>
        <w:tc>
          <w:tcPr>
            <w:tcW w:w="500" w:type="dxa"/>
            <w:tcBorders>
              <w:top w:val="nil"/>
              <w:left w:val="nil"/>
              <w:bottom w:val="single" w:sz="4" w:space="0" w:color="auto"/>
              <w:right w:val="single" w:sz="4" w:space="0" w:color="auto"/>
            </w:tcBorders>
            <w:shd w:val="clear" w:color="auto" w:fill="auto"/>
            <w:noWrap/>
            <w:vAlign w:val="center"/>
            <w:hideMark/>
          </w:tcPr>
          <w:p w14:paraId="11EAACD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CD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0.07</w:t>
            </w:r>
          </w:p>
        </w:tc>
        <w:tc>
          <w:tcPr>
            <w:tcW w:w="600" w:type="dxa"/>
            <w:tcBorders>
              <w:top w:val="nil"/>
              <w:left w:val="nil"/>
              <w:bottom w:val="single" w:sz="4" w:space="0" w:color="auto"/>
              <w:right w:val="single" w:sz="4" w:space="0" w:color="auto"/>
            </w:tcBorders>
            <w:shd w:val="clear" w:color="auto" w:fill="auto"/>
            <w:noWrap/>
            <w:vAlign w:val="center"/>
            <w:hideMark/>
          </w:tcPr>
          <w:p w14:paraId="11EAACD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CD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CD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CD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0.43</w:t>
            </w:r>
          </w:p>
        </w:tc>
        <w:tc>
          <w:tcPr>
            <w:tcW w:w="767" w:type="dxa"/>
            <w:tcBorders>
              <w:top w:val="nil"/>
              <w:left w:val="nil"/>
              <w:bottom w:val="single" w:sz="4" w:space="0" w:color="auto"/>
              <w:right w:val="single" w:sz="4" w:space="0" w:color="auto"/>
            </w:tcBorders>
            <w:shd w:val="clear" w:color="auto" w:fill="auto"/>
            <w:noWrap/>
            <w:vAlign w:val="center"/>
            <w:hideMark/>
          </w:tcPr>
          <w:p w14:paraId="11EAACD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CD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CD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0.07</w:t>
            </w:r>
          </w:p>
        </w:tc>
        <w:tc>
          <w:tcPr>
            <w:tcW w:w="425" w:type="dxa"/>
            <w:tcBorders>
              <w:top w:val="nil"/>
              <w:left w:val="nil"/>
              <w:bottom w:val="single" w:sz="4" w:space="0" w:color="auto"/>
              <w:right w:val="single" w:sz="4" w:space="0" w:color="auto"/>
            </w:tcBorders>
            <w:shd w:val="clear" w:color="auto" w:fill="auto"/>
            <w:noWrap/>
            <w:vAlign w:val="center"/>
            <w:hideMark/>
          </w:tcPr>
          <w:p w14:paraId="11EAACD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E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E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CE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E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CE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CE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E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r>
      <w:tr w:rsidR="006428D8" w:rsidRPr="00882085" w14:paraId="11EAACFB" w14:textId="77777777" w:rsidTr="00184C63">
        <w:trPr>
          <w:trHeight w:val="340"/>
        </w:trPr>
        <w:tc>
          <w:tcPr>
            <w:tcW w:w="704"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ACE8"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Johnstone</w:t>
            </w:r>
          </w:p>
        </w:tc>
        <w:tc>
          <w:tcPr>
            <w:tcW w:w="1768" w:type="dxa"/>
            <w:tcBorders>
              <w:top w:val="nil"/>
              <w:left w:val="nil"/>
              <w:bottom w:val="single" w:sz="4" w:space="0" w:color="auto"/>
              <w:right w:val="single" w:sz="4" w:space="0" w:color="auto"/>
            </w:tcBorders>
            <w:shd w:val="clear" w:color="auto" w:fill="auto"/>
            <w:noWrap/>
            <w:vAlign w:val="center"/>
            <w:hideMark/>
          </w:tcPr>
          <w:p w14:paraId="11EAACE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Green</w:t>
            </w:r>
          </w:p>
        </w:tc>
        <w:tc>
          <w:tcPr>
            <w:tcW w:w="500" w:type="dxa"/>
            <w:tcBorders>
              <w:top w:val="nil"/>
              <w:left w:val="nil"/>
              <w:bottom w:val="single" w:sz="4" w:space="0" w:color="auto"/>
              <w:right w:val="single" w:sz="4" w:space="0" w:color="auto"/>
            </w:tcBorders>
            <w:shd w:val="clear" w:color="auto" w:fill="auto"/>
            <w:noWrap/>
            <w:vAlign w:val="center"/>
            <w:hideMark/>
          </w:tcPr>
          <w:p w14:paraId="11EAACE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CE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CE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CE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0.05</w:t>
            </w:r>
          </w:p>
        </w:tc>
        <w:tc>
          <w:tcPr>
            <w:tcW w:w="600" w:type="dxa"/>
            <w:tcBorders>
              <w:top w:val="nil"/>
              <w:left w:val="nil"/>
              <w:bottom w:val="single" w:sz="4" w:space="0" w:color="auto"/>
              <w:right w:val="single" w:sz="4" w:space="0" w:color="auto"/>
            </w:tcBorders>
            <w:shd w:val="clear" w:color="auto" w:fill="auto"/>
            <w:noWrap/>
            <w:vAlign w:val="center"/>
            <w:hideMark/>
          </w:tcPr>
          <w:p w14:paraId="11EAACE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CE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4.90</w:t>
            </w:r>
          </w:p>
        </w:tc>
        <w:tc>
          <w:tcPr>
            <w:tcW w:w="767" w:type="dxa"/>
            <w:tcBorders>
              <w:top w:val="nil"/>
              <w:left w:val="nil"/>
              <w:bottom w:val="single" w:sz="4" w:space="0" w:color="auto"/>
              <w:right w:val="single" w:sz="4" w:space="0" w:color="auto"/>
            </w:tcBorders>
            <w:shd w:val="clear" w:color="auto" w:fill="auto"/>
            <w:noWrap/>
            <w:vAlign w:val="center"/>
            <w:hideMark/>
          </w:tcPr>
          <w:p w14:paraId="11EAACF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CF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0.90</w:t>
            </w:r>
          </w:p>
        </w:tc>
        <w:tc>
          <w:tcPr>
            <w:tcW w:w="859" w:type="dxa"/>
            <w:tcBorders>
              <w:top w:val="nil"/>
              <w:left w:val="nil"/>
              <w:bottom w:val="single" w:sz="4" w:space="0" w:color="auto"/>
              <w:right w:val="single" w:sz="4" w:space="0" w:color="auto"/>
            </w:tcBorders>
            <w:shd w:val="clear" w:color="auto" w:fill="auto"/>
            <w:noWrap/>
            <w:vAlign w:val="center"/>
            <w:hideMark/>
          </w:tcPr>
          <w:p w14:paraId="11EAACF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0.20</w:t>
            </w:r>
          </w:p>
        </w:tc>
        <w:tc>
          <w:tcPr>
            <w:tcW w:w="425" w:type="dxa"/>
            <w:tcBorders>
              <w:top w:val="nil"/>
              <w:left w:val="nil"/>
              <w:bottom w:val="single" w:sz="4" w:space="0" w:color="auto"/>
              <w:right w:val="single" w:sz="4" w:space="0" w:color="auto"/>
            </w:tcBorders>
            <w:shd w:val="clear" w:color="auto" w:fill="auto"/>
            <w:noWrap/>
            <w:vAlign w:val="center"/>
            <w:hideMark/>
          </w:tcPr>
          <w:p w14:paraId="11EAACF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F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F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CF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F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CF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CF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CF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0.75</w:t>
            </w:r>
          </w:p>
        </w:tc>
      </w:tr>
      <w:tr w:rsidR="006428D8" w:rsidRPr="00882085" w14:paraId="11EAAD0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CF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tcBorders>
              <w:top w:val="nil"/>
              <w:left w:val="nil"/>
              <w:bottom w:val="single" w:sz="4" w:space="0" w:color="auto"/>
              <w:right w:val="single" w:sz="4" w:space="0" w:color="auto"/>
            </w:tcBorders>
            <w:shd w:val="clear" w:color="auto" w:fill="auto"/>
            <w:noWrap/>
            <w:vAlign w:val="center"/>
            <w:hideMark/>
          </w:tcPr>
          <w:p w14:paraId="11EAACFD"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Fitzroy West LTMP</w:t>
            </w:r>
          </w:p>
        </w:tc>
        <w:tc>
          <w:tcPr>
            <w:tcW w:w="500" w:type="dxa"/>
            <w:tcBorders>
              <w:top w:val="nil"/>
              <w:left w:val="nil"/>
              <w:bottom w:val="single" w:sz="4" w:space="0" w:color="auto"/>
              <w:right w:val="single" w:sz="4" w:space="0" w:color="auto"/>
            </w:tcBorders>
            <w:shd w:val="clear" w:color="auto" w:fill="auto"/>
            <w:noWrap/>
            <w:vAlign w:val="center"/>
            <w:hideMark/>
          </w:tcPr>
          <w:p w14:paraId="11EAACF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CF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0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0.10</w:t>
            </w:r>
          </w:p>
        </w:tc>
        <w:tc>
          <w:tcPr>
            <w:tcW w:w="600" w:type="dxa"/>
            <w:tcBorders>
              <w:top w:val="nil"/>
              <w:left w:val="nil"/>
              <w:bottom w:val="single" w:sz="4" w:space="0" w:color="auto"/>
              <w:right w:val="single" w:sz="4" w:space="0" w:color="auto"/>
            </w:tcBorders>
            <w:shd w:val="clear" w:color="auto" w:fill="auto"/>
            <w:noWrap/>
            <w:vAlign w:val="center"/>
            <w:hideMark/>
          </w:tcPr>
          <w:p w14:paraId="11EAAD0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0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D0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0.50</w:t>
            </w:r>
          </w:p>
        </w:tc>
        <w:tc>
          <w:tcPr>
            <w:tcW w:w="767" w:type="dxa"/>
            <w:tcBorders>
              <w:top w:val="nil"/>
              <w:left w:val="nil"/>
              <w:bottom w:val="single" w:sz="4" w:space="0" w:color="auto"/>
              <w:right w:val="single" w:sz="4" w:space="0" w:color="auto"/>
            </w:tcBorders>
            <w:shd w:val="clear" w:color="auto" w:fill="auto"/>
            <w:noWrap/>
            <w:vAlign w:val="center"/>
            <w:hideMark/>
          </w:tcPr>
          <w:p w14:paraId="11EAAD0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D0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D0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0.10</w:t>
            </w:r>
          </w:p>
        </w:tc>
        <w:tc>
          <w:tcPr>
            <w:tcW w:w="425" w:type="dxa"/>
            <w:tcBorders>
              <w:top w:val="nil"/>
              <w:left w:val="nil"/>
              <w:bottom w:val="single" w:sz="4" w:space="0" w:color="auto"/>
              <w:right w:val="single" w:sz="4" w:space="0" w:color="auto"/>
            </w:tcBorders>
            <w:shd w:val="clear" w:color="auto" w:fill="auto"/>
            <w:noWrap/>
            <w:vAlign w:val="center"/>
            <w:hideMark/>
          </w:tcPr>
          <w:p w14:paraId="11EAAD0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0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0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0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0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0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0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0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0.50</w:t>
            </w:r>
          </w:p>
        </w:tc>
      </w:tr>
      <w:tr w:rsidR="006428D8" w:rsidRPr="00882085" w14:paraId="11EAAD23"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D10"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D1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Fitzroy East</w:t>
            </w:r>
          </w:p>
        </w:tc>
        <w:tc>
          <w:tcPr>
            <w:tcW w:w="500" w:type="dxa"/>
            <w:tcBorders>
              <w:top w:val="nil"/>
              <w:left w:val="nil"/>
              <w:bottom w:val="single" w:sz="4" w:space="0" w:color="auto"/>
              <w:right w:val="single" w:sz="4" w:space="0" w:color="auto"/>
            </w:tcBorders>
            <w:shd w:val="clear" w:color="auto" w:fill="auto"/>
            <w:noWrap/>
            <w:vAlign w:val="center"/>
            <w:hideMark/>
          </w:tcPr>
          <w:p w14:paraId="11EAAD1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D1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1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600" w:type="dxa"/>
            <w:tcBorders>
              <w:top w:val="nil"/>
              <w:left w:val="nil"/>
              <w:bottom w:val="single" w:sz="4" w:space="0" w:color="auto"/>
              <w:right w:val="single" w:sz="4" w:space="0" w:color="auto"/>
            </w:tcBorders>
            <w:shd w:val="clear" w:color="auto" w:fill="auto"/>
            <w:noWrap/>
            <w:vAlign w:val="center"/>
            <w:hideMark/>
          </w:tcPr>
          <w:p w14:paraId="11EAAD1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1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D1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0.63</w:t>
            </w:r>
          </w:p>
        </w:tc>
        <w:tc>
          <w:tcPr>
            <w:tcW w:w="767" w:type="dxa"/>
            <w:tcBorders>
              <w:top w:val="nil"/>
              <w:left w:val="nil"/>
              <w:bottom w:val="single" w:sz="4" w:space="0" w:color="auto"/>
              <w:right w:val="single" w:sz="4" w:space="0" w:color="auto"/>
            </w:tcBorders>
            <w:shd w:val="clear" w:color="auto" w:fill="auto"/>
            <w:noWrap/>
            <w:vAlign w:val="center"/>
            <w:hideMark/>
          </w:tcPr>
          <w:p w14:paraId="11EAAD1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D1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D1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425" w:type="dxa"/>
            <w:tcBorders>
              <w:top w:val="nil"/>
              <w:left w:val="nil"/>
              <w:bottom w:val="single" w:sz="4" w:space="0" w:color="auto"/>
              <w:right w:val="single" w:sz="4" w:space="0" w:color="auto"/>
            </w:tcBorders>
            <w:shd w:val="clear" w:color="auto" w:fill="auto"/>
            <w:noWrap/>
            <w:vAlign w:val="center"/>
            <w:hideMark/>
          </w:tcPr>
          <w:p w14:paraId="11EAAD1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1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1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1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1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2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2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22"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D3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D2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D25"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D2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D2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2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0.44</w:t>
            </w:r>
          </w:p>
        </w:tc>
        <w:tc>
          <w:tcPr>
            <w:tcW w:w="600" w:type="dxa"/>
            <w:tcBorders>
              <w:top w:val="nil"/>
              <w:left w:val="nil"/>
              <w:bottom w:val="single" w:sz="4" w:space="0" w:color="auto"/>
              <w:right w:val="single" w:sz="4" w:space="0" w:color="auto"/>
            </w:tcBorders>
            <w:shd w:val="clear" w:color="auto" w:fill="auto"/>
            <w:noWrap/>
            <w:vAlign w:val="center"/>
            <w:hideMark/>
          </w:tcPr>
          <w:p w14:paraId="11EAAD2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2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D2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0.56</w:t>
            </w:r>
          </w:p>
        </w:tc>
        <w:tc>
          <w:tcPr>
            <w:tcW w:w="767" w:type="dxa"/>
            <w:tcBorders>
              <w:top w:val="nil"/>
              <w:left w:val="nil"/>
              <w:bottom w:val="single" w:sz="4" w:space="0" w:color="auto"/>
              <w:right w:val="single" w:sz="4" w:space="0" w:color="auto"/>
            </w:tcBorders>
            <w:shd w:val="clear" w:color="auto" w:fill="auto"/>
            <w:noWrap/>
            <w:vAlign w:val="center"/>
            <w:hideMark/>
          </w:tcPr>
          <w:p w14:paraId="11EAAD2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D2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D2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D2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3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3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3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3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3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3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36"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D4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D3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D3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Fitzroy West</w:t>
            </w:r>
          </w:p>
        </w:tc>
        <w:tc>
          <w:tcPr>
            <w:tcW w:w="500" w:type="dxa"/>
            <w:tcBorders>
              <w:top w:val="nil"/>
              <w:left w:val="nil"/>
              <w:bottom w:val="single" w:sz="4" w:space="0" w:color="auto"/>
              <w:right w:val="single" w:sz="4" w:space="0" w:color="auto"/>
            </w:tcBorders>
            <w:shd w:val="clear" w:color="auto" w:fill="auto"/>
            <w:noWrap/>
            <w:vAlign w:val="center"/>
            <w:hideMark/>
          </w:tcPr>
          <w:p w14:paraId="11EAAD3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D3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00" w:type="dxa"/>
            <w:tcBorders>
              <w:top w:val="nil"/>
              <w:left w:val="nil"/>
              <w:bottom w:val="single" w:sz="4" w:space="0" w:color="auto"/>
              <w:right w:val="single" w:sz="4" w:space="0" w:color="auto"/>
            </w:tcBorders>
            <w:shd w:val="clear" w:color="auto" w:fill="auto"/>
            <w:noWrap/>
            <w:vAlign w:val="center"/>
            <w:hideMark/>
          </w:tcPr>
          <w:p w14:paraId="11EAAD3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00" w:type="dxa"/>
            <w:tcBorders>
              <w:top w:val="nil"/>
              <w:left w:val="nil"/>
              <w:bottom w:val="single" w:sz="4" w:space="0" w:color="auto"/>
              <w:right w:val="single" w:sz="4" w:space="0" w:color="auto"/>
            </w:tcBorders>
            <w:shd w:val="clear" w:color="auto" w:fill="auto"/>
            <w:noWrap/>
            <w:vAlign w:val="center"/>
            <w:hideMark/>
          </w:tcPr>
          <w:p w14:paraId="11EAAD3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3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D3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0.31</w:t>
            </w:r>
          </w:p>
        </w:tc>
        <w:tc>
          <w:tcPr>
            <w:tcW w:w="767" w:type="dxa"/>
            <w:tcBorders>
              <w:top w:val="nil"/>
              <w:left w:val="nil"/>
              <w:bottom w:val="single" w:sz="4" w:space="0" w:color="auto"/>
              <w:right w:val="single" w:sz="4" w:space="0" w:color="auto"/>
            </w:tcBorders>
            <w:shd w:val="clear" w:color="auto" w:fill="auto"/>
            <w:noWrap/>
            <w:vAlign w:val="center"/>
            <w:hideMark/>
          </w:tcPr>
          <w:p w14:paraId="11EAAD4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D4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859" w:type="dxa"/>
            <w:tcBorders>
              <w:top w:val="nil"/>
              <w:left w:val="nil"/>
              <w:bottom w:val="single" w:sz="4" w:space="0" w:color="auto"/>
              <w:right w:val="single" w:sz="4" w:space="0" w:color="auto"/>
            </w:tcBorders>
            <w:shd w:val="clear" w:color="auto" w:fill="auto"/>
            <w:noWrap/>
            <w:vAlign w:val="center"/>
            <w:hideMark/>
          </w:tcPr>
          <w:p w14:paraId="11EAAD4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425" w:type="dxa"/>
            <w:tcBorders>
              <w:top w:val="nil"/>
              <w:left w:val="nil"/>
              <w:bottom w:val="single" w:sz="4" w:space="0" w:color="auto"/>
              <w:right w:val="single" w:sz="4" w:space="0" w:color="auto"/>
            </w:tcBorders>
            <w:shd w:val="clear" w:color="auto" w:fill="auto"/>
            <w:noWrap/>
            <w:vAlign w:val="center"/>
            <w:hideMark/>
          </w:tcPr>
          <w:p w14:paraId="11EAAD4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4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4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4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4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4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846" w:type="dxa"/>
            <w:tcBorders>
              <w:top w:val="nil"/>
              <w:left w:val="nil"/>
              <w:bottom w:val="single" w:sz="4" w:space="0" w:color="auto"/>
              <w:right w:val="single" w:sz="4" w:space="0" w:color="auto"/>
            </w:tcBorders>
            <w:shd w:val="clear" w:color="auto" w:fill="auto"/>
            <w:noWrap/>
            <w:vAlign w:val="center"/>
            <w:hideMark/>
          </w:tcPr>
          <w:p w14:paraId="11EAAD4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4A"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D5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D4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D4D"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D4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D4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00" w:type="dxa"/>
            <w:tcBorders>
              <w:top w:val="nil"/>
              <w:left w:val="nil"/>
              <w:bottom w:val="single" w:sz="4" w:space="0" w:color="auto"/>
              <w:right w:val="single" w:sz="4" w:space="0" w:color="auto"/>
            </w:tcBorders>
            <w:shd w:val="clear" w:color="auto" w:fill="auto"/>
            <w:noWrap/>
            <w:vAlign w:val="center"/>
            <w:hideMark/>
          </w:tcPr>
          <w:p w14:paraId="11EAAD5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0.31</w:t>
            </w:r>
          </w:p>
        </w:tc>
        <w:tc>
          <w:tcPr>
            <w:tcW w:w="600" w:type="dxa"/>
            <w:tcBorders>
              <w:top w:val="nil"/>
              <w:left w:val="nil"/>
              <w:bottom w:val="single" w:sz="4" w:space="0" w:color="auto"/>
              <w:right w:val="single" w:sz="4" w:space="0" w:color="auto"/>
            </w:tcBorders>
            <w:shd w:val="clear" w:color="auto" w:fill="auto"/>
            <w:noWrap/>
            <w:vAlign w:val="center"/>
            <w:hideMark/>
          </w:tcPr>
          <w:p w14:paraId="11EAAD5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5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D5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767" w:type="dxa"/>
            <w:tcBorders>
              <w:top w:val="nil"/>
              <w:left w:val="nil"/>
              <w:bottom w:val="single" w:sz="4" w:space="0" w:color="auto"/>
              <w:right w:val="single" w:sz="4" w:space="0" w:color="auto"/>
            </w:tcBorders>
            <w:shd w:val="clear" w:color="auto" w:fill="auto"/>
            <w:noWrap/>
            <w:vAlign w:val="center"/>
            <w:hideMark/>
          </w:tcPr>
          <w:p w14:paraId="11EAAD5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D5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859" w:type="dxa"/>
            <w:tcBorders>
              <w:top w:val="nil"/>
              <w:left w:val="nil"/>
              <w:bottom w:val="single" w:sz="4" w:space="0" w:color="auto"/>
              <w:right w:val="single" w:sz="4" w:space="0" w:color="auto"/>
            </w:tcBorders>
            <w:shd w:val="clear" w:color="auto" w:fill="auto"/>
            <w:noWrap/>
            <w:vAlign w:val="center"/>
            <w:hideMark/>
          </w:tcPr>
          <w:p w14:paraId="11EAAD5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D5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5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5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5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5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5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5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5E"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D73"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D60"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D6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Franklands East</w:t>
            </w:r>
          </w:p>
        </w:tc>
        <w:tc>
          <w:tcPr>
            <w:tcW w:w="500" w:type="dxa"/>
            <w:tcBorders>
              <w:top w:val="nil"/>
              <w:left w:val="nil"/>
              <w:bottom w:val="single" w:sz="4" w:space="0" w:color="auto"/>
              <w:right w:val="single" w:sz="4" w:space="0" w:color="auto"/>
            </w:tcBorders>
            <w:shd w:val="clear" w:color="auto" w:fill="auto"/>
            <w:noWrap/>
            <w:vAlign w:val="center"/>
            <w:hideMark/>
          </w:tcPr>
          <w:p w14:paraId="11EAAD6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D6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1.00</w:t>
            </w:r>
          </w:p>
        </w:tc>
        <w:tc>
          <w:tcPr>
            <w:tcW w:w="600" w:type="dxa"/>
            <w:tcBorders>
              <w:top w:val="nil"/>
              <w:left w:val="nil"/>
              <w:bottom w:val="single" w:sz="4" w:space="0" w:color="auto"/>
              <w:right w:val="single" w:sz="4" w:space="0" w:color="auto"/>
            </w:tcBorders>
            <w:shd w:val="clear" w:color="auto" w:fill="auto"/>
            <w:noWrap/>
            <w:vAlign w:val="center"/>
            <w:hideMark/>
          </w:tcPr>
          <w:p w14:paraId="11EAAD6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6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0.31</w:t>
            </w:r>
          </w:p>
        </w:tc>
        <w:tc>
          <w:tcPr>
            <w:tcW w:w="600" w:type="dxa"/>
            <w:tcBorders>
              <w:top w:val="nil"/>
              <w:left w:val="nil"/>
              <w:bottom w:val="single" w:sz="4" w:space="0" w:color="auto"/>
              <w:right w:val="single" w:sz="4" w:space="0" w:color="auto"/>
            </w:tcBorders>
            <w:shd w:val="clear" w:color="auto" w:fill="auto"/>
            <w:noWrap/>
            <w:vAlign w:val="center"/>
            <w:hideMark/>
          </w:tcPr>
          <w:p w14:paraId="11EAAD6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D6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1.38</w:t>
            </w:r>
          </w:p>
        </w:tc>
        <w:tc>
          <w:tcPr>
            <w:tcW w:w="767" w:type="dxa"/>
            <w:tcBorders>
              <w:top w:val="nil"/>
              <w:left w:val="nil"/>
              <w:bottom w:val="single" w:sz="4" w:space="0" w:color="auto"/>
              <w:right w:val="single" w:sz="4" w:space="0" w:color="auto"/>
            </w:tcBorders>
            <w:shd w:val="clear" w:color="auto" w:fill="auto"/>
            <w:noWrap/>
            <w:vAlign w:val="center"/>
            <w:hideMark/>
          </w:tcPr>
          <w:p w14:paraId="11EAAD6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0.75</w:t>
            </w:r>
          </w:p>
        </w:tc>
        <w:tc>
          <w:tcPr>
            <w:tcW w:w="610" w:type="dxa"/>
            <w:tcBorders>
              <w:top w:val="nil"/>
              <w:left w:val="nil"/>
              <w:bottom w:val="single" w:sz="4" w:space="0" w:color="auto"/>
              <w:right w:val="single" w:sz="4" w:space="0" w:color="auto"/>
            </w:tcBorders>
            <w:shd w:val="clear" w:color="auto" w:fill="auto"/>
            <w:noWrap/>
            <w:vAlign w:val="center"/>
            <w:hideMark/>
          </w:tcPr>
          <w:p w14:paraId="11EAAD6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0.50</w:t>
            </w:r>
          </w:p>
        </w:tc>
        <w:tc>
          <w:tcPr>
            <w:tcW w:w="859" w:type="dxa"/>
            <w:tcBorders>
              <w:top w:val="nil"/>
              <w:left w:val="nil"/>
              <w:bottom w:val="single" w:sz="4" w:space="0" w:color="auto"/>
              <w:right w:val="single" w:sz="4" w:space="0" w:color="auto"/>
            </w:tcBorders>
            <w:shd w:val="clear" w:color="auto" w:fill="auto"/>
            <w:noWrap/>
            <w:vAlign w:val="center"/>
            <w:hideMark/>
          </w:tcPr>
          <w:p w14:paraId="11EAAD6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425" w:type="dxa"/>
            <w:tcBorders>
              <w:top w:val="nil"/>
              <w:left w:val="nil"/>
              <w:bottom w:val="single" w:sz="4" w:space="0" w:color="auto"/>
              <w:right w:val="single" w:sz="4" w:space="0" w:color="auto"/>
            </w:tcBorders>
            <w:shd w:val="clear" w:color="auto" w:fill="auto"/>
            <w:noWrap/>
            <w:vAlign w:val="center"/>
            <w:hideMark/>
          </w:tcPr>
          <w:p w14:paraId="11EAAD6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6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6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6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6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7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7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72"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D8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D7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D75"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D7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D7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7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00" w:type="dxa"/>
            <w:tcBorders>
              <w:top w:val="nil"/>
              <w:left w:val="nil"/>
              <w:bottom w:val="single" w:sz="4" w:space="0" w:color="auto"/>
              <w:right w:val="single" w:sz="4" w:space="0" w:color="auto"/>
            </w:tcBorders>
            <w:shd w:val="clear" w:color="auto" w:fill="auto"/>
            <w:noWrap/>
            <w:vAlign w:val="center"/>
            <w:hideMark/>
          </w:tcPr>
          <w:p w14:paraId="11EAAD7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00" w:type="dxa"/>
            <w:tcBorders>
              <w:top w:val="nil"/>
              <w:left w:val="nil"/>
              <w:bottom w:val="single" w:sz="4" w:space="0" w:color="auto"/>
              <w:right w:val="single" w:sz="4" w:space="0" w:color="auto"/>
            </w:tcBorders>
            <w:shd w:val="clear" w:color="auto" w:fill="auto"/>
            <w:noWrap/>
            <w:vAlign w:val="center"/>
            <w:hideMark/>
          </w:tcPr>
          <w:p w14:paraId="11EAAD7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D7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0.81</w:t>
            </w:r>
          </w:p>
        </w:tc>
        <w:tc>
          <w:tcPr>
            <w:tcW w:w="767" w:type="dxa"/>
            <w:tcBorders>
              <w:top w:val="nil"/>
              <w:left w:val="nil"/>
              <w:bottom w:val="single" w:sz="4" w:space="0" w:color="auto"/>
              <w:right w:val="single" w:sz="4" w:space="0" w:color="auto"/>
            </w:tcBorders>
            <w:shd w:val="clear" w:color="auto" w:fill="auto"/>
            <w:noWrap/>
            <w:vAlign w:val="center"/>
            <w:hideMark/>
          </w:tcPr>
          <w:p w14:paraId="11EAAD7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3.69</w:t>
            </w:r>
          </w:p>
        </w:tc>
        <w:tc>
          <w:tcPr>
            <w:tcW w:w="610" w:type="dxa"/>
            <w:tcBorders>
              <w:top w:val="nil"/>
              <w:left w:val="nil"/>
              <w:bottom w:val="single" w:sz="4" w:space="0" w:color="auto"/>
              <w:right w:val="single" w:sz="4" w:space="0" w:color="auto"/>
            </w:tcBorders>
            <w:shd w:val="clear" w:color="auto" w:fill="auto"/>
            <w:noWrap/>
            <w:vAlign w:val="center"/>
            <w:hideMark/>
          </w:tcPr>
          <w:p w14:paraId="11EAAD7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D7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D7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8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8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8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73" w:type="dxa"/>
            <w:tcBorders>
              <w:top w:val="nil"/>
              <w:left w:val="nil"/>
              <w:bottom w:val="single" w:sz="4" w:space="0" w:color="auto"/>
              <w:right w:val="single" w:sz="4" w:space="0" w:color="auto"/>
            </w:tcBorders>
            <w:shd w:val="clear" w:color="auto" w:fill="auto"/>
            <w:noWrap/>
            <w:vAlign w:val="center"/>
            <w:hideMark/>
          </w:tcPr>
          <w:p w14:paraId="11EAAD8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8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846" w:type="dxa"/>
            <w:tcBorders>
              <w:top w:val="nil"/>
              <w:left w:val="nil"/>
              <w:bottom w:val="single" w:sz="4" w:space="0" w:color="auto"/>
              <w:right w:val="single" w:sz="4" w:space="0" w:color="auto"/>
            </w:tcBorders>
            <w:shd w:val="clear" w:color="auto" w:fill="auto"/>
            <w:noWrap/>
            <w:vAlign w:val="center"/>
            <w:hideMark/>
          </w:tcPr>
          <w:p w14:paraId="11EAAD8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8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r>
      <w:tr w:rsidR="006428D8" w:rsidRPr="00882085" w14:paraId="11EAAD9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D8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D8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Franklands West</w:t>
            </w:r>
          </w:p>
        </w:tc>
        <w:tc>
          <w:tcPr>
            <w:tcW w:w="500" w:type="dxa"/>
            <w:tcBorders>
              <w:top w:val="nil"/>
              <w:left w:val="nil"/>
              <w:bottom w:val="single" w:sz="4" w:space="0" w:color="auto"/>
              <w:right w:val="single" w:sz="4" w:space="0" w:color="auto"/>
            </w:tcBorders>
            <w:shd w:val="clear" w:color="auto" w:fill="auto"/>
            <w:noWrap/>
            <w:vAlign w:val="center"/>
            <w:hideMark/>
          </w:tcPr>
          <w:p w14:paraId="11EAAD8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D8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2.81</w:t>
            </w:r>
          </w:p>
        </w:tc>
        <w:tc>
          <w:tcPr>
            <w:tcW w:w="600" w:type="dxa"/>
            <w:tcBorders>
              <w:top w:val="nil"/>
              <w:left w:val="nil"/>
              <w:bottom w:val="single" w:sz="4" w:space="0" w:color="auto"/>
              <w:right w:val="single" w:sz="4" w:space="0" w:color="auto"/>
            </w:tcBorders>
            <w:shd w:val="clear" w:color="auto" w:fill="auto"/>
            <w:noWrap/>
            <w:vAlign w:val="center"/>
            <w:hideMark/>
          </w:tcPr>
          <w:p w14:paraId="11EAAD8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00" w:type="dxa"/>
            <w:tcBorders>
              <w:top w:val="nil"/>
              <w:left w:val="nil"/>
              <w:bottom w:val="single" w:sz="4" w:space="0" w:color="auto"/>
              <w:right w:val="single" w:sz="4" w:space="0" w:color="auto"/>
            </w:tcBorders>
            <w:shd w:val="clear" w:color="auto" w:fill="auto"/>
            <w:noWrap/>
            <w:vAlign w:val="center"/>
            <w:hideMark/>
          </w:tcPr>
          <w:p w14:paraId="11EAAD8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600" w:type="dxa"/>
            <w:tcBorders>
              <w:top w:val="nil"/>
              <w:left w:val="nil"/>
              <w:bottom w:val="single" w:sz="4" w:space="0" w:color="auto"/>
              <w:right w:val="single" w:sz="4" w:space="0" w:color="auto"/>
            </w:tcBorders>
            <w:shd w:val="clear" w:color="auto" w:fill="auto"/>
            <w:noWrap/>
            <w:vAlign w:val="center"/>
            <w:hideMark/>
          </w:tcPr>
          <w:p w14:paraId="11EAAD8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D8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3.13</w:t>
            </w:r>
          </w:p>
        </w:tc>
        <w:tc>
          <w:tcPr>
            <w:tcW w:w="767" w:type="dxa"/>
            <w:tcBorders>
              <w:top w:val="nil"/>
              <w:left w:val="nil"/>
              <w:bottom w:val="single" w:sz="4" w:space="0" w:color="auto"/>
              <w:right w:val="single" w:sz="4" w:space="0" w:color="auto"/>
            </w:tcBorders>
            <w:shd w:val="clear" w:color="auto" w:fill="auto"/>
            <w:noWrap/>
            <w:vAlign w:val="center"/>
            <w:hideMark/>
          </w:tcPr>
          <w:p w14:paraId="11EAAD9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D9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D9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D9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9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9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9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73" w:type="dxa"/>
            <w:tcBorders>
              <w:top w:val="nil"/>
              <w:left w:val="nil"/>
              <w:bottom w:val="single" w:sz="4" w:space="0" w:color="auto"/>
              <w:right w:val="single" w:sz="4" w:space="0" w:color="auto"/>
            </w:tcBorders>
            <w:shd w:val="clear" w:color="auto" w:fill="auto"/>
            <w:noWrap/>
            <w:vAlign w:val="center"/>
            <w:hideMark/>
          </w:tcPr>
          <w:p w14:paraId="11EAAD9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9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9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9A"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DA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D9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D9D"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D9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D9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600" w:type="dxa"/>
            <w:tcBorders>
              <w:top w:val="nil"/>
              <w:left w:val="nil"/>
              <w:bottom w:val="single" w:sz="4" w:space="0" w:color="auto"/>
              <w:right w:val="single" w:sz="4" w:space="0" w:color="auto"/>
            </w:tcBorders>
            <w:shd w:val="clear" w:color="auto" w:fill="auto"/>
            <w:noWrap/>
            <w:vAlign w:val="center"/>
            <w:hideMark/>
          </w:tcPr>
          <w:p w14:paraId="11EAADA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0.56</w:t>
            </w:r>
          </w:p>
        </w:tc>
        <w:tc>
          <w:tcPr>
            <w:tcW w:w="600" w:type="dxa"/>
            <w:tcBorders>
              <w:top w:val="nil"/>
              <w:left w:val="nil"/>
              <w:bottom w:val="single" w:sz="4" w:space="0" w:color="auto"/>
              <w:right w:val="single" w:sz="4" w:space="0" w:color="auto"/>
            </w:tcBorders>
            <w:shd w:val="clear" w:color="auto" w:fill="auto"/>
            <w:noWrap/>
            <w:vAlign w:val="center"/>
            <w:hideMark/>
          </w:tcPr>
          <w:p w14:paraId="11EAADA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600" w:type="dxa"/>
            <w:tcBorders>
              <w:top w:val="nil"/>
              <w:left w:val="nil"/>
              <w:bottom w:val="single" w:sz="4" w:space="0" w:color="auto"/>
              <w:right w:val="single" w:sz="4" w:space="0" w:color="auto"/>
            </w:tcBorders>
            <w:shd w:val="clear" w:color="auto" w:fill="auto"/>
            <w:noWrap/>
            <w:vAlign w:val="center"/>
            <w:hideMark/>
          </w:tcPr>
          <w:p w14:paraId="11EAADA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DA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7.31</w:t>
            </w:r>
          </w:p>
        </w:tc>
        <w:tc>
          <w:tcPr>
            <w:tcW w:w="767" w:type="dxa"/>
            <w:tcBorders>
              <w:top w:val="nil"/>
              <w:left w:val="nil"/>
              <w:bottom w:val="single" w:sz="4" w:space="0" w:color="auto"/>
              <w:right w:val="single" w:sz="4" w:space="0" w:color="auto"/>
            </w:tcBorders>
            <w:shd w:val="clear" w:color="auto" w:fill="auto"/>
            <w:noWrap/>
            <w:vAlign w:val="center"/>
            <w:hideMark/>
          </w:tcPr>
          <w:p w14:paraId="11EAADA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DA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DA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425" w:type="dxa"/>
            <w:tcBorders>
              <w:top w:val="nil"/>
              <w:left w:val="nil"/>
              <w:bottom w:val="single" w:sz="4" w:space="0" w:color="auto"/>
              <w:right w:val="single" w:sz="4" w:space="0" w:color="auto"/>
            </w:tcBorders>
            <w:shd w:val="clear" w:color="auto" w:fill="auto"/>
            <w:noWrap/>
            <w:vAlign w:val="center"/>
            <w:hideMark/>
          </w:tcPr>
          <w:p w14:paraId="11EAADA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A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A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A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A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A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A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AE"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DC3"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DB0"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DB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High East</w:t>
            </w:r>
          </w:p>
        </w:tc>
        <w:tc>
          <w:tcPr>
            <w:tcW w:w="500" w:type="dxa"/>
            <w:tcBorders>
              <w:top w:val="nil"/>
              <w:left w:val="nil"/>
              <w:bottom w:val="single" w:sz="4" w:space="0" w:color="auto"/>
              <w:right w:val="single" w:sz="4" w:space="0" w:color="auto"/>
            </w:tcBorders>
            <w:shd w:val="clear" w:color="auto" w:fill="auto"/>
            <w:noWrap/>
            <w:vAlign w:val="center"/>
            <w:hideMark/>
          </w:tcPr>
          <w:p w14:paraId="11EAADB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DB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00" w:type="dxa"/>
            <w:tcBorders>
              <w:top w:val="nil"/>
              <w:left w:val="nil"/>
              <w:bottom w:val="single" w:sz="4" w:space="0" w:color="auto"/>
              <w:right w:val="single" w:sz="4" w:space="0" w:color="auto"/>
            </w:tcBorders>
            <w:shd w:val="clear" w:color="auto" w:fill="auto"/>
            <w:noWrap/>
            <w:vAlign w:val="center"/>
            <w:hideMark/>
          </w:tcPr>
          <w:p w14:paraId="11EAADB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B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B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DB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767" w:type="dxa"/>
            <w:tcBorders>
              <w:top w:val="nil"/>
              <w:left w:val="nil"/>
              <w:bottom w:val="single" w:sz="4" w:space="0" w:color="auto"/>
              <w:right w:val="single" w:sz="4" w:space="0" w:color="auto"/>
            </w:tcBorders>
            <w:shd w:val="clear" w:color="auto" w:fill="auto"/>
            <w:noWrap/>
            <w:vAlign w:val="center"/>
            <w:hideMark/>
          </w:tcPr>
          <w:p w14:paraId="11EAADB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DB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DB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425" w:type="dxa"/>
            <w:tcBorders>
              <w:top w:val="nil"/>
              <w:left w:val="nil"/>
              <w:bottom w:val="single" w:sz="4" w:space="0" w:color="auto"/>
              <w:right w:val="single" w:sz="4" w:space="0" w:color="auto"/>
            </w:tcBorders>
            <w:shd w:val="clear" w:color="auto" w:fill="auto"/>
            <w:noWrap/>
            <w:vAlign w:val="center"/>
            <w:hideMark/>
          </w:tcPr>
          <w:p w14:paraId="11EAADB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B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B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B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B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C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C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C2"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DD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DC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DC5"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DC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DC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C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00" w:type="dxa"/>
            <w:tcBorders>
              <w:top w:val="nil"/>
              <w:left w:val="nil"/>
              <w:bottom w:val="single" w:sz="4" w:space="0" w:color="auto"/>
              <w:right w:val="single" w:sz="4" w:space="0" w:color="auto"/>
            </w:tcBorders>
            <w:shd w:val="clear" w:color="auto" w:fill="auto"/>
            <w:noWrap/>
            <w:vAlign w:val="center"/>
            <w:hideMark/>
          </w:tcPr>
          <w:p w14:paraId="11EAADC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C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DC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767" w:type="dxa"/>
            <w:tcBorders>
              <w:top w:val="nil"/>
              <w:left w:val="nil"/>
              <w:bottom w:val="single" w:sz="4" w:space="0" w:color="auto"/>
              <w:right w:val="single" w:sz="4" w:space="0" w:color="auto"/>
            </w:tcBorders>
            <w:shd w:val="clear" w:color="auto" w:fill="auto"/>
            <w:noWrap/>
            <w:vAlign w:val="center"/>
            <w:hideMark/>
          </w:tcPr>
          <w:p w14:paraId="11EAADC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DC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DC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425" w:type="dxa"/>
            <w:tcBorders>
              <w:top w:val="nil"/>
              <w:left w:val="nil"/>
              <w:bottom w:val="single" w:sz="4" w:space="0" w:color="auto"/>
              <w:right w:val="single" w:sz="4" w:space="0" w:color="auto"/>
            </w:tcBorders>
            <w:shd w:val="clear" w:color="auto" w:fill="auto"/>
            <w:noWrap/>
            <w:vAlign w:val="center"/>
            <w:hideMark/>
          </w:tcPr>
          <w:p w14:paraId="11EAADC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D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D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D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D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D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D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D6"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DE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DD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DD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High West</w:t>
            </w:r>
          </w:p>
        </w:tc>
        <w:tc>
          <w:tcPr>
            <w:tcW w:w="500" w:type="dxa"/>
            <w:tcBorders>
              <w:top w:val="nil"/>
              <w:left w:val="nil"/>
              <w:bottom w:val="single" w:sz="4" w:space="0" w:color="auto"/>
              <w:right w:val="single" w:sz="4" w:space="0" w:color="auto"/>
            </w:tcBorders>
            <w:shd w:val="clear" w:color="auto" w:fill="auto"/>
            <w:noWrap/>
            <w:vAlign w:val="center"/>
            <w:hideMark/>
          </w:tcPr>
          <w:p w14:paraId="11EAADD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DD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2.81</w:t>
            </w:r>
          </w:p>
        </w:tc>
        <w:tc>
          <w:tcPr>
            <w:tcW w:w="600" w:type="dxa"/>
            <w:tcBorders>
              <w:top w:val="nil"/>
              <w:left w:val="nil"/>
              <w:bottom w:val="single" w:sz="4" w:space="0" w:color="auto"/>
              <w:right w:val="single" w:sz="4" w:space="0" w:color="auto"/>
            </w:tcBorders>
            <w:shd w:val="clear" w:color="auto" w:fill="auto"/>
            <w:noWrap/>
            <w:vAlign w:val="center"/>
            <w:hideMark/>
          </w:tcPr>
          <w:p w14:paraId="11EAADD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D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D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DD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2.00</w:t>
            </w:r>
          </w:p>
        </w:tc>
        <w:tc>
          <w:tcPr>
            <w:tcW w:w="767" w:type="dxa"/>
            <w:tcBorders>
              <w:top w:val="nil"/>
              <w:left w:val="nil"/>
              <w:bottom w:val="single" w:sz="4" w:space="0" w:color="auto"/>
              <w:right w:val="single" w:sz="4" w:space="0" w:color="auto"/>
            </w:tcBorders>
            <w:shd w:val="clear" w:color="auto" w:fill="auto"/>
            <w:noWrap/>
            <w:vAlign w:val="center"/>
            <w:hideMark/>
          </w:tcPr>
          <w:p w14:paraId="11EAADE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DE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DE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425" w:type="dxa"/>
            <w:tcBorders>
              <w:top w:val="nil"/>
              <w:left w:val="nil"/>
              <w:bottom w:val="single" w:sz="4" w:space="0" w:color="auto"/>
              <w:right w:val="single" w:sz="4" w:space="0" w:color="auto"/>
            </w:tcBorders>
            <w:shd w:val="clear" w:color="auto" w:fill="auto"/>
            <w:noWrap/>
            <w:vAlign w:val="center"/>
            <w:hideMark/>
          </w:tcPr>
          <w:p w14:paraId="11EAADE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E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E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E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E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E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E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EA"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DF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DE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DED"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DE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DE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0.31</w:t>
            </w:r>
          </w:p>
        </w:tc>
        <w:tc>
          <w:tcPr>
            <w:tcW w:w="600" w:type="dxa"/>
            <w:tcBorders>
              <w:top w:val="nil"/>
              <w:left w:val="nil"/>
              <w:bottom w:val="single" w:sz="4" w:space="0" w:color="auto"/>
              <w:right w:val="single" w:sz="4" w:space="0" w:color="auto"/>
            </w:tcBorders>
            <w:shd w:val="clear" w:color="auto" w:fill="auto"/>
            <w:noWrap/>
            <w:vAlign w:val="center"/>
            <w:hideMark/>
          </w:tcPr>
          <w:p w14:paraId="11EAADF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600" w:type="dxa"/>
            <w:tcBorders>
              <w:top w:val="nil"/>
              <w:left w:val="nil"/>
              <w:bottom w:val="single" w:sz="4" w:space="0" w:color="auto"/>
              <w:right w:val="single" w:sz="4" w:space="0" w:color="auto"/>
            </w:tcBorders>
            <w:shd w:val="clear" w:color="auto" w:fill="auto"/>
            <w:noWrap/>
            <w:vAlign w:val="center"/>
            <w:hideMark/>
          </w:tcPr>
          <w:p w14:paraId="11EAADF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DF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DF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0.50</w:t>
            </w:r>
          </w:p>
        </w:tc>
        <w:tc>
          <w:tcPr>
            <w:tcW w:w="767" w:type="dxa"/>
            <w:tcBorders>
              <w:top w:val="nil"/>
              <w:left w:val="nil"/>
              <w:bottom w:val="single" w:sz="4" w:space="0" w:color="auto"/>
              <w:right w:val="single" w:sz="4" w:space="0" w:color="auto"/>
            </w:tcBorders>
            <w:shd w:val="clear" w:color="auto" w:fill="auto"/>
            <w:noWrap/>
            <w:vAlign w:val="center"/>
            <w:hideMark/>
          </w:tcPr>
          <w:p w14:paraId="11EAADF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DF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DF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DF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F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F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F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F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F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DF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DFE"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E13" w14:textId="77777777" w:rsidTr="00184C63">
        <w:trPr>
          <w:trHeight w:val="340"/>
        </w:trPr>
        <w:tc>
          <w:tcPr>
            <w:tcW w:w="704"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AE00"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Tully</w:t>
            </w: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E0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Barnards</w:t>
            </w:r>
          </w:p>
        </w:tc>
        <w:tc>
          <w:tcPr>
            <w:tcW w:w="500" w:type="dxa"/>
            <w:tcBorders>
              <w:top w:val="nil"/>
              <w:left w:val="nil"/>
              <w:bottom w:val="single" w:sz="4" w:space="0" w:color="auto"/>
              <w:right w:val="single" w:sz="4" w:space="0" w:color="auto"/>
            </w:tcBorders>
            <w:shd w:val="clear" w:color="auto" w:fill="auto"/>
            <w:noWrap/>
            <w:vAlign w:val="center"/>
            <w:hideMark/>
          </w:tcPr>
          <w:p w14:paraId="11EAAE0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E0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600" w:type="dxa"/>
            <w:tcBorders>
              <w:top w:val="nil"/>
              <w:left w:val="nil"/>
              <w:bottom w:val="single" w:sz="4" w:space="0" w:color="auto"/>
              <w:right w:val="single" w:sz="4" w:space="0" w:color="auto"/>
            </w:tcBorders>
            <w:shd w:val="clear" w:color="auto" w:fill="auto"/>
            <w:noWrap/>
            <w:vAlign w:val="center"/>
            <w:hideMark/>
          </w:tcPr>
          <w:p w14:paraId="11EAAE0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600" w:type="dxa"/>
            <w:tcBorders>
              <w:top w:val="nil"/>
              <w:left w:val="nil"/>
              <w:bottom w:val="single" w:sz="4" w:space="0" w:color="auto"/>
              <w:right w:val="single" w:sz="4" w:space="0" w:color="auto"/>
            </w:tcBorders>
            <w:shd w:val="clear" w:color="auto" w:fill="auto"/>
            <w:noWrap/>
            <w:vAlign w:val="center"/>
            <w:hideMark/>
          </w:tcPr>
          <w:p w14:paraId="11EAAE0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00" w:type="dxa"/>
            <w:tcBorders>
              <w:top w:val="nil"/>
              <w:left w:val="nil"/>
              <w:bottom w:val="single" w:sz="4" w:space="0" w:color="auto"/>
              <w:right w:val="single" w:sz="4" w:space="0" w:color="auto"/>
            </w:tcBorders>
            <w:shd w:val="clear" w:color="auto" w:fill="auto"/>
            <w:noWrap/>
            <w:vAlign w:val="center"/>
            <w:hideMark/>
          </w:tcPr>
          <w:p w14:paraId="11EAAE0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756" w:type="dxa"/>
            <w:tcBorders>
              <w:top w:val="nil"/>
              <w:left w:val="nil"/>
              <w:bottom w:val="single" w:sz="4" w:space="0" w:color="auto"/>
              <w:right w:val="single" w:sz="4" w:space="0" w:color="auto"/>
            </w:tcBorders>
            <w:shd w:val="clear" w:color="auto" w:fill="auto"/>
            <w:noWrap/>
            <w:vAlign w:val="center"/>
            <w:hideMark/>
          </w:tcPr>
          <w:p w14:paraId="11EAAE0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0.75</w:t>
            </w:r>
          </w:p>
        </w:tc>
        <w:tc>
          <w:tcPr>
            <w:tcW w:w="767" w:type="dxa"/>
            <w:tcBorders>
              <w:top w:val="nil"/>
              <w:left w:val="nil"/>
              <w:bottom w:val="single" w:sz="4" w:space="0" w:color="auto"/>
              <w:right w:val="single" w:sz="4" w:space="0" w:color="auto"/>
            </w:tcBorders>
            <w:shd w:val="clear" w:color="auto" w:fill="auto"/>
            <w:noWrap/>
            <w:vAlign w:val="center"/>
            <w:hideMark/>
          </w:tcPr>
          <w:p w14:paraId="11EAAE0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1.31</w:t>
            </w:r>
          </w:p>
        </w:tc>
        <w:tc>
          <w:tcPr>
            <w:tcW w:w="610" w:type="dxa"/>
            <w:tcBorders>
              <w:top w:val="nil"/>
              <w:left w:val="nil"/>
              <w:bottom w:val="single" w:sz="4" w:space="0" w:color="auto"/>
              <w:right w:val="single" w:sz="4" w:space="0" w:color="auto"/>
            </w:tcBorders>
            <w:shd w:val="clear" w:color="auto" w:fill="auto"/>
            <w:noWrap/>
            <w:vAlign w:val="center"/>
            <w:hideMark/>
          </w:tcPr>
          <w:p w14:paraId="11EAAE0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E0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0.75</w:t>
            </w:r>
          </w:p>
        </w:tc>
        <w:tc>
          <w:tcPr>
            <w:tcW w:w="425" w:type="dxa"/>
            <w:tcBorders>
              <w:top w:val="nil"/>
              <w:left w:val="nil"/>
              <w:bottom w:val="single" w:sz="4" w:space="0" w:color="auto"/>
              <w:right w:val="single" w:sz="4" w:space="0" w:color="auto"/>
            </w:tcBorders>
            <w:shd w:val="clear" w:color="auto" w:fill="auto"/>
            <w:noWrap/>
            <w:vAlign w:val="center"/>
            <w:hideMark/>
          </w:tcPr>
          <w:p w14:paraId="11EAAE0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0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0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846" w:type="dxa"/>
            <w:tcBorders>
              <w:top w:val="nil"/>
              <w:left w:val="nil"/>
              <w:bottom w:val="single" w:sz="4" w:space="0" w:color="auto"/>
              <w:right w:val="single" w:sz="4" w:space="0" w:color="auto"/>
            </w:tcBorders>
            <w:shd w:val="clear" w:color="auto" w:fill="auto"/>
            <w:noWrap/>
            <w:vAlign w:val="center"/>
            <w:hideMark/>
          </w:tcPr>
          <w:p w14:paraId="11EAAE0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2.19</w:t>
            </w:r>
          </w:p>
        </w:tc>
        <w:tc>
          <w:tcPr>
            <w:tcW w:w="673" w:type="dxa"/>
            <w:tcBorders>
              <w:top w:val="nil"/>
              <w:left w:val="nil"/>
              <w:bottom w:val="single" w:sz="4" w:space="0" w:color="auto"/>
              <w:right w:val="single" w:sz="4" w:space="0" w:color="auto"/>
            </w:tcBorders>
            <w:shd w:val="clear" w:color="auto" w:fill="auto"/>
            <w:noWrap/>
            <w:vAlign w:val="center"/>
            <w:hideMark/>
          </w:tcPr>
          <w:p w14:paraId="11EAAE0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1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0.69</w:t>
            </w:r>
          </w:p>
        </w:tc>
        <w:tc>
          <w:tcPr>
            <w:tcW w:w="846" w:type="dxa"/>
            <w:tcBorders>
              <w:top w:val="nil"/>
              <w:left w:val="nil"/>
              <w:bottom w:val="single" w:sz="4" w:space="0" w:color="auto"/>
              <w:right w:val="single" w:sz="4" w:space="0" w:color="auto"/>
            </w:tcBorders>
            <w:shd w:val="clear" w:color="auto" w:fill="auto"/>
            <w:noWrap/>
            <w:vAlign w:val="center"/>
            <w:hideMark/>
          </w:tcPr>
          <w:p w14:paraId="11EAAE1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0.56</w:t>
            </w:r>
          </w:p>
        </w:tc>
        <w:tc>
          <w:tcPr>
            <w:tcW w:w="673" w:type="dxa"/>
            <w:tcBorders>
              <w:top w:val="nil"/>
              <w:left w:val="nil"/>
              <w:bottom w:val="single" w:sz="4" w:space="0" w:color="auto"/>
              <w:right w:val="single" w:sz="4" w:space="0" w:color="auto"/>
            </w:tcBorders>
            <w:shd w:val="clear" w:color="auto" w:fill="auto"/>
            <w:noWrap/>
            <w:vAlign w:val="center"/>
            <w:hideMark/>
          </w:tcPr>
          <w:p w14:paraId="11EAAE1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0.69</w:t>
            </w:r>
          </w:p>
        </w:tc>
      </w:tr>
      <w:tr w:rsidR="006428D8" w:rsidRPr="00882085" w14:paraId="11EAAE2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E1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E15"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E1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E1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1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0.31</w:t>
            </w:r>
          </w:p>
        </w:tc>
        <w:tc>
          <w:tcPr>
            <w:tcW w:w="600" w:type="dxa"/>
            <w:tcBorders>
              <w:top w:val="nil"/>
              <w:left w:val="nil"/>
              <w:bottom w:val="single" w:sz="4" w:space="0" w:color="auto"/>
              <w:right w:val="single" w:sz="4" w:space="0" w:color="auto"/>
            </w:tcBorders>
            <w:shd w:val="clear" w:color="auto" w:fill="auto"/>
            <w:noWrap/>
            <w:vAlign w:val="center"/>
            <w:hideMark/>
          </w:tcPr>
          <w:p w14:paraId="11EAAE1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600" w:type="dxa"/>
            <w:tcBorders>
              <w:top w:val="nil"/>
              <w:left w:val="nil"/>
              <w:bottom w:val="single" w:sz="4" w:space="0" w:color="auto"/>
              <w:right w:val="single" w:sz="4" w:space="0" w:color="auto"/>
            </w:tcBorders>
            <w:shd w:val="clear" w:color="auto" w:fill="auto"/>
            <w:noWrap/>
            <w:vAlign w:val="center"/>
            <w:hideMark/>
          </w:tcPr>
          <w:p w14:paraId="11EAAE1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756" w:type="dxa"/>
            <w:tcBorders>
              <w:top w:val="nil"/>
              <w:left w:val="nil"/>
              <w:bottom w:val="single" w:sz="4" w:space="0" w:color="auto"/>
              <w:right w:val="single" w:sz="4" w:space="0" w:color="auto"/>
            </w:tcBorders>
            <w:shd w:val="clear" w:color="auto" w:fill="auto"/>
            <w:noWrap/>
            <w:vAlign w:val="center"/>
            <w:hideMark/>
          </w:tcPr>
          <w:p w14:paraId="11EAAE1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0.44</w:t>
            </w:r>
          </w:p>
        </w:tc>
        <w:tc>
          <w:tcPr>
            <w:tcW w:w="767" w:type="dxa"/>
            <w:tcBorders>
              <w:top w:val="nil"/>
              <w:left w:val="nil"/>
              <w:bottom w:val="single" w:sz="4" w:space="0" w:color="auto"/>
              <w:right w:val="single" w:sz="4" w:space="0" w:color="auto"/>
            </w:tcBorders>
            <w:shd w:val="clear" w:color="auto" w:fill="auto"/>
            <w:noWrap/>
            <w:vAlign w:val="center"/>
            <w:hideMark/>
          </w:tcPr>
          <w:p w14:paraId="11EAAE1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E1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859" w:type="dxa"/>
            <w:tcBorders>
              <w:top w:val="nil"/>
              <w:left w:val="nil"/>
              <w:bottom w:val="single" w:sz="4" w:space="0" w:color="auto"/>
              <w:right w:val="single" w:sz="4" w:space="0" w:color="auto"/>
            </w:tcBorders>
            <w:shd w:val="clear" w:color="auto" w:fill="auto"/>
            <w:noWrap/>
            <w:vAlign w:val="center"/>
            <w:hideMark/>
          </w:tcPr>
          <w:p w14:paraId="11EAAE1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E1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2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2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2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0.50</w:t>
            </w:r>
          </w:p>
        </w:tc>
        <w:tc>
          <w:tcPr>
            <w:tcW w:w="673" w:type="dxa"/>
            <w:tcBorders>
              <w:top w:val="nil"/>
              <w:left w:val="nil"/>
              <w:bottom w:val="single" w:sz="4" w:space="0" w:color="auto"/>
              <w:right w:val="single" w:sz="4" w:space="0" w:color="auto"/>
            </w:tcBorders>
            <w:shd w:val="clear" w:color="auto" w:fill="auto"/>
            <w:noWrap/>
            <w:vAlign w:val="center"/>
            <w:hideMark/>
          </w:tcPr>
          <w:p w14:paraId="11EAAE2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2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2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2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r>
      <w:tr w:rsidR="006428D8" w:rsidRPr="00882085" w14:paraId="11EAAE3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E2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E2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Dunk North</w:t>
            </w:r>
          </w:p>
        </w:tc>
        <w:tc>
          <w:tcPr>
            <w:tcW w:w="500" w:type="dxa"/>
            <w:tcBorders>
              <w:top w:val="nil"/>
              <w:left w:val="nil"/>
              <w:bottom w:val="single" w:sz="4" w:space="0" w:color="auto"/>
              <w:right w:val="single" w:sz="4" w:space="0" w:color="auto"/>
            </w:tcBorders>
            <w:shd w:val="clear" w:color="auto" w:fill="auto"/>
            <w:noWrap/>
            <w:vAlign w:val="center"/>
            <w:hideMark/>
          </w:tcPr>
          <w:p w14:paraId="11EAAE2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E2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00" w:type="dxa"/>
            <w:tcBorders>
              <w:top w:val="nil"/>
              <w:left w:val="nil"/>
              <w:bottom w:val="single" w:sz="4" w:space="0" w:color="auto"/>
              <w:right w:val="single" w:sz="4" w:space="0" w:color="auto"/>
            </w:tcBorders>
            <w:shd w:val="clear" w:color="auto" w:fill="auto"/>
            <w:noWrap/>
            <w:vAlign w:val="center"/>
            <w:hideMark/>
          </w:tcPr>
          <w:p w14:paraId="11EAAE2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600" w:type="dxa"/>
            <w:tcBorders>
              <w:top w:val="nil"/>
              <w:left w:val="nil"/>
              <w:bottom w:val="single" w:sz="4" w:space="0" w:color="auto"/>
              <w:right w:val="single" w:sz="4" w:space="0" w:color="auto"/>
            </w:tcBorders>
            <w:shd w:val="clear" w:color="auto" w:fill="auto"/>
            <w:noWrap/>
            <w:vAlign w:val="center"/>
            <w:hideMark/>
          </w:tcPr>
          <w:p w14:paraId="11EAAE2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0.38</w:t>
            </w:r>
          </w:p>
        </w:tc>
        <w:tc>
          <w:tcPr>
            <w:tcW w:w="600" w:type="dxa"/>
            <w:tcBorders>
              <w:top w:val="nil"/>
              <w:left w:val="nil"/>
              <w:bottom w:val="single" w:sz="4" w:space="0" w:color="auto"/>
              <w:right w:val="single" w:sz="4" w:space="0" w:color="auto"/>
            </w:tcBorders>
            <w:shd w:val="clear" w:color="auto" w:fill="auto"/>
            <w:noWrap/>
            <w:vAlign w:val="center"/>
            <w:hideMark/>
          </w:tcPr>
          <w:p w14:paraId="11EAAE2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E2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0.44</w:t>
            </w:r>
          </w:p>
        </w:tc>
        <w:tc>
          <w:tcPr>
            <w:tcW w:w="767" w:type="dxa"/>
            <w:tcBorders>
              <w:top w:val="nil"/>
              <w:left w:val="nil"/>
              <w:bottom w:val="single" w:sz="4" w:space="0" w:color="auto"/>
              <w:right w:val="single" w:sz="4" w:space="0" w:color="auto"/>
            </w:tcBorders>
            <w:shd w:val="clear" w:color="auto" w:fill="auto"/>
            <w:noWrap/>
            <w:vAlign w:val="center"/>
            <w:hideMark/>
          </w:tcPr>
          <w:p w14:paraId="11EAAE3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E3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E3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E3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3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3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3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1.00</w:t>
            </w:r>
          </w:p>
        </w:tc>
        <w:tc>
          <w:tcPr>
            <w:tcW w:w="673" w:type="dxa"/>
            <w:tcBorders>
              <w:top w:val="nil"/>
              <w:left w:val="nil"/>
              <w:bottom w:val="single" w:sz="4" w:space="0" w:color="auto"/>
              <w:right w:val="single" w:sz="4" w:space="0" w:color="auto"/>
            </w:tcBorders>
            <w:shd w:val="clear" w:color="auto" w:fill="auto"/>
            <w:noWrap/>
            <w:vAlign w:val="center"/>
            <w:hideMark/>
          </w:tcPr>
          <w:p w14:paraId="11EAAE3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0.38</w:t>
            </w:r>
          </w:p>
        </w:tc>
        <w:tc>
          <w:tcPr>
            <w:tcW w:w="846" w:type="dxa"/>
            <w:tcBorders>
              <w:top w:val="nil"/>
              <w:left w:val="nil"/>
              <w:bottom w:val="single" w:sz="4" w:space="0" w:color="auto"/>
              <w:right w:val="single" w:sz="4" w:space="0" w:color="auto"/>
            </w:tcBorders>
            <w:shd w:val="clear" w:color="auto" w:fill="auto"/>
            <w:noWrap/>
            <w:vAlign w:val="center"/>
            <w:hideMark/>
          </w:tcPr>
          <w:p w14:paraId="11EAAE3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0.81</w:t>
            </w:r>
          </w:p>
        </w:tc>
        <w:tc>
          <w:tcPr>
            <w:tcW w:w="846" w:type="dxa"/>
            <w:tcBorders>
              <w:top w:val="nil"/>
              <w:left w:val="nil"/>
              <w:bottom w:val="single" w:sz="4" w:space="0" w:color="auto"/>
              <w:right w:val="single" w:sz="4" w:space="0" w:color="auto"/>
            </w:tcBorders>
            <w:shd w:val="clear" w:color="auto" w:fill="auto"/>
            <w:noWrap/>
            <w:vAlign w:val="center"/>
            <w:hideMark/>
          </w:tcPr>
          <w:p w14:paraId="11EAAE3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7.06</w:t>
            </w:r>
          </w:p>
        </w:tc>
        <w:tc>
          <w:tcPr>
            <w:tcW w:w="673" w:type="dxa"/>
            <w:tcBorders>
              <w:top w:val="nil"/>
              <w:left w:val="nil"/>
              <w:bottom w:val="single" w:sz="4" w:space="0" w:color="auto"/>
              <w:right w:val="single" w:sz="4" w:space="0" w:color="auto"/>
            </w:tcBorders>
            <w:shd w:val="clear" w:color="auto" w:fill="auto"/>
            <w:noWrap/>
            <w:vAlign w:val="center"/>
            <w:hideMark/>
          </w:tcPr>
          <w:p w14:paraId="11EAAE3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2.56</w:t>
            </w:r>
          </w:p>
        </w:tc>
      </w:tr>
      <w:tr w:rsidR="006428D8" w:rsidRPr="00882085" w14:paraId="11EAAE4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E3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E3D"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E3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E3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4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00" w:type="dxa"/>
            <w:tcBorders>
              <w:top w:val="nil"/>
              <w:left w:val="nil"/>
              <w:bottom w:val="single" w:sz="4" w:space="0" w:color="auto"/>
              <w:right w:val="single" w:sz="4" w:space="0" w:color="auto"/>
            </w:tcBorders>
            <w:shd w:val="clear" w:color="auto" w:fill="auto"/>
            <w:noWrap/>
            <w:vAlign w:val="center"/>
            <w:hideMark/>
          </w:tcPr>
          <w:p w14:paraId="11EAAE4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4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E4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0.81</w:t>
            </w:r>
          </w:p>
        </w:tc>
        <w:tc>
          <w:tcPr>
            <w:tcW w:w="767" w:type="dxa"/>
            <w:tcBorders>
              <w:top w:val="nil"/>
              <w:left w:val="nil"/>
              <w:bottom w:val="single" w:sz="4" w:space="0" w:color="auto"/>
              <w:right w:val="single" w:sz="4" w:space="0" w:color="auto"/>
            </w:tcBorders>
            <w:shd w:val="clear" w:color="auto" w:fill="auto"/>
            <w:noWrap/>
            <w:vAlign w:val="center"/>
            <w:hideMark/>
          </w:tcPr>
          <w:p w14:paraId="11EAAE4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E4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859" w:type="dxa"/>
            <w:tcBorders>
              <w:top w:val="nil"/>
              <w:left w:val="nil"/>
              <w:bottom w:val="single" w:sz="4" w:space="0" w:color="auto"/>
              <w:right w:val="single" w:sz="4" w:space="0" w:color="auto"/>
            </w:tcBorders>
            <w:shd w:val="clear" w:color="auto" w:fill="auto"/>
            <w:noWrap/>
            <w:vAlign w:val="center"/>
            <w:hideMark/>
          </w:tcPr>
          <w:p w14:paraId="11EAAE4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E4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4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4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4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0.44</w:t>
            </w:r>
          </w:p>
        </w:tc>
        <w:tc>
          <w:tcPr>
            <w:tcW w:w="673" w:type="dxa"/>
            <w:tcBorders>
              <w:top w:val="nil"/>
              <w:left w:val="nil"/>
              <w:bottom w:val="single" w:sz="4" w:space="0" w:color="auto"/>
              <w:right w:val="single" w:sz="4" w:space="0" w:color="auto"/>
            </w:tcBorders>
            <w:shd w:val="clear" w:color="auto" w:fill="auto"/>
            <w:noWrap/>
            <w:vAlign w:val="center"/>
            <w:hideMark/>
          </w:tcPr>
          <w:p w14:paraId="11EAAE4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4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0.88</w:t>
            </w:r>
          </w:p>
        </w:tc>
        <w:tc>
          <w:tcPr>
            <w:tcW w:w="846" w:type="dxa"/>
            <w:tcBorders>
              <w:top w:val="nil"/>
              <w:left w:val="nil"/>
              <w:bottom w:val="single" w:sz="4" w:space="0" w:color="auto"/>
              <w:right w:val="single" w:sz="4" w:space="0" w:color="auto"/>
            </w:tcBorders>
            <w:shd w:val="clear" w:color="auto" w:fill="auto"/>
            <w:noWrap/>
            <w:vAlign w:val="center"/>
            <w:hideMark/>
          </w:tcPr>
          <w:p w14:paraId="11EAAE4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0.38</w:t>
            </w:r>
          </w:p>
        </w:tc>
        <w:tc>
          <w:tcPr>
            <w:tcW w:w="673" w:type="dxa"/>
            <w:tcBorders>
              <w:top w:val="nil"/>
              <w:left w:val="nil"/>
              <w:bottom w:val="single" w:sz="4" w:space="0" w:color="auto"/>
              <w:right w:val="single" w:sz="4" w:space="0" w:color="auto"/>
            </w:tcBorders>
            <w:shd w:val="clear" w:color="auto" w:fill="auto"/>
            <w:noWrap/>
            <w:vAlign w:val="center"/>
            <w:hideMark/>
          </w:tcPr>
          <w:p w14:paraId="11EAAE4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0.69</w:t>
            </w:r>
          </w:p>
        </w:tc>
      </w:tr>
      <w:tr w:rsidR="006428D8" w:rsidRPr="00882085" w14:paraId="11EAAE63"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E50"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E5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Dunk South</w:t>
            </w:r>
          </w:p>
        </w:tc>
        <w:tc>
          <w:tcPr>
            <w:tcW w:w="500" w:type="dxa"/>
            <w:tcBorders>
              <w:top w:val="nil"/>
              <w:left w:val="nil"/>
              <w:bottom w:val="single" w:sz="4" w:space="0" w:color="auto"/>
              <w:right w:val="single" w:sz="4" w:space="0" w:color="auto"/>
            </w:tcBorders>
            <w:shd w:val="clear" w:color="auto" w:fill="auto"/>
            <w:noWrap/>
            <w:vAlign w:val="center"/>
            <w:hideMark/>
          </w:tcPr>
          <w:p w14:paraId="11EAAE5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E5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00" w:type="dxa"/>
            <w:tcBorders>
              <w:top w:val="nil"/>
              <w:left w:val="nil"/>
              <w:bottom w:val="single" w:sz="4" w:space="0" w:color="auto"/>
              <w:right w:val="single" w:sz="4" w:space="0" w:color="auto"/>
            </w:tcBorders>
            <w:shd w:val="clear" w:color="auto" w:fill="auto"/>
            <w:noWrap/>
            <w:vAlign w:val="center"/>
            <w:hideMark/>
          </w:tcPr>
          <w:p w14:paraId="11EAAE5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0.38</w:t>
            </w:r>
          </w:p>
        </w:tc>
        <w:tc>
          <w:tcPr>
            <w:tcW w:w="600" w:type="dxa"/>
            <w:tcBorders>
              <w:top w:val="nil"/>
              <w:left w:val="nil"/>
              <w:bottom w:val="single" w:sz="4" w:space="0" w:color="auto"/>
              <w:right w:val="single" w:sz="4" w:space="0" w:color="auto"/>
            </w:tcBorders>
            <w:shd w:val="clear" w:color="auto" w:fill="auto"/>
            <w:noWrap/>
            <w:vAlign w:val="center"/>
            <w:hideMark/>
          </w:tcPr>
          <w:p w14:paraId="11EAAE5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1.31</w:t>
            </w:r>
          </w:p>
        </w:tc>
        <w:tc>
          <w:tcPr>
            <w:tcW w:w="600" w:type="dxa"/>
            <w:tcBorders>
              <w:top w:val="nil"/>
              <w:left w:val="nil"/>
              <w:bottom w:val="single" w:sz="4" w:space="0" w:color="auto"/>
              <w:right w:val="single" w:sz="4" w:space="0" w:color="auto"/>
            </w:tcBorders>
            <w:shd w:val="clear" w:color="auto" w:fill="auto"/>
            <w:noWrap/>
            <w:vAlign w:val="center"/>
            <w:hideMark/>
          </w:tcPr>
          <w:p w14:paraId="11EAAE5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E5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0.69</w:t>
            </w:r>
          </w:p>
        </w:tc>
        <w:tc>
          <w:tcPr>
            <w:tcW w:w="767" w:type="dxa"/>
            <w:tcBorders>
              <w:top w:val="nil"/>
              <w:left w:val="nil"/>
              <w:bottom w:val="single" w:sz="4" w:space="0" w:color="auto"/>
              <w:right w:val="single" w:sz="4" w:space="0" w:color="auto"/>
            </w:tcBorders>
            <w:shd w:val="clear" w:color="auto" w:fill="auto"/>
            <w:noWrap/>
            <w:vAlign w:val="center"/>
            <w:hideMark/>
          </w:tcPr>
          <w:p w14:paraId="11EAAE5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E5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E5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E5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0.38</w:t>
            </w:r>
          </w:p>
        </w:tc>
        <w:tc>
          <w:tcPr>
            <w:tcW w:w="673" w:type="dxa"/>
            <w:tcBorders>
              <w:top w:val="nil"/>
              <w:left w:val="nil"/>
              <w:bottom w:val="single" w:sz="4" w:space="0" w:color="auto"/>
              <w:right w:val="single" w:sz="4" w:space="0" w:color="auto"/>
            </w:tcBorders>
            <w:shd w:val="clear" w:color="auto" w:fill="auto"/>
            <w:noWrap/>
            <w:vAlign w:val="center"/>
            <w:hideMark/>
          </w:tcPr>
          <w:p w14:paraId="11EAAE5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5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846" w:type="dxa"/>
            <w:tcBorders>
              <w:top w:val="nil"/>
              <w:left w:val="nil"/>
              <w:bottom w:val="single" w:sz="4" w:space="0" w:color="auto"/>
              <w:right w:val="single" w:sz="4" w:space="0" w:color="auto"/>
            </w:tcBorders>
            <w:shd w:val="clear" w:color="auto" w:fill="auto"/>
            <w:noWrap/>
            <w:vAlign w:val="center"/>
            <w:hideMark/>
          </w:tcPr>
          <w:p w14:paraId="11EAAE5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673" w:type="dxa"/>
            <w:tcBorders>
              <w:top w:val="nil"/>
              <w:left w:val="nil"/>
              <w:bottom w:val="single" w:sz="4" w:space="0" w:color="auto"/>
              <w:right w:val="single" w:sz="4" w:space="0" w:color="auto"/>
            </w:tcBorders>
            <w:shd w:val="clear" w:color="auto" w:fill="auto"/>
            <w:noWrap/>
            <w:vAlign w:val="center"/>
            <w:hideMark/>
          </w:tcPr>
          <w:p w14:paraId="11EAAE5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6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7.50</w:t>
            </w:r>
          </w:p>
        </w:tc>
        <w:tc>
          <w:tcPr>
            <w:tcW w:w="846" w:type="dxa"/>
            <w:tcBorders>
              <w:top w:val="nil"/>
              <w:left w:val="nil"/>
              <w:bottom w:val="single" w:sz="4" w:space="0" w:color="auto"/>
              <w:right w:val="single" w:sz="4" w:space="0" w:color="auto"/>
            </w:tcBorders>
            <w:shd w:val="clear" w:color="auto" w:fill="auto"/>
            <w:noWrap/>
            <w:vAlign w:val="center"/>
            <w:hideMark/>
          </w:tcPr>
          <w:p w14:paraId="11EAAE6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9.19</w:t>
            </w:r>
          </w:p>
        </w:tc>
        <w:tc>
          <w:tcPr>
            <w:tcW w:w="673" w:type="dxa"/>
            <w:tcBorders>
              <w:top w:val="nil"/>
              <w:left w:val="nil"/>
              <w:bottom w:val="single" w:sz="4" w:space="0" w:color="auto"/>
              <w:right w:val="single" w:sz="4" w:space="0" w:color="auto"/>
            </w:tcBorders>
            <w:shd w:val="clear" w:color="auto" w:fill="auto"/>
            <w:noWrap/>
            <w:vAlign w:val="center"/>
            <w:hideMark/>
          </w:tcPr>
          <w:p w14:paraId="11EAAE6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3.50</w:t>
            </w:r>
          </w:p>
        </w:tc>
      </w:tr>
      <w:tr w:rsidR="006428D8" w:rsidRPr="00882085" w14:paraId="11EAAE7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E6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E65"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E6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E6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6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0.44</w:t>
            </w:r>
          </w:p>
        </w:tc>
        <w:tc>
          <w:tcPr>
            <w:tcW w:w="600" w:type="dxa"/>
            <w:tcBorders>
              <w:top w:val="nil"/>
              <w:left w:val="nil"/>
              <w:bottom w:val="single" w:sz="4" w:space="0" w:color="auto"/>
              <w:right w:val="single" w:sz="4" w:space="0" w:color="auto"/>
            </w:tcBorders>
            <w:shd w:val="clear" w:color="auto" w:fill="auto"/>
            <w:noWrap/>
            <w:vAlign w:val="center"/>
            <w:hideMark/>
          </w:tcPr>
          <w:p w14:paraId="11EAAE6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00" w:type="dxa"/>
            <w:tcBorders>
              <w:top w:val="nil"/>
              <w:left w:val="nil"/>
              <w:bottom w:val="single" w:sz="4" w:space="0" w:color="auto"/>
              <w:right w:val="single" w:sz="4" w:space="0" w:color="auto"/>
            </w:tcBorders>
            <w:shd w:val="clear" w:color="auto" w:fill="auto"/>
            <w:noWrap/>
            <w:vAlign w:val="center"/>
            <w:hideMark/>
          </w:tcPr>
          <w:p w14:paraId="11EAAE6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E6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0.63</w:t>
            </w:r>
          </w:p>
        </w:tc>
        <w:tc>
          <w:tcPr>
            <w:tcW w:w="767" w:type="dxa"/>
            <w:tcBorders>
              <w:top w:val="nil"/>
              <w:left w:val="nil"/>
              <w:bottom w:val="single" w:sz="4" w:space="0" w:color="auto"/>
              <w:right w:val="single" w:sz="4" w:space="0" w:color="auto"/>
            </w:tcBorders>
            <w:shd w:val="clear" w:color="auto" w:fill="auto"/>
            <w:noWrap/>
            <w:vAlign w:val="center"/>
            <w:hideMark/>
          </w:tcPr>
          <w:p w14:paraId="11EAAE6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E6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E6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E6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7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7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7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73" w:type="dxa"/>
            <w:tcBorders>
              <w:top w:val="nil"/>
              <w:left w:val="nil"/>
              <w:bottom w:val="single" w:sz="4" w:space="0" w:color="auto"/>
              <w:right w:val="single" w:sz="4" w:space="0" w:color="auto"/>
            </w:tcBorders>
            <w:shd w:val="clear" w:color="auto" w:fill="auto"/>
            <w:noWrap/>
            <w:vAlign w:val="center"/>
            <w:hideMark/>
          </w:tcPr>
          <w:p w14:paraId="11EAAE7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7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6.19</w:t>
            </w:r>
          </w:p>
        </w:tc>
        <w:tc>
          <w:tcPr>
            <w:tcW w:w="846" w:type="dxa"/>
            <w:tcBorders>
              <w:top w:val="nil"/>
              <w:left w:val="nil"/>
              <w:bottom w:val="single" w:sz="4" w:space="0" w:color="auto"/>
              <w:right w:val="single" w:sz="4" w:space="0" w:color="auto"/>
            </w:tcBorders>
            <w:shd w:val="clear" w:color="auto" w:fill="auto"/>
            <w:noWrap/>
            <w:vAlign w:val="center"/>
            <w:hideMark/>
          </w:tcPr>
          <w:p w14:paraId="11EAAE7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0.38</w:t>
            </w:r>
          </w:p>
        </w:tc>
        <w:tc>
          <w:tcPr>
            <w:tcW w:w="673" w:type="dxa"/>
            <w:tcBorders>
              <w:top w:val="nil"/>
              <w:left w:val="nil"/>
              <w:bottom w:val="single" w:sz="4" w:space="0" w:color="auto"/>
              <w:right w:val="single" w:sz="4" w:space="0" w:color="auto"/>
            </w:tcBorders>
            <w:shd w:val="clear" w:color="auto" w:fill="auto"/>
            <w:noWrap/>
            <w:vAlign w:val="center"/>
            <w:hideMark/>
          </w:tcPr>
          <w:p w14:paraId="11EAAE7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0.69</w:t>
            </w:r>
          </w:p>
        </w:tc>
      </w:tr>
      <w:tr w:rsidR="006428D8" w:rsidRPr="00882085" w14:paraId="11EAAE8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E7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E7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Bedarra</w:t>
            </w:r>
          </w:p>
        </w:tc>
        <w:tc>
          <w:tcPr>
            <w:tcW w:w="500" w:type="dxa"/>
            <w:tcBorders>
              <w:top w:val="nil"/>
              <w:left w:val="nil"/>
              <w:bottom w:val="single" w:sz="4" w:space="0" w:color="auto"/>
              <w:right w:val="single" w:sz="4" w:space="0" w:color="auto"/>
            </w:tcBorders>
            <w:shd w:val="clear" w:color="auto" w:fill="auto"/>
            <w:noWrap/>
            <w:vAlign w:val="center"/>
            <w:hideMark/>
          </w:tcPr>
          <w:p w14:paraId="11EAAE7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E7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600" w:type="dxa"/>
            <w:tcBorders>
              <w:top w:val="nil"/>
              <w:left w:val="nil"/>
              <w:bottom w:val="single" w:sz="4" w:space="0" w:color="auto"/>
              <w:right w:val="single" w:sz="4" w:space="0" w:color="auto"/>
            </w:tcBorders>
            <w:shd w:val="clear" w:color="auto" w:fill="auto"/>
            <w:noWrap/>
            <w:vAlign w:val="center"/>
            <w:hideMark/>
          </w:tcPr>
          <w:p w14:paraId="11EAAE7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00" w:type="dxa"/>
            <w:tcBorders>
              <w:top w:val="nil"/>
              <w:left w:val="nil"/>
              <w:bottom w:val="single" w:sz="4" w:space="0" w:color="auto"/>
              <w:right w:val="single" w:sz="4" w:space="0" w:color="auto"/>
            </w:tcBorders>
            <w:shd w:val="clear" w:color="auto" w:fill="auto"/>
            <w:noWrap/>
            <w:vAlign w:val="center"/>
            <w:hideMark/>
          </w:tcPr>
          <w:p w14:paraId="11EAAE7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0.63</w:t>
            </w:r>
          </w:p>
        </w:tc>
        <w:tc>
          <w:tcPr>
            <w:tcW w:w="600" w:type="dxa"/>
            <w:tcBorders>
              <w:top w:val="nil"/>
              <w:left w:val="nil"/>
              <w:bottom w:val="single" w:sz="4" w:space="0" w:color="auto"/>
              <w:right w:val="single" w:sz="4" w:space="0" w:color="auto"/>
            </w:tcBorders>
            <w:shd w:val="clear" w:color="auto" w:fill="auto"/>
            <w:noWrap/>
            <w:vAlign w:val="center"/>
            <w:hideMark/>
          </w:tcPr>
          <w:p w14:paraId="11EAAE7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E7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0.94</w:t>
            </w:r>
          </w:p>
        </w:tc>
        <w:tc>
          <w:tcPr>
            <w:tcW w:w="767" w:type="dxa"/>
            <w:tcBorders>
              <w:top w:val="nil"/>
              <w:left w:val="nil"/>
              <w:bottom w:val="single" w:sz="4" w:space="0" w:color="auto"/>
              <w:right w:val="single" w:sz="4" w:space="0" w:color="auto"/>
            </w:tcBorders>
            <w:shd w:val="clear" w:color="auto" w:fill="auto"/>
            <w:noWrap/>
            <w:vAlign w:val="center"/>
            <w:hideMark/>
          </w:tcPr>
          <w:p w14:paraId="11EAAE8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E8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E8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425" w:type="dxa"/>
            <w:tcBorders>
              <w:top w:val="nil"/>
              <w:left w:val="nil"/>
              <w:bottom w:val="single" w:sz="4" w:space="0" w:color="auto"/>
              <w:right w:val="single" w:sz="4" w:space="0" w:color="auto"/>
            </w:tcBorders>
            <w:shd w:val="clear" w:color="auto" w:fill="auto"/>
            <w:noWrap/>
            <w:vAlign w:val="center"/>
            <w:hideMark/>
          </w:tcPr>
          <w:p w14:paraId="11EAAE8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8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8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846" w:type="dxa"/>
            <w:tcBorders>
              <w:top w:val="nil"/>
              <w:left w:val="nil"/>
              <w:bottom w:val="single" w:sz="4" w:space="0" w:color="auto"/>
              <w:right w:val="single" w:sz="4" w:space="0" w:color="auto"/>
            </w:tcBorders>
            <w:shd w:val="clear" w:color="auto" w:fill="auto"/>
            <w:noWrap/>
            <w:vAlign w:val="center"/>
            <w:hideMark/>
          </w:tcPr>
          <w:p w14:paraId="11EAAE8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0.88</w:t>
            </w:r>
          </w:p>
        </w:tc>
        <w:tc>
          <w:tcPr>
            <w:tcW w:w="673" w:type="dxa"/>
            <w:tcBorders>
              <w:top w:val="nil"/>
              <w:left w:val="nil"/>
              <w:bottom w:val="single" w:sz="4" w:space="0" w:color="auto"/>
              <w:right w:val="single" w:sz="4" w:space="0" w:color="auto"/>
            </w:tcBorders>
            <w:shd w:val="clear" w:color="auto" w:fill="auto"/>
            <w:noWrap/>
            <w:vAlign w:val="center"/>
            <w:hideMark/>
          </w:tcPr>
          <w:p w14:paraId="11EAAE8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8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2.38</w:t>
            </w:r>
          </w:p>
        </w:tc>
        <w:tc>
          <w:tcPr>
            <w:tcW w:w="846" w:type="dxa"/>
            <w:tcBorders>
              <w:top w:val="nil"/>
              <w:left w:val="nil"/>
              <w:bottom w:val="single" w:sz="4" w:space="0" w:color="auto"/>
              <w:right w:val="single" w:sz="4" w:space="0" w:color="auto"/>
            </w:tcBorders>
            <w:shd w:val="clear" w:color="auto" w:fill="auto"/>
            <w:noWrap/>
            <w:vAlign w:val="center"/>
            <w:hideMark/>
          </w:tcPr>
          <w:p w14:paraId="11EAAE8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7.13</w:t>
            </w:r>
          </w:p>
        </w:tc>
        <w:tc>
          <w:tcPr>
            <w:tcW w:w="673" w:type="dxa"/>
            <w:tcBorders>
              <w:top w:val="nil"/>
              <w:left w:val="nil"/>
              <w:bottom w:val="single" w:sz="4" w:space="0" w:color="auto"/>
              <w:right w:val="single" w:sz="4" w:space="0" w:color="auto"/>
            </w:tcBorders>
            <w:shd w:val="clear" w:color="auto" w:fill="auto"/>
            <w:noWrap/>
            <w:vAlign w:val="center"/>
            <w:hideMark/>
          </w:tcPr>
          <w:p w14:paraId="11EAAE8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2.50</w:t>
            </w:r>
          </w:p>
        </w:tc>
      </w:tr>
      <w:tr w:rsidR="006428D8" w:rsidRPr="00882085" w14:paraId="11EAAE9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E8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E8D"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E8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E8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9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600" w:type="dxa"/>
            <w:tcBorders>
              <w:top w:val="nil"/>
              <w:left w:val="nil"/>
              <w:bottom w:val="single" w:sz="4" w:space="0" w:color="auto"/>
              <w:right w:val="single" w:sz="4" w:space="0" w:color="auto"/>
            </w:tcBorders>
            <w:shd w:val="clear" w:color="auto" w:fill="auto"/>
            <w:noWrap/>
            <w:vAlign w:val="center"/>
            <w:hideMark/>
          </w:tcPr>
          <w:p w14:paraId="11EAAE9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9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E9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67" w:type="dxa"/>
            <w:tcBorders>
              <w:top w:val="nil"/>
              <w:left w:val="nil"/>
              <w:bottom w:val="single" w:sz="4" w:space="0" w:color="auto"/>
              <w:right w:val="single" w:sz="4" w:space="0" w:color="auto"/>
            </w:tcBorders>
            <w:shd w:val="clear" w:color="auto" w:fill="auto"/>
            <w:noWrap/>
            <w:vAlign w:val="center"/>
            <w:hideMark/>
          </w:tcPr>
          <w:p w14:paraId="11EAAE9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E9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E9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425" w:type="dxa"/>
            <w:tcBorders>
              <w:top w:val="nil"/>
              <w:left w:val="nil"/>
              <w:bottom w:val="single" w:sz="4" w:space="0" w:color="auto"/>
              <w:right w:val="single" w:sz="4" w:space="0" w:color="auto"/>
            </w:tcBorders>
            <w:shd w:val="clear" w:color="auto" w:fill="auto"/>
            <w:noWrap/>
            <w:vAlign w:val="center"/>
            <w:hideMark/>
          </w:tcPr>
          <w:p w14:paraId="11EAAE9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9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9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9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1.13</w:t>
            </w:r>
          </w:p>
        </w:tc>
        <w:tc>
          <w:tcPr>
            <w:tcW w:w="673" w:type="dxa"/>
            <w:tcBorders>
              <w:top w:val="nil"/>
              <w:left w:val="nil"/>
              <w:bottom w:val="single" w:sz="4" w:space="0" w:color="auto"/>
              <w:right w:val="single" w:sz="4" w:space="0" w:color="auto"/>
            </w:tcBorders>
            <w:shd w:val="clear" w:color="auto" w:fill="auto"/>
            <w:noWrap/>
            <w:vAlign w:val="center"/>
            <w:hideMark/>
          </w:tcPr>
          <w:p w14:paraId="11EAAE9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9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0.56</w:t>
            </w:r>
          </w:p>
        </w:tc>
        <w:tc>
          <w:tcPr>
            <w:tcW w:w="846" w:type="dxa"/>
            <w:tcBorders>
              <w:top w:val="nil"/>
              <w:left w:val="nil"/>
              <w:bottom w:val="single" w:sz="4" w:space="0" w:color="auto"/>
              <w:right w:val="single" w:sz="4" w:space="0" w:color="auto"/>
            </w:tcBorders>
            <w:shd w:val="clear" w:color="auto" w:fill="auto"/>
            <w:noWrap/>
            <w:vAlign w:val="center"/>
            <w:hideMark/>
          </w:tcPr>
          <w:p w14:paraId="11EAAE9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673" w:type="dxa"/>
            <w:tcBorders>
              <w:top w:val="nil"/>
              <w:left w:val="nil"/>
              <w:bottom w:val="single" w:sz="4" w:space="0" w:color="auto"/>
              <w:right w:val="single" w:sz="4" w:space="0" w:color="auto"/>
            </w:tcBorders>
            <w:shd w:val="clear" w:color="auto" w:fill="auto"/>
            <w:noWrap/>
            <w:vAlign w:val="center"/>
            <w:hideMark/>
          </w:tcPr>
          <w:p w14:paraId="11EAAE9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r>
      <w:tr w:rsidR="006428D8" w:rsidRPr="00882085" w14:paraId="11EAAEB3" w14:textId="77777777" w:rsidTr="00184C63">
        <w:trPr>
          <w:trHeight w:val="340"/>
        </w:trPr>
        <w:tc>
          <w:tcPr>
            <w:tcW w:w="704"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AEA0"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Burdekin</w:t>
            </w: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EA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Palms East</w:t>
            </w:r>
          </w:p>
        </w:tc>
        <w:tc>
          <w:tcPr>
            <w:tcW w:w="500" w:type="dxa"/>
            <w:tcBorders>
              <w:top w:val="nil"/>
              <w:left w:val="nil"/>
              <w:bottom w:val="single" w:sz="4" w:space="0" w:color="auto"/>
              <w:right w:val="single" w:sz="4" w:space="0" w:color="auto"/>
            </w:tcBorders>
            <w:shd w:val="clear" w:color="auto" w:fill="auto"/>
            <w:noWrap/>
            <w:vAlign w:val="center"/>
            <w:hideMark/>
          </w:tcPr>
          <w:p w14:paraId="11EAAEA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EA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A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A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A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EA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767" w:type="dxa"/>
            <w:tcBorders>
              <w:top w:val="nil"/>
              <w:left w:val="nil"/>
              <w:bottom w:val="single" w:sz="4" w:space="0" w:color="auto"/>
              <w:right w:val="single" w:sz="4" w:space="0" w:color="auto"/>
            </w:tcBorders>
            <w:shd w:val="clear" w:color="auto" w:fill="auto"/>
            <w:noWrap/>
            <w:vAlign w:val="center"/>
            <w:hideMark/>
          </w:tcPr>
          <w:p w14:paraId="11EAAEA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7.25</w:t>
            </w:r>
          </w:p>
        </w:tc>
        <w:tc>
          <w:tcPr>
            <w:tcW w:w="610" w:type="dxa"/>
            <w:tcBorders>
              <w:top w:val="nil"/>
              <w:left w:val="nil"/>
              <w:bottom w:val="single" w:sz="4" w:space="0" w:color="auto"/>
              <w:right w:val="single" w:sz="4" w:space="0" w:color="auto"/>
            </w:tcBorders>
            <w:shd w:val="clear" w:color="auto" w:fill="auto"/>
            <w:noWrap/>
            <w:vAlign w:val="center"/>
            <w:hideMark/>
          </w:tcPr>
          <w:p w14:paraId="11EAAEA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EA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425" w:type="dxa"/>
            <w:tcBorders>
              <w:top w:val="nil"/>
              <w:left w:val="nil"/>
              <w:bottom w:val="single" w:sz="4" w:space="0" w:color="auto"/>
              <w:right w:val="single" w:sz="4" w:space="0" w:color="auto"/>
            </w:tcBorders>
            <w:shd w:val="clear" w:color="auto" w:fill="auto"/>
            <w:noWrap/>
            <w:vAlign w:val="center"/>
            <w:hideMark/>
          </w:tcPr>
          <w:p w14:paraId="11EAAEA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A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A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A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73" w:type="dxa"/>
            <w:tcBorders>
              <w:top w:val="nil"/>
              <w:left w:val="nil"/>
              <w:bottom w:val="single" w:sz="4" w:space="0" w:color="auto"/>
              <w:right w:val="single" w:sz="4" w:space="0" w:color="auto"/>
            </w:tcBorders>
            <w:shd w:val="clear" w:color="auto" w:fill="auto"/>
            <w:noWrap/>
            <w:vAlign w:val="center"/>
            <w:hideMark/>
          </w:tcPr>
          <w:p w14:paraId="11EAAEA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B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B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B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r>
      <w:tr w:rsidR="006428D8" w:rsidRPr="00882085" w14:paraId="11EAAEC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EB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EB5"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EB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EB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B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B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B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EB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0.31</w:t>
            </w:r>
          </w:p>
        </w:tc>
        <w:tc>
          <w:tcPr>
            <w:tcW w:w="767" w:type="dxa"/>
            <w:tcBorders>
              <w:top w:val="nil"/>
              <w:left w:val="nil"/>
              <w:bottom w:val="single" w:sz="4" w:space="0" w:color="auto"/>
              <w:right w:val="single" w:sz="4" w:space="0" w:color="auto"/>
            </w:tcBorders>
            <w:shd w:val="clear" w:color="auto" w:fill="auto"/>
            <w:noWrap/>
            <w:vAlign w:val="center"/>
            <w:hideMark/>
          </w:tcPr>
          <w:p w14:paraId="11EAAEB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11.50</w:t>
            </w:r>
          </w:p>
        </w:tc>
        <w:tc>
          <w:tcPr>
            <w:tcW w:w="610" w:type="dxa"/>
            <w:tcBorders>
              <w:top w:val="nil"/>
              <w:left w:val="nil"/>
              <w:bottom w:val="single" w:sz="4" w:space="0" w:color="auto"/>
              <w:right w:val="single" w:sz="4" w:space="0" w:color="auto"/>
            </w:tcBorders>
            <w:shd w:val="clear" w:color="auto" w:fill="auto"/>
            <w:noWrap/>
            <w:vAlign w:val="center"/>
            <w:hideMark/>
          </w:tcPr>
          <w:p w14:paraId="11EAAEB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EB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EB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C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C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C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673" w:type="dxa"/>
            <w:tcBorders>
              <w:top w:val="nil"/>
              <w:left w:val="nil"/>
              <w:bottom w:val="single" w:sz="4" w:space="0" w:color="auto"/>
              <w:right w:val="single" w:sz="4" w:space="0" w:color="auto"/>
            </w:tcBorders>
            <w:shd w:val="clear" w:color="auto" w:fill="auto"/>
            <w:noWrap/>
            <w:vAlign w:val="center"/>
            <w:hideMark/>
          </w:tcPr>
          <w:p w14:paraId="11EAAEC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C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C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C6"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ED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EC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EC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Palms West</w:t>
            </w:r>
          </w:p>
        </w:tc>
        <w:tc>
          <w:tcPr>
            <w:tcW w:w="500" w:type="dxa"/>
            <w:tcBorders>
              <w:top w:val="nil"/>
              <w:left w:val="nil"/>
              <w:bottom w:val="single" w:sz="4" w:space="0" w:color="auto"/>
              <w:right w:val="single" w:sz="4" w:space="0" w:color="auto"/>
            </w:tcBorders>
            <w:shd w:val="clear" w:color="auto" w:fill="auto"/>
            <w:noWrap/>
            <w:vAlign w:val="center"/>
            <w:hideMark/>
          </w:tcPr>
          <w:p w14:paraId="11EAAEC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EC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C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C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C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EC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67" w:type="dxa"/>
            <w:tcBorders>
              <w:top w:val="nil"/>
              <w:left w:val="nil"/>
              <w:bottom w:val="single" w:sz="4" w:space="0" w:color="auto"/>
              <w:right w:val="single" w:sz="4" w:space="0" w:color="auto"/>
            </w:tcBorders>
            <w:shd w:val="clear" w:color="auto" w:fill="auto"/>
            <w:noWrap/>
            <w:vAlign w:val="center"/>
            <w:hideMark/>
          </w:tcPr>
          <w:p w14:paraId="11EAAED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ED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ED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425" w:type="dxa"/>
            <w:tcBorders>
              <w:top w:val="nil"/>
              <w:left w:val="nil"/>
              <w:bottom w:val="single" w:sz="4" w:space="0" w:color="auto"/>
              <w:right w:val="single" w:sz="4" w:space="0" w:color="auto"/>
            </w:tcBorders>
            <w:shd w:val="clear" w:color="auto" w:fill="auto"/>
            <w:noWrap/>
            <w:vAlign w:val="center"/>
            <w:hideMark/>
          </w:tcPr>
          <w:p w14:paraId="11EAAED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D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D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D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D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D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D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DA"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EE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ED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EDD"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ED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ED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E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E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600" w:type="dxa"/>
            <w:tcBorders>
              <w:top w:val="nil"/>
              <w:left w:val="nil"/>
              <w:bottom w:val="single" w:sz="4" w:space="0" w:color="auto"/>
              <w:right w:val="single" w:sz="4" w:space="0" w:color="auto"/>
            </w:tcBorders>
            <w:shd w:val="clear" w:color="auto" w:fill="auto"/>
            <w:noWrap/>
            <w:vAlign w:val="center"/>
            <w:hideMark/>
          </w:tcPr>
          <w:p w14:paraId="11EAAEE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EE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767" w:type="dxa"/>
            <w:tcBorders>
              <w:top w:val="nil"/>
              <w:left w:val="nil"/>
              <w:bottom w:val="single" w:sz="4" w:space="0" w:color="auto"/>
              <w:right w:val="single" w:sz="4" w:space="0" w:color="auto"/>
            </w:tcBorders>
            <w:shd w:val="clear" w:color="auto" w:fill="auto"/>
            <w:noWrap/>
            <w:vAlign w:val="center"/>
            <w:hideMark/>
          </w:tcPr>
          <w:p w14:paraId="11EAAEE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EE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EE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EE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E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E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E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E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E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846" w:type="dxa"/>
            <w:tcBorders>
              <w:top w:val="nil"/>
              <w:left w:val="nil"/>
              <w:bottom w:val="single" w:sz="4" w:space="0" w:color="auto"/>
              <w:right w:val="single" w:sz="4" w:space="0" w:color="auto"/>
            </w:tcBorders>
            <w:shd w:val="clear" w:color="auto" w:fill="auto"/>
            <w:noWrap/>
            <w:vAlign w:val="center"/>
            <w:hideMark/>
          </w:tcPr>
          <w:p w14:paraId="11EAAEE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EE"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F03"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EF0"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EF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Havannah</w:t>
            </w:r>
          </w:p>
        </w:tc>
        <w:tc>
          <w:tcPr>
            <w:tcW w:w="500" w:type="dxa"/>
            <w:tcBorders>
              <w:top w:val="nil"/>
              <w:left w:val="nil"/>
              <w:bottom w:val="single" w:sz="4" w:space="0" w:color="auto"/>
              <w:right w:val="single" w:sz="4" w:space="0" w:color="auto"/>
            </w:tcBorders>
            <w:shd w:val="clear" w:color="auto" w:fill="auto"/>
            <w:noWrap/>
            <w:vAlign w:val="center"/>
            <w:hideMark/>
          </w:tcPr>
          <w:p w14:paraId="11EAAEF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EF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F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F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EF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EF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767" w:type="dxa"/>
            <w:tcBorders>
              <w:top w:val="nil"/>
              <w:left w:val="nil"/>
              <w:bottom w:val="single" w:sz="4" w:space="0" w:color="auto"/>
              <w:right w:val="single" w:sz="4" w:space="0" w:color="auto"/>
            </w:tcBorders>
            <w:shd w:val="clear" w:color="auto" w:fill="auto"/>
            <w:noWrap/>
            <w:vAlign w:val="center"/>
            <w:hideMark/>
          </w:tcPr>
          <w:p w14:paraId="11EAAEF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10" w:type="dxa"/>
            <w:tcBorders>
              <w:top w:val="nil"/>
              <w:left w:val="nil"/>
              <w:bottom w:val="single" w:sz="4" w:space="0" w:color="auto"/>
              <w:right w:val="single" w:sz="4" w:space="0" w:color="auto"/>
            </w:tcBorders>
            <w:shd w:val="clear" w:color="auto" w:fill="auto"/>
            <w:noWrap/>
            <w:vAlign w:val="center"/>
            <w:hideMark/>
          </w:tcPr>
          <w:p w14:paraId="11EAAEF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EF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425" w:type="dxa"/>
            <w:tcBorders>
              <w:top w:val="nil"/>
              <w:left w:val="nil"/>
              <w:bottom w:val="single" w:sz="4" w:space="0" w:color="auto"/>
              <w:right w:val="single" w:sz="4" w:space="0" w:color="auto"/>
            </w:tcBorders>
            <w:shd w:val="clear" w:color="auto" w:fill="auto"/>
            <w:noWrap/>
            <w:vAlign w:val="center"/>
            <w:hideMark/>
          </w:tcPr>
          <w:p w14:paraId="11EAAEF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73" w:type="dxa"/>
            <w:tcBorders>
              <w:top w:val="nil"/>
              <w:left w:val="nil"/>
              <w:bottom w:val="single" w:sz="4" w:space="0" w:color="auto"/>
              <w:right w:val="single" w:sz="4" w:space="0" w:color="auto"/>
            </w:tcBorders>
            <w:shd w:val="clear" w:color="auto" w:fill="auto"/>
            <w:noWrap/>
            <w:vAlign w:val="center"/>
            <w:hideMark/>
          </w:tcPr>
          <w:p w14:paraId="11EAAEF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EF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EF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73" w:type="dxa"/>
            <w:tcBorders>
              <w:top w:val="nil"/>
              <w:left w:val="nil"/>
              <w:bottom w:val="single" w:sz="4" w:space="0" w:color="auto"/>
              <w:right w:val="single" w:sz="4" w:space="0" w:color="auto"/>
            </w:tcBorders>
            <w:shd w:val="clear" w:color="auto" w:fill="auto"/>
            <w:noWrap/>
            <w:vAlign w:val="center"/>
            <w:hideMark/>
          </w:tcPr>
          <w:p w14:paraId="11EAAEF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0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846" w:type="dxa"/>
            <w:tcBorders>
              <w:top w:val="nil"/>
              <w:left w:val="nil"/>
              <w:bottom w:val="single" w:sz="4" w:space="0" w:color="auto"/>
              <w:right w:val="single" w:sz="4" w:space="0" w:color="auto"/>
            </w:tcBorders>
            <w:shd w:val="clear" w:color="auto" w:fill="auto"/>
            <w:noWrap/>
            <w:vAlign w:val="center"/>
            <w:hideMark/>
          </w:tcPr>
          <w:p w14:paraId="11EAAF0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0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r>
      <w:tr w:rsidR="006428D8" w:rsidRPr="00882085" w14:paraId="11EAAF1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F0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F05"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F0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F0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0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600" w:type="dxa"/>
            <w:tcBorders>
              <w:top w:val="nil"/>
              <w:left w:val="nil"/>
              <w:bottom w:val="single" w:sz="4" w:space="0" w:color="auto"/>
              <w:right w:val="single" w:sz="4" w:space="0" w:color="auto"/>
            </w:tcBorders>
            <w:shd w:val="clear" w:color="auto" w:fill="auto"/>
            <w:noWrap/>
            <w:vAlign w:val="center"/>
            <w:hideMark/>
          </w:tcPr>
          <w:p w14:paraId="11EAAF0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0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F0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0.38</w:t>
            </w:r>
          </w:p>
        </w:tc>
        <w:tc>
          <w:tcPr>
            <w:tcW w:w="767" w:type="dxa"/>
            <w:tcBorders>
              <w:top w:val="nil"/>
              <w:left w:val="nil"/>
              <w:bottom w:val="single" w:sz="4" w:space="0" w:color="auto"/>
              <w:right w:val="single" w:sz="4" w:space="0" w:color="auto"/>
            </w:tcBorders>
            <w:shd w:val="clear" w:color="auto" w:fill="auto"/>
            <w:noWrap/>
            <w:vAlign w:val="center"/>
            <w:hideMark/>
          </w:tcPr>
          <w:p w14:paraId="11EAAF0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0.88</w:t>
            </w:r>
          </w:p>
        </w:tc>
        <w:tc>
          <w:tcPr>
            <w:tcW w:w="610" w:type="dxa"/>
            <w:tcBorders>
              <w:top w:val="nil"/>
              <w:left w:val="nil"/>
              <w:bottom w:val="single" w:sz="4" w:space="0" w:color="auto"/>
              <w:right w:val="single" w:sz="4" w:space="0" w:color="auto"/>
            </w:tcBorders>
            <w:shd w:val="clear" w:color="auto" w:fill="auto"/>
            <w:noWrap/>
            <w:vAlign w:val="center"/>
            <w:hideMark/>
          </w:tcPr>
          <w:p w14:paraId="11EAAF0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F0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425" w:type="dxa"/>
            <w:tcBorders>
              <w:top w:val="nil"/>
              <w:left w:val="nil"/>
              <w:bottom w:val="single" w:sz="4" w:space="0" w:color="auto"/>
              <w:right w:val="single" w:sz="4" w:space="0" w:color="auto"/>
            </w:tcBorders>
            <w:shd w:val="clear" w:color="auto" w:fill="auto"/>
            <w:noWrap/>
            <w:vAlign w:val="center"/>
            <w:hideMark/>
          </w:tcPr>
          <w:p w14:paraId="11EAAF0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73" w:type="dxa"/>
            <w:tcBorders>
              <w:top w:val="nil"/>
              <w:left w:val="nil"/>
              <w:bottom w:val="single" w:sz="4" w:space="0" w:color="auto"/>
              <w:right w:val="single" w:sz="4" w:space="0" w:color="auto"/>
            </w:tcBorders>
            <w:shd w:val="clear" w:color="auto" w:fill="auto"/>
            <w:noWrap/>
            <w:vAlign w:val="center"/>
            <w:hideMark/>
          </w:tcPr>
          <w:p w14:paraId="11EAAF1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1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1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4.13</w:t>
            </w:r>
          </w:p>
        </w:tc>
        <w:tc>
          <w:tcPr>
            <w:tcW w:w="673" w:type="dxa"/>
            <w:tcBorders>
              <w:top w:val="nil"/>
              <w:left w:val="nil"/>
              <w:bottom w:val="single" w:sz="4" w:space="0" w:color="auto"/>
              <w:right w:val="single" w:sz="4" w:space="0" w:color="auto"/>
            </w:tcBorders>
            <w:shd w:val="clear" w:color="auto" w:fill="auto"/>
            <w:noWrap/>
            <w:vAlign w:val="center"/>
            <w:hideMark/>
          </w:tcPr>
          <w:p w14:paraId="11EAAF1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1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9.44</w:t>
            </w:r>
          </w:p>
        </w:tc>
        <w:tc>
          <w:tcPr>
            <w:tcW w:w="846" w:type="dxa"/>
            <w:tcBorders>
              <w:top w:val="nil"/>
              <w:left w:val="nil"/>
              <w:bottom w:val="single" w:sz="4" w:space="0" w:color="auto"/>
              <w:right w:val="single" w:sz="4" w:space="0" w:color="auto"/>
            </w:tcBorders>
            <w:shd w:val="clear" w:color="auto" w:fill="auto"/>
            <w:noWrap/>
            <w:vAlign w:val="center"/>
            <w:hideMark/>
          </w:tcPr>
          <w:p w14:paraId="11EAAF1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2.63</w:t>
            </w:r>
          </w:p>
        </w:tc>
        <w:tc>
          <w:tcPr>
            <w:tcW w:w="673" w:type="dxa"/>
            <w:tcBorders>
              <w:top w:val="nil"/>
              <w:left w:val="nil"/>
              <w:bottom w:val="single" w:sz="4" w:space="0" w:color="auto"/>
              <w:right w:val="single" w:sz="4" w:space="0" w:color="auto"/>
            </w:tcBorders>
            <w:shd w:val="clear" w:color="auto" w:fill="auto"/>
            <w:noWrap/>
            <w:vAlign w:val="center"/>
            <w:hideMark/>
          </w:tcPr>
          <w:p w14:paraId="11EAAF1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1.25</w:t>
            </w:r>
          </w:p>
        </w:tc>
      </w:tr>
      <w:tr w:rsidR="006428D8" w:rsidRPr="00882085" w14:paraId="11EAAF2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F1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tcBorders>
              <w:top w:val="nil"/>
              <w:left w:val="nil"/>
              <w:bottom w:val="single" w:sz="4" w:space="0" w:color="auto"/>
              <w:right w:val="single" w:sz="4" w:space="0" w:color="auto"/>
            </w:tcBorders>
            <w:shd w:val="clear" w:color="auto" w:fill="auto"/>
            <w:noWrap/>
            <w:vAlign w:val="center"/>
            <w:hideMark/>
          </w:tcPr>
          <w:p w14:paraId="11EAAF1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Havannah North</w:t>
            </w:r>
          </w:p>
        </w:tc>
        <w:tc>
          <w:tcPr>
            <w:tcW w:w="500" w:type="dxa"/>
            <w:tcBorders>
              <w:top w:val="nil"/>
              <w:left w:val="nil"/>
              <w:bottom w:val="single" w:sz="4" w:space="0" w:color="auto"/>
              <w:right w:val="single" w:sz="4" w:space="0" w:color="auto"/>
            </w:tcBorders>
            <w:shd w:val="clear" w:color="auto" w:fill="auto"/>
            <w:noWrap/>
            <w:vAlign w:val="center"/>
            <w:hideMark/>
          </w:tcPr>
          <w:p w14:paraId="11EAAF1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F1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1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1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0.10</w:t>
            </w:r>
          </w:p>
        </w:tc>
        <w:tc>
          <w:tcPr>
            <w:tcW w:w="600" w:type="dxa"/>
            <w:tcBorders>
              <w:top w:val="nil"/>
              <w:left w:val="nil"/>
              <w:bottom w:val="single" w:sz="4" w:space="0" w:color="auto"/>
              <w:right w:val="single" w:sz="4" w:space="0" w:color="auto"/>
            </w:tcBorders>
            <w:shd w:val="clear" w:color="auto" w:fill="auto"/>
            <w:noWrap/>
            <w:vAlign w:val="center"/>
            <w:hideMark/>
          </w:tcPr>
          <w:p w14:paraId="11EAAF1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9.21</w:t>
            </w:r>
          </w:p>
        </w:tc>
        <w:tc>
          <w:tcPr>
            <w:tcW w:w="756" w:type="dxa"/>
            <w:tcBorders>
              <w:top w:val="nil"/>
              <w:left w:val="nil"/>
              <w:bottom w:val="single" w:sz="4" w:space="0" w:color="auto"/>
              <w:right w:val="single" w:sz="4" w:space="0" w:color="auto"/>
            </w:tcBorders>
            <w:shd w:val="clear" w:color="auto" w:fill="auto"/>
            <w:noWrap/>
            <w:vAlign w:val="center"/>
            <w:hideMark/>
          </w:tcPr>
          <w:p w14:paraId="11EAAF1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2.15</w:t>
            </w:r>
          </w:p>
        </w:tc>
        <w:tc>
          <w:tcPr>
            <w:tcW w:w="767" w:type="dxa"/>
            <w:tcBorders>
              <w:top w:val="nil"/>
              <w:left w:val="nil"/>
              <w:bottom w:val="single" w:sz="4" w:space="0" w:color="auto"/>
              <w:right w:val="single" w:sz="4" w:space="0" w:color="auto"/>
            </w:tcBorders>
            <w:shd w:val="clear" w:color="auto" w:fill="auto"/>
            <w:noWrap/>
            <w:vAlign w:val="center"/>
            <w:hideMark/>
          </w:tcPr>
          <w:p w14:paraId="11EAAF2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0.60</w:t>
            </w:r>
          </w:p>
        </w:tc>
        <w:tc>
          <w:tcPr>
            <w:tcW w:w="610" w:type="dxa"/>
            <w:tcBorders>
              <w:top w:val="nil"/>
              <w:left w:val="nil"/>
              <w:bottom w:val="single" w:sz="4" w:space="0" w:color="auto"/>
              <w:right w:val="single" w:sz="4" w:space="0" w:color="auto"/>
            </w:tcBorders>
            <w:shd w:val="clear" w:color="auto" w:fill="auto"/>
            <w:noWrap/>
            <w:vAlign w:val="center"/>
            <w:hideMark/>
          </w:tcPr>
          <w:p w14:paraId="11EAAF2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0.45</w:t>
            </w:r>
          </w:p>
        </w:tc>
        <w:tc>
          <w:tcPr>
            <w:tcW w:w="859" w:type="dxa"/>
            <w:tcBorders>
              <w:top w:val="nil"/>
              <w:left w:val="nil"/>
              <w:bottom w:val="single" w:sz="4" w:space="0" w:color="auto"/>
              <w:right w:val="single" w:sz="4" w:space="0" w:color="auto"/>
            </w:tcBorders>
            <w:shd w:val="clear" w:color="auto" w:fill="auto"/>
            <w:noWrap/>
            <w:vAlign w:val="center"/>
            <w:hideMark/>
          </w:tcPr>
          <w:p w14:paraId="11EAAF2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1.15</w:t>
            </w:r>
          </w:p>
        </w:tc>
        <w:tc>
          <w:tcPr>
            <w:tcW w:w="425" w:type="dxa"/>
            <w:tcBorders>
              <w:top w:val="nil"/>
              <w:left w:val="nil"/>
              <w:bottom w:val="single" w:sz="4" w:space="0" w:color="auto"/>
              <w:right w:val="single" w:sz="4" w:space="0" w:color="auto"/>
            </w:tcBorders>
            <w:shd w:val="clear" w:color="auto" w:fill="auto"/>
            <w:noWrap/>
            <w:vAlign w:val="center"/>
            <w:hideMark/>
          </w:tcPr>
          <w:p w14:paraId="11EAAF2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2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2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6.36</w:t>
            </w:r>
          </w:p>
        </w:tc>
        <w:tc>
          <w:tcPr>
            <w:tcW w:w="846" w:type="dxa"/>
            <w:tcBorders>
              <w:top w:val="nil"/>
              <w:left w:val="nil"/>
              <w:bottom w:val="single" w:sz="4" w:space="0" w:color="auto"/>
              <w:right w:val="single" w:sz="4" w:space="0" w:color="auto"/>
            </w:tcBorders>
            <w:shd w:val="clear" w:color="auto" w:fill="auto"/>
            <w:noWrap/>
            <w:vAlign w:val="center"/>
            <w:hideMark/>
          </w:tcPr>
          <w:p w14:paraId="11EAAF2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1.80</w:t>
            </w:r>
          </w:p>
        </w:tc>
        <w:tc>
          <w:tcPr>
            <w:tcW w:w="673" w:type="dxa"/>
            <w:tcBorders>
              <w:top w:val="nil"/>
              <w:left w:val="nil"/>
              <w:bottom w:val="single" w:sz="4" w:space="0" w:color="auto"/>
              <w:right w:val="single" w:sz="4" w:space="0" w:color="auto"/>
            </w:tcBorders>
            <w:shd w:val="clear" w:color="auto" w:fill="auto"/>
            <w:noWrap/>
            <w:vAlign w:val="center"/>
            <w:hideMark/>
          </w:tcPr>
          <w:p w14:paraId="11EAAF2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0.50</w:t>
            </w:r>
          </w:p>
        </w:tc>
        <w:tc>
          <w:tcPr>
            <w:tcW w:w="846" w:type="dxa"/>
            <w:tcBorders>
              <w:top w:val="nil"/>
              <w:left w:val="nil"/>
              <w:bottom w:val="single" w:sz="4" w:space="0" w:color="auto"/>
              <w:right w:val="single" w:sz="4" w:space="0" w:color="auto"/>
            </w:tcBorders>
            <w:shd w:val="clear" w:color="auto" w:fill="auto"/>
            <w:noWrap/>
            <w:vAlign w:val="center"/>
            <w:hideMark/>
          </w:tcPr>
          <w:p w14:paraId="11EAAF2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12.45</w:t>
            </w:r>
          </w:p>
        </w:tc>
        <w:tc>
          <w:tcPr>
            <w:tcW w:w="846" w:type="dxa"/>
            <w:tcBorders>
              <w:top w:val="nil"/>
              <w:left w:val="nil"/>
              <w:bottom w:val="single" w:sz="4" w:space="0" w:color="auto"/>
              <w:right w:val="single" w:sz="4" w:space="0" w:color="auto"/>
            </w:tcBorders>
            <w:shd w:val="clear" w:color="auto" w:fill="auto"/>
            <w:noWrap/>
            <w:vAlign w:val="center"/>
            <w:hideMark/>
          </w:tcPr>
          <w:p w14:paraId="11EAAF2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8.95</w:t>
            </w:r>
          </w:p>
        </w:tc>
        <w:tc>
          <w:tcPr>
            <w:tcW w:w="673" w:type="dxa"/>
            <w:tcBorders>
              <w:top w:val="nil"/>
              <w:left w:val="nil"/>
              <w:bottom w:val="single" w:sz="4" w:space="0" w:color="auto"/>
              <w:right w:val="single" w:sz="4" w:space="0" w:color="auto"/>
            </w:tcBorders>
            <w:shd w:val="clear" w:color="auto" w:fill="auto"/>
            <w:noWrap/>
            <w:vAlign w:val="center"/>
            <w:hideMark/>
          </w:tcPr>
          <w:p w14:paraId="11EAAF2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1.70</w:t>
            </w:r>
          </w:p>
        </w:tc>
      </w:tr>
      <w:tr w:rsidR="006428D8" w:rsidRPr="00882085" w14:paraId="11EAAF3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F2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tcBorders>
              <w:top w:val="nil"/>
              <w:left w:val="nil"/>
              <w:bottom w:val="single" w:sz="4" w:space="0" w:color="auto"/>
              <w:right w:val="single" w:sz="4" w:space="0" w:color="auto"/>
            </w:tcBorders>
            <w:shd w:val="clear" w:color="auto" w:fill="auto"/>
            <w:noWrap/>
            <w:vAlign w:val="center"/>
            <w:hideMark/>
          </w:tcPr>
          <w:p w14:paraId="11EAAF2D"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Pandora North</w:t>
            </w:r>
          </w:p>
        </w:tc>
        <w:tc>
          <w:tcPr>
            <w:tcW w:w="500" w:type="dxa"/>
            <w:tcBorders>
              <w:top w:val="nil"/>
              <w:left w:val="nil"/>
              <w:bottom w:val="single" w:sz="4" w:space="0" w:color="auto"/>
              <w:right w:val="single" w:sz="4" w:space="0" w:color="auto"/>
            </w:tcBorders>
            <w:shd w:val="clear" w:color="auto" w:fill="auto"/>
            <w:noWrap/>
            <w:vAlign w:val="center"/>
            <w:hideMark/>
          </w:tcPr>
          <w:p w14:paraId="11EAAF2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F2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3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0.20</w:t>
            </w:r>
          </w:p>
        </w:tc>
        <w:tc>
          <w:tcPr>
            <w:tcW w:w="600" w:type="dxa"/>
            <w:tcBorders>
              <w:top w:val="nil"/>
              <w:left w:val="nil"/>
              <w:bottom w:val="single" w:sz="4" w:space="0" w:color="auto"/>
              <w:right w:val="single" w:sz="4" w:space="0" w:color="auto"/>
            </w:tcBorders>
            <w:shd w:val="clear" w:color="auto" w:fill="auto"/>
            <w:noWrap/>
            <w:vAlign w:val="center"/>
            <w:hideMark/>
          </w:tcPr>
          <w:p w14:paraId="11EAAF3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0.10</w:t>
            </w:r>
          </w:p>
        </w:tc>
        <w:tc>
          <w:tcPr>
            <w:tcW w:w="600" w:type="dxa"/>
            <w:tcBorders>
              <w:top w:val="nil"/>
              <w:left w:val="nil"/>
              <w:bottom w:val="single" w:sz="4" w:space="0" w:color="auto"/>
              <w:right w:val="single" w:sz="4" w:space="0" w:color="auto"/>
            </w:tcBorders>
            <w:shd w:val="clear" w:color="auto" w:fill="auto"/>
            <w:noWrap/>
            <w:vAlign w:val="center"/>
            <w:hideMark/>
          </w:tcPr>
          <w:p w14:paraId="11EAAF3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3.70</w:t>
            </w:r>
          </w:p>
        </w:tc>
        <w:tc>
          <w:tcPr>
            <w:tcW w:w="756" w:type="dxa"/>
            <w:tcBorders>
              <w:top w:val="nil"/>
              <w:left w:val="nil"/>
              <w:bottom w:val="single" w:sz="4" w:space="0" w:color="auto"/>
              <w:right w:val="single" w:sz="4" w:space="0" w:color="auto"/>
            </w:tcBorders>
            <w:shd w:val="clear" w:color="auto" w:fill="auto"/>
            <w:noWrap/>
            <w:vAlign w:val="center"/>
            <w:hideMark/>
          </w:tcPr>
          <w:p w14:paraId="11EAAF3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3.40</w:t>
            </w:r>
          </w:p>
        </w:tc>
        <w:tc>
          <w:tcPr>
            <w:tcW w:w="767" w:type="dxa"/>
            <w:tcBorders>
              <w:top w:val="nil"/>
              <w:left w:val="nil"/>
              <w:bottom w:val="single" w:sz="4" w:space="0" w:color="auto"/>
              <w:right w:val="single" w:sz="4" w:space="0" w:color="auto"/>
            </w:tcBorders>
            <w:shd w:val="clear" w:color="auto" w:fill="auto"/>
            <w:noWrap/>
            <w:vAlign w:val="center"/>
            <w:hideMark/>
          </w:tcPr>
          <w:p w14:paraId="11EAAF3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F3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F3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0.50</w:t>
            </w:r>
          </w:p>
        </w:tc>
        <w:tc>
          <w:tcPr>
            <w:tcW w:w="425" w:type="dxa"/>
            <w:tcBorders>
              <w:top w:val="nil"/>
              <w:left w:val="nil"/>
              <w:bottom w:val="single" w:sz="4" w:space="0" w:color="auto"/>
              <w:right w:val="single" w:sz="4" w:space="0" w:color="auto"/>
            </w:tcBorders>
            <w:shd w:val="clear" w:color="auto" w:fill="auto"/>
            <w:noWrap/>
            <w:vAlign w:val="center"/>
            <w:hideMark/>
          </w:tcPr>
          <w:p w14:paraId="11EAAF3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3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3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0.50</w:t>
            </w:r>
          </w:p>
        </w:tc>
        <w:tc>
          <w:tcPr>
            <w:tcW w:w="846" w:type="dxa"/>
            <w:tcBorders>
              <w:top w:val="nil"/>
              <w:left w:val="nil"/>
              <w:bottom w:val="single" w:sz="4" w:space="0" w:color="auto"/>
              <w:right w:val="single" w:sz="4" w:space="0" w:color="auto"/>
            </w:tcBorders>
            <w:shd w:val="clear" w:color="auto" w:fill="auto"/>
            <w:noWrap/>
            <w:vAlign w:val="center"/>
            <w:hideMark/>
          </w:tcPr>
          <w:p w14:paraId="11EAAF3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5.00</w:t>
            </w:r>
          </w:p>
        </w:tc>
        <w:tc>
          <w:tcPr>
            <w:tcW w:w="673" w:type="dxa"/>
            <w:tcBorders>
              <w:top w:val="nil"/>
              <w:left w:val="nil"/>
              <w:bottom w:val="single" w:sz="4" w:space="0" w:color="auto"/>
              <w:right w:val="single" w:sz="4" w:space="0" w:color="auto"/>
            </w:tcBorders>
            <w:shd w:val="clear" w:color="auto" w:fill="auto"/>
            <w:noWrap/>
            <w:vAlign w:val="center"/>
            <w:hideMark/>
          </w:tcPr>
          <w:p w14:paraId="11EAAF3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3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15.60</w:t>
            </w:r>
          </w:p>
        </w:tc>
        <w:tc>
          <w:tcPr>
            <w:tcW w:w="846" w:type="dxa"/>
            <w:tcBorders>
              <w:top w:val="nil"/>
              <w:left w:val="nil"/>
              <w:bottom w:val="single" w:sz="4" w:space="0" w:color="auto"/>
              <w:right w:val="single" w:sz="4" w:space="0" w:color="auto"/>
            </w:tcBorders>
            <w:shd w:val="clear" w:color="auto" w:fill="auto"/>
            <w:noWrap/>
            <w:vAlign w:val="center"/>
            <w:hideMark/>
          </w:tcPr>
          <w:p w14:paraId="11EAAF3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11.00</w:t>
            </w:r>
          </w:p>
        </w:tc>
        <w:tc>
          <w:tcPr>
            <w:tcW w:w="673" w:type="dxa"/>
            <w:tcBorders>
              <w:top w:val="nil"/>
              <w:left w:val="nil"/>
              <w:bottom w:val="single" w:sz="4" w:space="0" w:color="auto"/>
              <w:right w:val="single" w:sz="4" w:space="0" w:color="auto"/>
            </w:tcBorders>
            <w:shd w:val="clear" w:color="auto" w:fill="auto"/>
            <w:noWrap/>
            <w:vAlign w:val="center"/>
            <w:hideMark/>
          </w:tcPr>
          <w:p w14:paraId="11EAAF3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2.10</w:t>
            </w:r>
          </w:p>
        </w:tc>
      </w:tr>
      <w:tr w:rsidR="006428D8" w:rsidRPr="00882085" w14:paraId="11EAAF53"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F40"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F4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Pandora</w:t>
            </w:r>
          </w:p>
        </w:tc>
        <w:tc>
          <w:tcPr>
            <w:tcW w:w="500" w:type="dxa"/>
            <w:tcBorders>
              <w:top w:val="nil"/>
              <w:left w:val="nil"/>
              <w:bottom w:val="single" w:sz="4" w:space="0" w:color="auto"/>
              <w:right w:val="single" w:sz="4" w:space="0" w:color="auto"/>
            </w:tcBorders>
            <w:shd w:val="clear" w:color="auto" w:fill="auto"/>
            <w:noWrap/>
            <w:vAlign w:val="center"/>
            <w:hideMark/>
          </w:tcPr>
          <w:p w14:paraId="11EAAF4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F4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4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600" w:type="dxa"/>
            <w:tcBorders>
              <w:top w:val="nil"/>
              <w:left w:val="nil"/>
              <w:bottom w:val="single" w:sz="4" w:space="0" w:color="auto"/>
              <w:right w:val="single" w:sz="4" w:space="0" w:color="auto"/>
            </w:tcBorders>
            <w:shd w:val="clear" w:color="auto" w:fill="auto"/>
            <w:noWrap/>
            <w:vAlign w:val="center"/>
            <w:hideMark/>
          </w:tcPr>
          <w:p w14:paraId="11EAAF4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4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756" w:type="dxa"/>
            <w:tcBorders>
              <w:top w:val="nil"/>
              <w:left w:val="nil"/>
              <w:bottom w:val="single" w:sz="4" w:space="0" w:color="auto"/>
              <w:right w:val="single" w:sz="4" w:space="0" w:color="auto"/>
            </w:tcBorders>
            <w:shd w:val="clear" w:color="auto" w:fill="auto"/>
            <w:noWrap/>
            <w:vAlign w:val="center"/>
            <w:hideMark/>
          </w:tcPr>
          <w:p w14:paraId="11EAAF4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0.75</w:t>
            </w:r>
          </w:p>
        </w:tc>
        <w:tc>
          <w:tcPr>
            <w:tcW w:w="767" w:type="dxa"/>
            <w:tcBorders>
              <w:top w:val="nil"/>
              <w:left w:val="nil"/>
              <w:bottom w:val="single" w:sz="4" w:space="0" w:color="auto"/>
              <w:right w:val="single" w:sz="4" w:space="0" w:color="auto"/>
            </w:tcBorders>
            <w:shd w:val="clear" w:color="auto" w:fill="auto"/>
            <w:noWrap/>
            <w:vAlign w:val="center"/>
            <w:hideMark/>
          </w:tcPr>
          <w:p w14:paraId="11EAAF4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10" w:type="dxa"/>
            <w:tcBorders>
              <w:top w:val="nil"/>
              <w:left w:val="nil"/>
              <w:bottom w:val="single" w:sz="4" w:space="0" w:color="auto"/>
              <w:right w:val="single" w:sz="4" w:space="0" w:color="auto"/>
            </w:tcBorders>
            <w:shd w:val="clear" w:color="auto" w:fill="auto"/>
            <w:noWrap/>
            <w:vAlign w:val="center"/>
            <w:hideMark/>
          </w:tcPr>
          <w:p w14:paraId="11EAAF4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F4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425" w:type="dxa"/>
            <w:tcBorders>
              <w:top w:val="nil"/>
              <w:left w:val="nil"/>
              <w:bottom w:val="single" w:sz="4" w:space="0" w:color="auto"/>
              <w:right w:val="single" w:sz="4" w:space="0" w:color="auto"/>
            </w:tcBorders>
            <w:shd w:val="clear" w:color="auto" w:fill="auto"/>
            <w:noWrap/>
            <w:vAlign w:val="center"/>
            <w:hideMark/>
          </w:tcPr>
          <w:p w14:paraId="11EAAF4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4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4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846" w:type="dxa"/>
            <w:tcBorders>
              <w:top w:val="nil"/>
              <w:left w:val="nil"/>
              <w:bottom w:val="single" w:sz="4" w:space="0" w:color="auto"/>
              <w:right w:val="single" w:sz="4" w:space="0" w:color="auto"/>
            </w:tcBorders>
            <w:shd w:val="clear" w:color="auto" w:fill="auto"/>
            <w:noWrap/>
            <w:vAlign w:val="center"/>
            <w:hideMark/>
          </w:tcPr>
          <w:p w14:paraId="11EAAF4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1.38</w:t>
            </w:r>
          </w:p>
        </w:tc>
        <w:tc>
          <w:tcPr>
            <w:tcW w:w="673" w:type="dxa"/>
            <w:tcBorders>
              <w:top w:val="nil"/>
              <w:left w:val="nil"/>
              <w:bottom w:val="single" w:sz="4" w:space="0" w:color="auto"/>
              <w:right w:val="single" w:sz="4" w:space="0" w:color="auto"/>
            </w:tcBorders>
            <w:shd w:val="clear" w:color="auto" w:fill="auto"/>
            <w:noWrap/>
            <w:vAlign w:val="center"/>
            <w:hideMark/>
          </w:tcPr>
          <w:p w14:paraId="11EAAF4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5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2.50</w:t>
            </w:r>
          </w:p>
        </w:tc>
        <w:tc>
          <w:tcPr>
            <w:tcW w:w="846" w:type="dxa"/>
            <w:tcBorders>
              <w:top w:val="nil"/>
              <w:left w:val="nil"/>
              <w:bottom w:val="single" w:sz="4" w:space="0" w:color="auto"/>
              <w:right w:val="single" w:sz="4" w:space="0" w:color="auto"/>
            </w:tcBorders>
            <w:shd w:val="clear" w:color="auto" w:fill="auto"/>
            <w:noWrap/>
            <w:vAlign w:val="center"/>
            <w:hideMark/>
          </w:tcPr>
          <w:p w14:paraId="11EAAF5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29.56</w:t>
            </w:r>
          </w:p>
        </w:tc>
        <w:tc>
          <w:tcPr>
            <w:tcW w:w="673" w:type="dxa"/>
            <w:tcBorders>
              <w:top w:val="nil"/>
              <w:left w:val="nil"/>
              <w:bottom w:val="single" w:sz="4" w:space="0" w:color="auto"/>
              <w:right w:val="single" w:sz="4" w:space="0" w:color="auto"/>
            </w:tcBorders>
            <w:shd w:val="clear" w:color="auto" w:fill="auto"/>
            <w:noWrap/>
            <w:vAlign w:val="center"/>
            <w:hideMark/>
          </w:tcPr>
          <w:p w14:paraId="11EAAF5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2.44</w:t>
            </w:r>
          </w:p>
        </w:tc>
      </w:tr>
      <w:tr w:rsidR="006428D8" w:rsidRPr="00882085" w14:paraId="11EAAF6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F5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F55"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F5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F5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5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00" w:type="dxa"/>
            <w:tcBorders>
              <w:top w:val="nil"/>
              <w:left w:val="nil"/>
              <w:bottom w:val="single" w:sz="4" w:space="0" w:color="auto"/>
              <w:right w:val="single" w:sz="4" w:space="0" w:color="auto"/>
            </w:tcBorders>
            <w:shd w:val="clear" w:color="auto" w:fill="auto"/>
            <w:noWrap/>
            <w:vAlign w:val="center"/>
            <w:hideMark/>
          </w:tcPr>
          <w:p w14:paraId="11EAAF5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5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2.56</w:t>
            </w:r>
          </w:p>
        </w:tc>
        <w:tc>
          <w:tcPr>
            <w:tcW w:w="756" w:type="dxa"/>
            <w:tcBorders>
              <w:top w:val="nil"/>
              <w:left w:val="nil"/>
              <w:bottom w:val="single" w:sz="4" w:space="0" w:color="auto"/>
              <w:right w:val="single" w:sz="4" w:space="0" w:color="auto"/>
            </w:tcBorders>
            <w:shd w:val="clear" w:color="auto" w:fill="auto"/>
            <w:noWrap/>
            <w:vAlign w:val="center"/>
            <w:hideMark/>
          </w:tcPr>
          <w:p w14:paraId="11EAAF5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767" w:type="dxa"/>
            <w:tcBorders>
              <w:top w:val="nil"/>
              <w:left w:val="nil"/>
              <w:bottom w:val="single" w:sz="4" w:space="0" w:color="auto"/>
              <w:right w:val="single" w:sz="4" w:space="0" w:color="auto"/>
            </w:tcBorders>
            <w:shd w:val="clear" w:color="auto" w:fill="auto"/>
            <w:noWrap/>
            <w:vAlign w:val="center"/>
            <w:hideMark/>
          </w:tcPr>
          <w:p w14:paraId="11EAAF5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0.63</w:t>
            </w:r>
          </w:p>
        </w:tc>
        <w:tc>
          <w:tcPr>
            <w:tcW w:w="610" w:type="dxa"/>
            <w:tcBorders>
              <w:top w:val="nil"/>
              <w:left w:val="nil"/>
              <w:bottom w:val="single" w:sz="4" w:space="0" w:color="auto"/>
              <w:right w:val="single" w:sz="4" w:space="0" w:color="auto"/>
            </w:tcBorders>
            <w:shd w:val="clear" w:color="auto" w:fill="auto"/>
            <w:noWrap/>
            <w:vAlign w:val="center"/>
            <w:hideMark/>
          </w:tcPr>
          <w:p w14:paraId="11EAAF5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F5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F5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6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6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0.56</w:t>
            </w:r>
          </w:p>
        </w:tc>
        <w:tc>
          <w:tcPr>
            <w:tcW w:w="846" w:type="dxa"/>
            <w:tcBorders>
              <w:top w:val="nil"/>
              <w:left w:val="nil"/>
              <w:bottom w:val="single" w:sz="4" w:space="0" w:color="auto"/>
              <w:right w:val="single" w:sz="4" w:space="0" w:color="auto"/>
            </w:tcBorders>
            <w:shd w:val="clear" w:color="auto" w:fill="auto"/>
            <w:noWrap/>
            <w:vAlign w:val="center"/>
            <w:hideMark/>
          </w:tcPr>
          <w:p w14:paraId="11EAAF6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5.81</w:t>
            </w:r>
          </w:p>
        </w:tc>
        <w:tc>
          <w:tcPr>
            <w:tcW w:w="673" w:type="dxa"/>
            <w:tcBorders>
              <w:top w:val="nil"/>
              <w:left w:val="nil"/>
              <w:bottom w:val="single" w:sz="4" w:space="0" w:color="auto"/>
              <w:right w:val="single" w:sz="4" w:space="0" w:color="auto"/>
            </w:tcBorders>
            <w:shd w:val="clear" w:color="auto" w:fill="auto"/>
            <w:noWrap/>
            <w:vAlign w:val="center"/>
            <w:hideMark/>
          </w:tcPr>
          <w:p w14:paraId="11EAAF6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6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3.13</w:t>
            </w:r>
          </w:p>
        </w:tc>
        <w:tc>
          <w:tcPr>
            <w:tcW w:w="846" w:type="dxa"/>
            <w:tcBorders>
              <w:top w:val="nil"/>
              <w:left w:val="nil"/>
              <w:bottom w:val="single" w:sz="4" w:space="0" w:color="auto"/>
              <w:right w:val="single" w:sz="4" w:space="0" w:color="auto"/>
            </w:tcBorders>
            <w:shd w:val="clear" w:color="auto" w:fill="auto"/>
            <w:noWrap/>
            <w:vAlign w:val="center"/>
            <w:hideMark/>
          </w:tcPr>
          <w:p w14:paraId="11EAAF6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5.06</w:t>
            </w:r>
          </w:p>
        </w:tc>
        <w:tc>
          <w:tcPr>
            <w:tcW w:w="673" w:type="dxa"/>
            <w:tcBorders>
              <w:top w:val="nil"/>
              <w:left w:val="nil"/>
              <w:bottom w:val="single" w:sz="4" w:space="0" w:color="auto"/>
              <w:right w:val="single" w:sz="4" w:space="0" w:color="auto"/>
            </w:tcBorders>
            <w:shd w:val="clear" w:color="auto" w:fill="auto"/>
            <w:noWrap/>
            <w:vAlign w:val="center"/>
            <w:hideMark/>
          </w:tcPr>
          <w:p w14:paraId="11EAAF6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1.19</w:t>
            </w:r>
          </w:p>
        </w:tc>
      </w:tr>
      <w:tr w:rsidR="006428D8" w:rsidRPr="00882085" w14:paraId="11EAAF7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F6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F6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Lady Elliot</w:t>
            </w:r>
          </w:p>
        </w:tc>
        <w:tc>
          <w:tcPr>
            <w:tcW w:w="500" w:type="dxa"/>
            <w:tcBorders>
              <w:top w:val="nil"/>
              <w:left w:val="nil"/>
              <w:bottom w:val="single" w:sz="4" w:space="0" w:color="auto"/>
              <w:right w:val="single" w:sz="4" w:space="0" w:color="auto"/>
            </w:tcBorders>
            <w:shd w:val="clear" w:color="auto" w:fill="auto"/>
            <w:noWrap/>
            <w:vAlign w:val="center"/>
            <w:hideMark/>
          </w:tcPr>
          <w:p w14:paraId="11EAAF6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F6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3.94</w:t>
            </w:r>
          </w:p>
        </w:tc>
        <w:tc>
          <w:tcPr>
            <w:tcW w:w="600" w:type="dxa"/>
            <w:tcBorders>
              <w:top w:val="nil"/>
              <w:left w:val="nil"/>
              <w:bottom w:val="single" w:sz="4" w:space="0" w:color="auto"/>
              <w:right w:val="single" w:sz="4" w:space="0" w:color="auto"/>
            </w:tcBorders>
            <w:shd w:val="clear" w:color="auto" w:fill="auto"/>
            <w:noWrap/>
            <w:vAlign w:val="center"/>
            <w:hideMark/>
          </w:tcPr>
          <w:p w14:paraId="11EAAF6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2.31</w:t>
            </w:r>
          </w:p>
        </w:tc>
        <w:tc>
          <w:tcPr>
            <w:tcW w:w="600" w:type="dxa"/>
            <w:tcBorders>
              <w:top w:val="nil"/>
              <w:left w:val="nil"/>
              <w:bottom w:val="single" w:sz="4" w:space="0" w:color="auto"/>
              <w:right w:val="single" w:sz="4" w:space="0" w:color="auto"/>
            </w:tcBorders>
            <w:shd w:val="clear" w:color="auto" w:fill="auto"/>
            <w:noWrap/>
            <w:vAlign w:val="center"/>
            <w:hideMark/>
          </w:tcPr>
          <w:p w14:paraId="11EAAF6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00" w:type="dxa"/>
            <w:tcBorders>
              <w:top w:val="nil"/>
              <w:left w:val="nil"/>
              <w:bottom w:val="single" w:sz="4" w:space="0" w:color="auto"/>
              <w:right w:val="single" w:sz="4" w:space="0" w:color="auto"/>
            </w:tcBorders>
            <w:shd w:val="clear" w:color="auto" w:fill="auto"/>
            <w:noWrap/>
            <w:vAlign w:val="center"/>
            <w:hideMark/>
          </w:tcPr>
          <w:p w14:paraId="11EAAF6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F6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2.94</w:t>
            </w:r>
          </w:p>
        </w:tc>
        <w:tc>
          <w:tcPr>
            <w:tcW w:w="767" w:type="dxa"/>
            <w:tcBorders>
              <w:top w:val="nil"/>
              <w:left w:val="nil"/>
              <w:bottom w:val="single" w:sz="4" w:space="0" w:color="auto"/>
              <w:right w:val="single" w:sz="4" w:space="0" w:color="auto"/>
            </w:tcBorders>
            <w:shd w:val="clear" w:color="auto" w:fill="auto"/>
            <w:noWrap/>
            <w:vAlign w:val="center"/>
            <w:hideMark/>
          </w:tcPr>
          <w:p w14:paraId="11EAAF7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10" w:type="dxa"/>
            <w:tcBorders>
              <w:top w:val="nil"/>
              <w:left w:val="nil"/>
              <w:bottom w:val="single" w:sz="4" w:space="0" w:color="auto"/>
              <w:right w:val="single" w:sz="4" w:space="0" w:color="auto"/>
            </w:tcBorders>
            <w:shd w:val="clear" w:color="auto" w:fill="auto"/>
            <w:noWrap/>
            <w:vAlign w:val="center"/>
            <w:hideMark/>
          </w:tcPr>
          <w:p w14:paraId="11EAAF7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F7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425" w:type="dxa"/>
            <w:tcBorders>
              <w:top w:val="nil"/>
              <w:left w:val="nil"/>
              <w:bottom w:val="single" w:sz="4" w:space="0" w:color="auto"/>
              <w:right w:val="single" w:sz="4" w:space="0" w:color="auto"/>
            </w:tcBorders>
            <w:shd w:val="clear" w:color="auto" w:fill="auto"/>
            <w:noWrap/>
            <w:vAlign w:val="center"/>
            <w:hideMark/>
          </w:tcPr>
          <w:p w14:paraId="11EAAF7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7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7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846" w:type="dxa"/>
            <w:tcBorders>
              <w:top w:val="nil"/>
              <w:left w:val="nil"/>
              <w:bottom w:val="single" w:sz="4" w:space="0" w:color="auto"/>
              <w:right w:val="single" w:sz="4" w:space="0" w:color="auto"/>
            </w:tcBorders>
            <w:shd w:val="clear" w:color="auto" w:fill="auto"/>
            <w:noWrap/>
            <w:vAlign w:val="center"/>
            <w:hideMark/>
          </w:tcPr>
          <w:p w14:paraId="11EAAF7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4.56</w:t>
            </w:r>
          </w:p>
        </w:tc>
        <w:tc>
          <w:tcPr>
            <w:tcW w:w="673" w:type="dxa"/>
            <w:tcBorders>
              <w:top w:val="nil"/>
              <w:left w:val="nil"/>
              <w:bottom w:val="single" w:sz="4" w:space="0" w:color="auto"/>
              <w:right w:val="single" w:sz="4" w:space="0" w:color="auto"/>
            </w:tcBorders>
            <w:shd w:val="clear" w:color="auto" w:fill="auto"/>
            <w:noWrap/>
            <w:vAlign w:val="center"/>
            <w:hideMark/>
          </w:tcPr>
          <w:p w14:paraId="11EAAF7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7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7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0.31</w:t>
            </w:r>
          </w:p>
        </w:tc>
        <w:tc>
          <w:tcPr>
            <w:tcW w:w="673" w:type="dxa"/>
            <w:tcBorders>
              <w:top w:val="nil"/>
              <w:left w:val="nil"/>
              <w:bottom w:val="single" w:sz="4" w:space="0" w:color="auto"/>
              <w:right w:val="single" w:sz="4" w:space="0" w:color="auto"/>
            </w:tcBorders>
            <w:shd w:val="clear" w:color="auto" w:fill="auto"/>
            <w:noWrap/>
            <w:vAlign w:val="center"/>
            <w:hideMark/>
          </w:tcPr>
          <w:p w14:paraId="11EAAF7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r>
      <w:tr w:rsidR="006428D8" w:rsidRPr="00882085" w14:paraId="11EAAF8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F7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F7D"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F7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F7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8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1.00</w:t>
            </w:r>
          </w:p>
        </w:tc>
        <w:tc>
          <w:tcPr>
            <w:tcW w:w="600" w:type="dxa"/>
            <w:tcBorders>
              <w:top w:val="nil"/>
              <w:left w:val="nil"/>
              <w:bottom w:val="single" w:sz="4" w:space="0" w:color="auto"/>
              <w:right w:val="single" w:sz="4" w:space="0" w:color="auto"/>
            </w:tcBorders>
            <w:shd w:val="clear" w:color="auto" w:fill="auto"/>
            <w:noWrap/>
            <w:vAlign w:val="center"/>
            <w:hideMark/>
          </w:tcPr>
          <w:p w14:paraId="11EAAF8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0.44</w:t>
            </w:r>
          </w:p>
        </w:tc>
        <w:tc>
          <w:tcPr>
            <w:tcW w:w="600" w:type="dxa"/>
            <w:tcBorders>
              <w:top w:val="nil"/>
              <w:left w:val="nil"/>
              <w:bottom w:val="single" w:sz="4" w:space="0" w:color="auto"/>
              <w:right w:val="single" w:sz="4" w:space="0" w:color="auto"/>
            </w:tcBorders>
            <w:shd w:val="clear" w:color="auto" w:fill="auto"/>
            <w:noWrap/>
            <w:vAlign w:val="center"/>
            <w:hideMark/>
          </w:tcPr>
          <w:p w14:paraId="11EAAF8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F8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0.63</w:t>
            </w:r>
          </w:p>
        </w:tc>
        <w:tc>
          <w:tcPr>
            <w:tcW w:w="767" w:type="dxa"/>
            <w:tcBorders>
              <w:top w:val="nil"/>
              <w:left w:val="nil"/>
              <w:bottom w:val="single" w:sz="4" w:space="0" w:color="auto"/>
              <w:right w:val="single" w:sz="4" w:space="0" w:color="auto"/>
            </w:tcBorders>
            <w:shd w:val="clear" w:color="auto" w:fill="auto"/>
            <w:noWrap/>
            <w:vAlign w:val="center"/>
            <w:hideMark/>
          </w:tcPr>
          <w:p w14:paraId="11EAAF8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F8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F8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F8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8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8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8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0.31</w:t>
            </w:r>
          </w:p>
        </w:tc>
        <w:tc>
          <w:tcPr>
            <w:tcW w:w="673" w:type="dxa"/>
            <w:tcBorders>
              <w:top w:val="nil"/>
              <w:left w:val="nil"/>
              <w:bottom w:val="single" w:sz="4" w:space="0" w:color="auto"/>
              <w:right w:val="single" w:sz="4" w:space="0" w:color="auto"/>
            </w:tcBorders>
            <w:shd w:val="clear" w:color="auto" w:fill="auto"/>
            <w:noWrap/>
            <w:vAlign w:val="center"/>
            <w:hideMark/>
          </w:tcPr>
          <w:p w14:paraId="11EAAF8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8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8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8E"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AFA3"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F90"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AF9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Magnetic</w:t>
            </w:r>
          </w:p>
        </w:tc>
        <w:tc>
          <w:tcPr>
            <w:tcW w:w="500" w:type="dxa"/>
            <w:tcBorders>
              <w:top w:val="nil"/>
              <w:left w:val="nil"/>
              <w:bottom w:val="single" w:sz="4" w:space="0" w:color="auto"/>
              <w:right w:val="single" w:sz="4" w:space="0" w:color="auto"/>
            </w:tcBorders>
            <w:shd w:val="clear" w:color="auto" w:fill="auto"/>
            <w:noWrap/>
            <w:vAlign w:val="center"/>
            <w:hideMark/>
          </w:tcPr>
          <w:p w14:paraId="11EAAF9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F9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600" w:type="dxa"/>
            <w:tcBorders>
              <w:top w:val="nil"/>
              <w:left w:val="nil"/>
              <w:bottom w:val="single" w:sz="4" w:space="0" w:color="auto"/>
              <w:right w:val="single" w:sz="4" w:space="0" w:color="auto"/>
            </w:tcBorders>
            <w:shd w:val="clear" w:color="auto" w:fill="auto"/>
            <w:noWrap/>
            <w:vAlign w:val="center"/>
            <w:hideMark/>
          </w:tcPr>
          <w:p w14:paraId="11EAAF9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0.75</w:t>
            </w:r>
          </w:p>
        </w:tc>
        <w:tc>
          <w:tcPr>
            <w:tcW w:w="600" w:type="dxa"/>
            <w:tcBorders>
              <w:top w:val="nil"/>
              <w:left w:val="nil"/>
              <w:bottom w:val="single" w:sz="4" w:space="0" w:color="auto"/>
              <w:right w:val="single" w:sz="4" w:space="0" w:color="auto"/>
            </w:tcBorders>
            <w:shd w:val="clear" w:color="auto" w:fill="auto"/>
            <w:noWrap/>
            <w:vAlign w:val="center"/>
            <w:hideMark/>
          </w:tcPr>
          <w:p w14:paraId="11EAAF9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600" w:type="dxa"/>
            <w:tcBorders>
              <w:top w:val="nil"/>
              <w:left w:val="nil"/>
              <w:bottom w:val="single" w:sz="4" w:space="0" w:color="auto"/>
              <w:right w:val="single" w:sz="4" w:space="0" w:color="auto"/>
            </w:tcBorders>
            <w:shd w:val="clear" w:color="auto" w:fill="auto"/>
            <w:noWrap/>
            <w:vAlign w:val="center"/>
            <w:hideMark/>
          </w:tcPr>
          <w:p w14:paraId="11EAAF9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756" w:type="dxa"/>
            <w:tcBorders>
              <w:top w:val="nil"/>
              <w:left w:val="nil"/>
              <w:bottom w:val="single" w:sz="4" w:space="0" w:color="auto"/>
              <w:right w:val="single" w:sz="4" w:space="0" w:color="auto"/>
            </w:tcBorders>
            <w:shd w:val="clear" w:color="auto" w:fill="auto"/>
            <w:noWrap/>
            <w:vAlign w:val="center"/>
            <w:hideMark/>
          </w:tcPr>
          <w:p w14:paraId="11EAAF9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1.31</w:t>
            </w:r>
          </w:p>
        </w:tc>
        <w:tc>
          <w:tcPr>
            <w:tcW w:w="767" w:type="dxa"/>
            <w:tcBorders>
              <w:top w:val="nil"/>
              <w:left w:val="nil"/>
              <w:bottom w:val="single" w:sz="4" w:space="0" w:color="auto"/>
              <w:right w:val="single" w:sz="4" w:space="0" w:color="auto"/>
            </w:tcBorders>
            <w:shd w:val="clear" w:color="auto" w:fill="auto"/>
            <w:noWrap/>
            <w:vAlign w:val="center"/>
            <w:hideMark/>
          </w:tcPr>
          <w:p w14:paraId="11EAAF9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10" w:type="dxa"/>
            <w:tcBorders>
              <w:top w:val="nil"/>
              <w:left w:val="nil"/>
              <w:bottom w:val="single" w:sz="4" w:space="0" w:color="auto"/>
              <w:right w:val="single" w:sz="4" w:space="0" w:color="auto"/>
            </w:tcBorders>
            <w:shd w:val="clear" w:color="auto" w:fill="auto"/>
            <w:noWrap/>
            <w:vAlign w:val="center"/>
            <w:hideMark/>
          </w:tcPr>
          <w:p w14:paraId="11EAAF9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F9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F9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9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9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9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1.44</w:t>
            </w:r>
          </w:p>
        </w:tc>
        <w:tc>
          <w:tcPr>
            <w:tcW w:w="673" w:type="dxa"/>
            <w:tcBorders>
              <w:top w:val="nil"/>
              <w:left w:val="nil"/>
              <w:bottom w:val="single" w:sz="4" w:space="0" w:color="auto"/>
              <w:right w:val="single" w:sz="4" w:space="0" w:color="auto"/>
            </w:tcBorders>
            <w:shd w:val="clear" w:color="auto" w:fill="auto"/>
            <w:noWrap/>
            <w:vAlign w:val="center"/>
            <w:hideMark/>
          </w:tcPr>
          <w:p w14:paraId="11EAAF9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A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13.13</w:t>
            </w:r>
          </w:p>
        </w:tc>
        <w:tc>
          <w:tcPr>
            <w:tcW w:w="846" w:type="dxa"/>
            <w:tcBorders>
              <w:top w:val="nil"/>
              <w:left w:val="nil"/>
              <w:bottom w:val="single" w:sz="4" w:space="0" w:color="auto"/>
              <w:right w:val="single" w:sz="4" w:space="0" w:color="auto"/>
            </w:tcBorders>
            <w:shd w:val="clear" w:color="auto" w:fill="auto"/>
            <w:noWrap/>
            <w:vAlign w:val="center"/>
            <w:hideMark/>
          </w:tcPr>
          <w:p w14:paraId="11EAAFA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14.06</w:t>
            </w:r>
          </w:p>
        </w:tc>
        <w:tc>
          <w:tcPr>
            <w:tcW w:w="673" w:type="dxa"/>
            <w:tcBorders>
              <w:top w:val="nil"/>
              <w:left w:val="nil"/>
              <w:bottom w:val="single" w:sz="4" w:space="0" w:color="auto"/>
              <w:right w:val="single" w:sz="4" w:space="0" w:color="auto"/>
            </w:tcBorders>
            <w:shd w:val="clear" w:color="auto" w:fill="auto"/>
            <w:noWrap/>
            <w:vAlign w:val="center"/>
            <w:hideMark/>
          </w:tcPr>
          <w:p w14:paraId="11EAAFA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1.38</w:t>
            </w:r>
          </w:p>
        </w:tc>
      </w:tr>
      <w:tr w:rsidR="006428D8" w:rsidRPr="00882085" w14:paraId="11EAAFB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FA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AFA5"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AFA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FA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0.38</w:t>
            </w:r>
          </w:p>
        </w:tc>
        <w:tc>
          <w:tcPr>
            <w:tcW w:w="600" w:type="dxa"/>
            <w:tcBorders>
              <w:top w:val="nil"/>
              <w:left w:val="nil"/>
              <w:bottom w:val="single" w:sz="4" w:space="0" w:color="auto"/>
              <w:right w:val="single" w:sz="4" w:space="0" w:color="auto"/>
            </w:tcBorders>
            <w:shd w:val="clear" w:color="auto" w:fill="auto"/>
            <w:noWrap/>
            <w:vAlign w:val="center"/>
            <w:hideMark/>
          </w:tcPr>
          <w:p w14:paraId="11EAAFA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0.88</w:t>
            </w:r>
          </w:p>
        </w:tc>
        <w:tc>
          <w:tcPr>
            <w:tcW w:w="600" w:type="dxa"/>
            <w:tcBorders>
              <w:top w:val="nil"/>
              <w:left w:val="nil"/>
              <w:bottom w:val="single" w:sz="4" w:space="0" w:color="auto"/>
              <w:right w:val="single" w:sz="4" w:space="0" w:color="auto"/>
            </w:tcBorders>
            <w:shd w:val="clear" w:color="auto" w:fill="auto"/>
            <w:noWrap/>
            <w:vAlign w:val="center"/>
            <w:hideMark/>
          </w:tcPr>
          <w:p w14:paraId="11EAAFA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2.63</w:t>
            </w:r>
          </w:p>
        </w:tc>
        <w:tc>
          <w:tcPr>
            <w:tcW w:w="600" w:type="dxa"/>
            <w:tcBorders>
              <w:top w:val="nil"/>
              <w:left w:val="nil"/>
              <w:bottom w:val="single" w:sz="4" w:space="0" w:color="auto"/>
              <w:right w:val="single" w:sz="4" w:space="0" w:color="auto"/>
            </w:tcBorders>
            <w:shd w:val="clear" w:color="auto" w:fill="auto"/>
            <w:noWrap/>
            <w:vAlign w:val="center"/>
            <w:hideMark/>
          </w:tcPr>
          <w:p w14:paraId="11EAAFA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756" w:type="dxa"/>
            <w:tcBorders>
              <w:top w:val="nil"/>
              <w:left w:val="nil"/>
              <w:bottom w:val="single" w:sz="4" w:space="0" w:color="auto"/>
              <w:right w:val="single" w:sz="4" w:space="0" w:color="auto"/>
            </w:tcBorders>
            <w:shd w:val="clear" w:color="auto" w:fill="auto"/>
            <w:noWrap/>
            <w:vAlign w:val="center"/>
            <w:hideMark/>
          </w:tcPr>
          <w:p w14:paraId="11EAAFA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7.38</w:t>
            </w:r>
          </w:p>
        </w:tc>
        <w:tc>
          <w:tcPr>
            <w:tcW w:w="767" w:type="dxa"/>
            <w:tcBorders>
              <w:top w:val="nil"/>
              <w:left w:val="nil"/>
              <w:bottom w:val="single" w:sz="4" w:space="0" w:color="auto"/>
              <w:right w:val="single" w:sz="4" w:space="0" w:color="auto"/>
            </w:tcBorders>
            <w:shd w:val="clear" w:color="auto" w:fill="auto"/>
            <w:noWrap/>
            <w:vAlign w:val="center"/>
            <w:hideMark/>
          </w:tcPr>
          <w:p w14:paraId="11EAAFA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FA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FA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FA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B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B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B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0.31</w:t>
            </w:r>
          </w:p>
        </w:tc>
        <w:tc>
          <w:tcPr>
            <w:tcW w:w="673" w:type="dxa"/>
            <w:tcBorders>
              <w:top w:val="nil"/>
              <w:left w:val="nil"/>
              <w:bottom w:val="single" w:sz="4" w:space="0" w:color="auto"/>
              <w:right w:val="single" w:sz="4" w:space="0" w:color="auto"/>
            </w:tcBorders>
            <w:shd w:val="clear" w:color="auto" w:fill="auto"/>
            <w:noWrap/>
            <w:vAlign w:val="center"/>
            <w:hideMark/>
          </w:tcPr>
          <w:p w14:paraId="11EAAFB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B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1.56</w:t>
            </w:r>
          </w:p>
        </w:tc>
        <w:tc>
          <w:tcPr>
            <w:tcW w:w="846" w:type="dxa"/>
            <w:tcBorders>
              <w:top w:val="nil"/>
              <w:left w:val="nil"/>
              <w:bottom w:val="single" w:sz="4" w:space="0" w:color="auto"/>
              <w:right w:val="single" w:sz="4" w:space="0" w:color="auto"/>
            </w:tcBorders>
            <w:shd w:val="clear" w:color="auto" w:fill="auto"/>
            <w:noWrap/>
            <w:vAlign w:val="center"/>
            <w:hideMark/>
          </w:tcPr>
          <w:p w14:paraId="11EAAFB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10.44</w:t>
            </w:r>
          </w:p>
        </w:tc>
        <w:tc>
          <w:tcPr>
            <w:tcW w:w="673" w:type="dxa"/>
            <w:tcBorders>
              <w:top w:val="nil"/>
              <w:left w:val="nil"/>
              <w:bottom w:val="single" w:sz="4" w:space="0" w:color="auto"/>
              <w:right w:val="single" w:sz="4" w:space="0" w:color="auto"/>
            </w:tcBorders>
            <w:shd w:val="clear" w:color="auto" w:fill="auto"/>
            <w:noWrap/>
            <w:vAlign w:val="center"/>
            <w:hideMark/>
          </w:tcPr>
          <w:p w14:paraId="11EAAFB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0.69</w:t>
            </w:r>
          </w:p>
        </w:tc>
      </w:tr>
      <w:tr w:rsidR="006428D8" w:rsidRPr="00882085" w14:paraId="11EAAFC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FB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tcBorders>
              <w:top w:val="nil"/>
              <w:left w:val="nil"/>
              <w:bottom w:val="single" w:sz="4" w:space="0" w:color="auto"/>
              <w:right w:val="single" w:sz="4" w:space="0" w:color="auto"/>
            </w:tcBorders>
            <w:shd w:val="clear" w:color="auto" w:fill="auto"/>
            <w:noWrap/>
            <w:vAlign w:val="center"/>
            <w:hideMark/>
          </w:tcPr>
          <w:p w14:paraId="11EAAFB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Middle R</w:t>
            </w:r>
            <w:r w:rsidR="00184C63">
              <w:rPr>
                <w:rFonts w:ascii="Arial Narrow" w:hAnsi="Arial Narrow"/>
                <w:color w:val="000000"/>
                <w:sz w:val="20"/>
                <w:lang w:val="en-AU" w:eastAsia="en-AU"/>
              </w:rPr>
              <w:t>ee</w:t>
            </w:r>
            <w:r w:rsidRPr="00882085">
              <w:rPr>
                <w:rFonts w:ascii="Arial Narrow" w:hAnsi="Arial Narrow"/>
                <w:color w:val="000000"/>
                <w:sz w:val="20"/>
                <w:lang w:val="en-AU" w:eastAsia="en-AU"/>
              </w:rPr>
              <w:t>f LTMP</w:t>
            </w:r>
          </w:p>
        </w:tc>
        <w:tc>
          <w:tcPr>
            <w:tcW w:w="500" w:type="dxa"/>
            <w:tcBorders>
              <w:top w:val="nil"/>
              <w:left w:val="nil"/>
              <w:bottom w:val="single" w:sz="4" w:space="0" w:color="auto"/>
              <w:right w:val="single" w:sz="4" w:space="0" w:color="auto"/>
            </w:tcBorders>
            <w:shd w:val="clear" w:color="auto" w:fill="auto"/>
            <w:noWrap/>
            <w:vAlign w:val="center"/>
            <w:hideMark/>
          </w:tcPr>
          <w:p w14:paraId="11EAAFB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AFB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B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0.55</w:t>
            </w:r>
          </w:p>
        </w:tc>
        <w:tc>
          <w:tcPr>
            <w:tcW w:w="600" w:type="dxa"/>
            <w:tcBorders>
              <w:top w:val="nil"/>
              <w:left w:val="nil"/>
              <w:bottom w:val="single" w:sz="4" w:space="0" w:color="auto"/>
              <w:right w:val="single" w:sz="4" w:space="0" w:color="auto"/>
            </w:tcBorders>
            <w:shd w:val="clear" w:color="auto" w:fill="auto"/>
            <w:noWrap/>
            <w:vAlign w:val="center"/>
            <w:hideMark/>
          </w:tcPr>
          <w:p w14:paraId="11EAAFB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0.10</w:t>
            </w:r>
          </w:p>
        </w:tc>
        <w:tc>
          <w:tcPr>
            <w:tcW w:w="600" w:type="dxa"/>
            <w:tcBorders>
              <w:top w:val="nil"/>
              <w:left w:val="nil"/>
              <w:bottom w:val="single" w:sz="4" w:space="0" w:color="auto"/>
              <w:right w:val="single" w:sz="4" w:space="0" w:color="auto"/>
            </w:tcBorders>
            <w:shd w:val="clear" w:color="auto" w:fill="auto"/>
            <w:noWrap/>
            <w:vAlign w:val="center"/>
            <w:hideMark/>
          </w:tcPr>
          <w:p w14:paraId="11EAAFB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1.25</w:t>
            </w:r>
          </w:p>
        </w:tc>
        <w:tc>
          <w:tcPr>
            <w:tcW w:w="756" w:type="dxa"/>
            <w:tcBorders>
              <w:top w:val="nil"/>
              <w:left w:val="nil"/>
              <w:bottom w:val="single" w:sz="4" w:space="0" w:color="auto"/>
              <w:right w:val="single" w:sz="4" w:space="0" w:color="auto"/>
            </w:tcBorders>
            <w:shd w:val="clear" w:color="auto" w:fill="auto"/>
            <w:noWrap/>
            <w:vAlign w:val="center"/>
            <w:hideMark/>
          </w:tcPr>
          <w:p w14:paraId="11EAAFB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0.65</w:t>
            </w:r>
          </w:p>
        </w:tc>
        <w:tc>
          <w:tcPr>
            <w:tcW w:w="767" w:type="dxa"/>
            <w:tcBorders>
              <w:top w:val="nil"/>
              <w:left w:val="nil"/>
              <w:bottom w:val="single" w:sz="4" w:space="0" w:color="auto"/>
              <w:right w:val="single" w:sz="4" w:space="0" w:color="auto"/>
            </w:tcBorders>
            <w:shd w:val="clear" w:color="auto" w:fill="auto"/>
            <w:noWrap/>
            <w:vAlign w:val="center"/>
            <w:hideMark/>
          </w:tcPr>
          <w:p w14:paraId="11EAAFC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FC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FC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FC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C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C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0.35</w:t>
            </w:r>
          </w:p>
        </w:tc>
        <w:tc>
          <w:tcPr>
            <w:tcW w:w="846" w:type="dxa"/>
            <w:tcBorders>
              <w:top w:val="nil"/>
              <w:left w:val="nil"/>
              <w:bottom w:val="single" w:sz="4" w:space="0" w:color="auto"/>
              <w:right w:val="single" w:sz="4" w:space="0" w:color="auto"/>
            </w:tcBorders>
            <w:shd w:val="clear" w:color="auto" w:fill="auto"/>
            <w:noWrap/>
            <w:vAlign w:val="center"/>
            <w:hideMark/>
          </w:tcPr>
          <w:p w14:paraId="11EAAFC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2.51</w:t>
            </w:r>
          </w:p>
        </w:tc>
        <w:tc>
          <w:tcPr>
            <w:tcW w:w="673" w:type="dxa"/>
            <w:tcBorders>
              <w:top w:val="nil"/>
              <w:left w:val="nil"/>
              <w:bottom w:val="single" w:sz="4" w:space="0" w:color="auto"/>
              <w:right w:val="single" w:sz="4" w:space="0" w:color="auto"/>
            </w:tcBorders>
            <w:shd w:val="clear" w:color="auto" w:fill="auto"/>
            <w:noWrap/>
            <w:vAlign w:val="center"/>
            <w:hideMark/>
          </w:tcPr>
          <w:p w14:paraId="11EAAFC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C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2.81</w:t>
            </w:r>
          </w:p>
        </w:tc>
        <w:tc>
          <w:tcPr>
            <w:tcW w:w="846" w:type="dxa"/>
            <w:tcBorders>
              <w:top w:val="nil"/>
              <w:left w:val="nil"/>
              <w:bottom w:val="single" w:sz="4" w:space="0" w:color="auto"/>
              <w:right w:val="single" w:sz="4" w:space="0" w:color="auto"/>
            </w:tcBorders>
            <w:shd w:val="clear" w:color="auto" w:fill="auto"/>
            <w:noWrap/>
            <w:vAlign w:val="center"/>
            <w:hideMark/>
          </w:tcPr>
          <w:p w14:paraId="11EAAFC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1.32</w:t>
            </w:r>
          </w:p>
        </w:tc>
        <w:tc>
          <w:tcPr>
            <w:tcW w:w="673" w:type="dxa"/>
            <w:tcBorders>
              <w:top w:val="nil"/>
              <w:left w:val="nil"/>
              <w:bottom w:val="single" w:sz="4" w:space="0" w:color="auto"/>
              <w:right w:val="single" w:sz="4" w:space="0" w:color="auto"/>
            </w:tcBorders>
            <w:shd w:val="clear" w:color="auto" w:fill="auto"/>
            <w:noWrap/>
            <w:vAlign w:val="center"/>
            <w:hideMark/>
          </w:tcPr>
          <w:p w14:paraId="11EAAFC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0.51</w:t>
            </w:r>
          </w:p>
        </w:tc>
      </w:tr>
      <w:tr w:rsidR="006428D8" w:rsidRPr="00882085" w14:paraId="11EAAFDF" w14:textId="77777777" w:rsidTr="00184C63">
        <w:trPr>
          <w:trHeight w:val="340"/>
        </w:trPr>
        <w:tc>
          <w:tcPr>
            <w:tcW w:w="704"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AFCC"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Proserpine</w:t>
            </w:r>
          </w:p>
        </w:tc>
        <w:tc>
          <w:tcPr>
            <w:tcW w:w="1768" w:type="dxa"/>
            <w:tcBorders>
              <w:top w:val="nil"/>
              <w:left w:val="nil"/>
              <w:bottom w:val="single" w:sz="4" w:space="0" w:color="auto"/>
              <w:right w:val="single" w:sz="4" w:space="0" w:color="auto"/>
            </w:tcBorders>
            <w:shd w:val="clear" w:color="auto" w:fill="auto"/>
            <w:noWrap/>
            <w:vAlign w:val="center"/>
            <w:hideMark/>
          </w:tcPr>
          <w:p w14:paraId="11EAAFCD"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Hayman</w:t>
            </w:r>
          </w:p>
        </w:tc>
        <w:tc>
          <w:tcPr>
            <w:tcW w:w="500" w:type="dxa"/>
            <w:tcBorders>
              <w:top w:val="nil"/>
              <w:left w:val="nil"/>
              <w:bottom w:val="single" w:sz="4" w:space="0" w:color="auto"/>
              <w:right w:val="single" w:sz="4" w:space="0" w:color="auto"/>
            </w:tcBorders>
            <w:shd w:val="clear" w:color="auto" w:fill="auto"/>
            <w:noWrap/>
            <w:vAlign w:val="center"/>
            <w:hideMark/>
          </w:tcPr>
          <w:p w14:paraId="11EAAFC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FC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D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D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D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FD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0.50</w:t>
            </w:r>
          </w:p>
        </w:tc>
        <w:tc>
          <w:tcPr>
            <w:tcW w:w="767" w:type="dxa"/>
            <w:tcBorders>
              <w:top w:val="nil"/>
              <w:left w:val="nil"/>
              <w:bottom w:val="single" w:sz="4" w:space="0" w:color="auto"/>
              <w:right w:val="single" w:sz="4" w:space="0" w:color="auto"/>
            </w:tcBorders>
            <w:shd w:val="clear" w:color="auto" w:fill="auto"/>
            <w:noWrap/>
            <w:vAlign w:val="center"/>
            <w:hideMark/>
          </w:tcPr>
          <w:p w14:paraId="11EAAFD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FD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FD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0.70</w:t>
            </w:r>
          </w:p>
        </w:tc>
        <w:tc>
          <w:tcPr>
            <w:tcW w:w="425" w:type="dxa"/>
            <w:tcBorders>
              <w:top w:val="nil"/>
              <w:left w:val="nil"/>
              <w:bottom w:val="single" w:sz="4" w:space="0" w:color="auto"/>
              <w:right w:val="single" w:sz="4" w:space="0" w:color="auto"/>
            </w:tcBorders>
            <w:shd w:val="clear" w:color="auto" w:fill="auto"/>
            <w:noWrap/>
            <w:vAlign w:val="center"/>
            <w:hideMark/>
          </w:tcPr>
          <w:p w14:paraId="11EAAFD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D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D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D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D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D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D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D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0.50</w:t>
            </w:r>
          </w:p>
        </w:tc>
      </w:tr>
      <w:tr w:rsidR="006428D8" w:rsidRPr="00882085" w14:paraId="11EAAFF3"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FE0"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tcBorders>
              <w:top w:val="nil"/>
              <w:left w:val="nil"/>
              <w:bottom w:val="single" w:sz="4" w:space="0" w:color="auto"/>
              <w:right w:val="single" w:sz="4" w:space="0" w:color="auto"/>
            </w:tcBorders>
            <w:shd w:val="clear" w:color="auto" w:fill="auto"/>
            <w:noWrap/>
            <w:vAlign w:val="center"/>
            <w:hideMark/>
          </w:tcPr>
          <w:p w14:paraId="11EAAFE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Langford</w:t>
            </w:r>
          </w:p>
        </w:tc>
        <w:tc>
          <w:tcPr>
            <w:tcW w:w="500" w:type="dxa"/>
            <w:tcBorders>
              <w:top w:val="nil"/>
              <w:left w:val="nil"/>
              <w:bottom w:val="single" w:sz="4" w:space="0" w:color="auto"/>
              <w:right w:val="single" w:sz="4" w:space="0" w:color="auto"/>
            </w:tcBorders>
            <w:shd w:val="clear" w:color="auto" w:fill="auto"/>
            <w:noWrap/>
            <w:vAlign w:val="center"/>
            <w:hideMark/>
          </w:tcPr>
          <w:p w14:paraId="11EAAFE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FE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E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E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E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FE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0.07</w:t>
            </w:r>
          </w:p>
        </w:tc>
        <w:tc>
          <w:tcPr>
            <w:tcW w:w="767" w:type="dxa"/>
            <w:tcBorders>
              <w:top w:val="nil"/>
              <w:left w:val="nil"/>
              <w:bottom w:val="single" w:sz="4" w:space="0" w:color="auto"/>
              <w:right w:val="single" w:sz="4" w:space="0" w:color="auto"/>
            </w:tcBorders>
            <w:shd w:val="clear" w:color="auto" w:fill="auto"/>
            <w:noWrap/>
            <w:vAlign w:val="center"/>
            <w:hideMark/>
          </w:tcPr>
          <w:p w14:paraId="11EAAFE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FE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FE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FE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E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E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E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E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F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AFF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AFF2"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B00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AFF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tcBorders>
              <w:top w:val="nil"/>
              <w:left w:val="nil"/>
              <w:bottom w:val="single" w:sz="4" w:space="0" w:color="auto"/>
              <w:right w:val="single" w:sz="4" w:space="0" w:color="auto"/>
            </w:tcBorders>
            <w:shd w:val="clear" w:color="auto" w:fill="auto"/>
            <w:noWrap/>
            <w:vAlign w:val="center"/>
            <w:hideMark/>
          </w:tcPr>
          <w:p w14:paraId="11EAAFF5"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Border</w:t>
            </w:r>
          </w:p>
        </w:tc>
        <w:tc>
          <w:tcPr>
            <w:tcW w:w="500" w:type="dxa"/>
            <w:tcBorders>
              <w:top w:val="nil"/>
              <w:left w:val="nil"/>
              <w:bottom w:val="single" w:sz="4" w:space="0" w:color="auto"/>
              <w:right w:val="single" w:sz="4" w:space="0" w:color="auto"/>
            </w:tcBorders>
            <w:shd w:val="clear" w:color="auto" w:fill="auto"/>
            <w:noWrap/>
            <w:vAlign w:val="center"/>
            <w:hideMark/>
          </w:tcPr>
          <w:p w14:paraId="11EAAFF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AFF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F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F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AFF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AFF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0.05</w:t>
            </w:r>
          </w:p>
        </w:tc>
        <w:tc>
          <w:tcPr>
            <w:tcW w:w="767" w:type="dxa"/>
            <w:tcBorders>
              <w:top w:val="nil"/>
              <w:left w:val="nil"/>
              <w:bottom w:val="single" w:sz="4" w:space="0" w:color="auto"/>
              <w:right w:val="single" w:sz="4" w:space="0" w:color="auto"/>
            </w:tcBorders>
            <w:shd w:val="clear" w:color="auto" w:fill="auto"/>
            <w:noWrap/>
            <w:vAlign w:val="center"/>
            <w:hideMark/>
          </w:tcPr>
          <w:p w14:paraId="11EAAFF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AFF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AFF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AFF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0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0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0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0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0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0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06"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B01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00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B00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Hook</w:t>
            </w:r>
          </w:p>
        </w:tc>
        <w:tc>
          <w:tcPr>
            <w:tcW w:w="500" w:type="dxa"/>
            <w:tcBorders>
              <w:top w:val="nil"/>
              <w:left w:val="nil"/>
              <w:bottom w:val="single" w:sz="4" w:space="0" w:color="auto"/>
              <w:right w:val="single" w:sz="4" w:space="0" w:color="auto"/>
            </w:tcBorders>
            <w:shd w:val="clear" w:color="auto" w:fill="auto"/>
            <w:noWrap/>
            <w:vAlign w:val="center"/>
            <w:hideMark/>
          </w:tcPr>
          <w:p w14:paraId="11EAB00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B00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0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0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0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00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767" w:type="dxa"/>
            <w:tcBorders>
              <w:top w:val="nil"/>
              <w:left w:val="nil"/>
              <w:bottom w:val="single" w:sz="4" w:space="0" w:color="auto"/>
              <w:right w:val="single" w:sz="4" w:space="0" w:color="auto"/>
            </w:tcBorders>
            <w:shd w:val="clear" w:color="auto" w:fill="auto"/>
            <w:noWrap/>
            <w:vAlign w:val="center"/>
            <w:hideMark/>
          </w:tcPr>
          <w:p w14:paraId="11EAB01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10" w:type="dxa"/>
            <w:tcBorders>
              <w:top w:val="nil"/>
              <w:left w:val="nil"/>
              <w:bottom w:val="single" w:sz="4" w:space="0" w:color="auto"/>
              <w:right w:val="single" w:sz="4" w:space="0" w:color="auto"/>
            </w:tcBorders>
            <w:shd w:val="clear" w:color="auto" w:fill="auto"/>
            <w:noWrap/>
            <w:vAlign w:val="center"/>
            <w:hideMark/>
          </w:tcPr>
          <w:p w14:paraId="11EAB01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01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01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1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1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1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1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1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1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1A"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B02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01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B01D"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B01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B01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2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2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2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02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67" w:type="dxa"/>
            <w:tcBorders>
              <w:top w:val="nil"/>
              <w:left w:val="nil"/>
              <w:bottom w:val="single" w:sz="4" w:space="0" w:color="auto"/>
              <w:right w:val="single" w:sz="4" w:space="0" w:color="auto"/>
            </w:tcBorders>
            <w:shd w:val="clear" w:color="auto" w:fill="auto"/>
            <w:noWrap/>
            <w:vAlign w:val="center"/>
            <w:hideMark/>
          </w:tcPr>
          <w:p w14:paraId="11EAB02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02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02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02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2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2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2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2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2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2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2E"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B043"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030"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B03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Double Cone</w:t>
            </w:r>
          </w:p>
        </w:tc>
        <w:tc>
          <w:tcPr>
            <w:tcW w:w="500" w:type="dxa"/>
            <w:tcBorders>
              <w:top w:val="nil"/>
              <w:left w:val="nil"/>
              <w:bottom w:val="single" w:sz="4" w:space="0" w:color="auto"/>
              <w:right w:val="single" w:sz="4" w:space="0" w:color="auto"/>
            </w:tcBorders>
            <w:shd w:val="clear" w:color="auto" w:fill="auto"/>
            <w:noWrap/>
            <w:vAlign w:val="center"/>
            <w:hideMark/>
          </w:tcPr>
          <w:p w14:paraId="11EAB03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B03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3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3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3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03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67" w:type="dxa"/>
            <w:tcBorders>
              <w:top w:val="nil"/>
              <w:left w:val="nil"/>
              <w:bottom w:val="single" w:sz="4" w:space="0" w:color="auto"/>
              <w:right w:val="single" w:sz="4" w:space="0" w:color="auto"/>
            </w:tcBorders>
            <w:shd w:val="clear" w:color="auto" w:fill="auto"/>
            <w:noWrap/>
            <w:vAlign w:val="center"/>
            <w:hideMark/>
          </w:tcPr>
          <w:p w14:paraId="11EAB03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03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03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03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3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3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3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3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4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4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42"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B05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04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B045"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B04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B04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4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4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4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04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67" w:type="dxa"/>
            <w:tcBorders>
              <w:top w:val="nil"/>
              <w:left w:val="nil"/>
              <w:bottom w:val="single" w:sz="4" w:space="0" w:color="auto"/>
              <w:right w:val="single" w:sz="4" w:space="0" w:color="auto"/>
            </w:tcBorders>
            <w:shd w:val="clear" w:color="auto" w:fill="auto"/>
            <w:noWrap/>
            <w:vAlign w:val="center"/>
            <w:hideMark/>
          </w:tcPr>
          <w:p w14:paraId="11EAB04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04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04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04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5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5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5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5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5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5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56"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B06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05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B05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Daydream</w:t>
            </w:r>
          </w:p>
        </w:tc>
        <w:tc>
          <w:tcPr>
            <w:tcW w:w="500" w:type="dxa"/>
            <w:tcBorders>
              <w:top w:val="nil"/>
              <w:left w:val="nil"/>
              <w:bottom w:val="single" w:sz="4" w:space="0" w:color="auto"/>
              <w:right w:val="single" w:sz="4" w:space="0" w:color="auto"/>
            </w:tcBorders>
            <w:shd w:val="clear" w:color="auto" w:fill="auto"/>
            <w:noWrap/>
            <w:vAlign w:val="center"/>
            <w:hideMark/>
          </w:tcPr>
          <w:p w14:paraId="11EAB05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B05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5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5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5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05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767" w:type="dxa"/>
            <w:tcBorders>
              <w:top w:val="nil"/>
              <w:left w:val="nil"/>
              <w:bottom w:val="single" w:sz="4" w:space="0" w:color="auto"/>
              <w:right w:val="single" w:sz="4" w:space="0" w:color="auto"/>
            </w:tcBorders>
            <w:shd w:val="clear" w:color="auto" w:fill="auto"/>
            <w:noWrap/>
            <w:vAlign w:val="center"/>
            <w:hideMark/>
          </w:tcPr>
          <w:p w14:paraId="11EAB06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06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06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06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6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6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6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6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6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0.56</w:t>
            </w:r>
          </w:p>
        </w:tc>
        <w:tc>
          <w:tcPr>
            <w:tcW w:w="846" w:type="dxa"/>
            <w:tcBorders>
              <w:top w:val="nil"/>
              <w:left w:val="nil"/>
              <w:bottom w:val="single" w:sz="4" w:space="0" w:color="auto"/>
              <w:right w:val="single" w:sz="4" w:space="0" w:color="auto"/>
            </w:tcBorders>
            <w:shd w:val="clear" w:color="auto" w:fill="auto"/>
            <w:noWrap/>
            <w:vAlign w:val="center"/>
            <w:hideMark/>
          </w:tcPr>
          <w:p w14:paraId="11EAB06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6A"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B07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06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B06D"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B06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B06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7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7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7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07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767" w:type="dxa"/>
            <w:tcBorders>
              <w:top w:val="nil"/>
              <w:left w:val="nil"/>
              <w:bottom w:val="single" w:sz="4" w:space="0" w:color="auto"/>
              <w:right w:val="single" w:sz="4" w:space="0" w:color="auto"/>
            </w:tcBorders>
            <w:shd w:val="clear" w:color="auto" w:fill="auto"/>
            <w:noWrap/>
            <w:vAlign w:val="center"/>
            <w:hideMark/>
          </w:tcPr>
          <w:p w14:paraId="11EAB07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07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07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07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7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7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7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7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7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846" w:type="dxa"/>
            <w:tcBorders>
              <w:top w:val="nil"/>
              <w:left w:val="nil"/>
              <w:bottom w:val="single" w:sz="4" w:space="0" w:color="auto"/>
              <w:right w:val="single" w:sz="4" w:space="0" w:color="auto"/>
            </w:tcBorders>
            <w:shd w:val="clear" w:color="auto" w:fill="auto"/>
            <w:noWrap/>
            <w:vAlign w:val="center"/>
            <w:hideMark/>
          </w:tcPr>
          <w:p w14:paraId="11EAB07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7E"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B093"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080"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B08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Dent</w:t>
            </w:r>
          </w:p>
        </w:tc>
        <w:tc>
          <w:tcPr>
            <w:tcW w:w="500" w:type="dxa"/>
            <w:tcBorders>
              <w:top w:val="nil"/>
              <w:left w:val="nil"/>
              <w:bottom w:val="single" w:sz="4" w:space="0" w:color="auto"/>
              <w:right w:val="single" w:sz="4" w:space="0" w:color="auto"/>
            </w:tcBorders>
            <w:shd w:val="clear" w:color="auto" w:fill="auto"/>
            <w:noWrap/>
            <w:vAlign w:val="center"/>
            <w:hideMark/>
          </w:tcPr>
          <w:p w14:paraId="11EAB08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B08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8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0.31</w:t>
            </w:r>
          </w:p>
        </w:tc>
        <w:tc>
          <w:tcPr>
            <w:tcW w:w="600" w:type="dxa"/>
            <w:tcBorders>
              <w:top w:val="nil"/>
              <w:left w:val="nil"/>
              <w:bottom w:val="single" w:sz="4" w:space="0" w:color="auto"/>
              <w:right w:val="single" w:sz="4" w:space="0" w:color="auto"/>
            </w:tcBorders>
            <w:shd w:val="clear" w:color="auto" w:fill="auto"/>
            <w:noWrap/>
            <w:vAlign w:val="center"/>
            <w:hideMark/>
          </w:tcPr>
          <w:p w14:paraId="11EAB08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00" w:type="dxa"/>
            <w:tcBorders>
              <w:top w:val="nil"/>
              <w:left w:val="nil"/>
              <w:bottom w:val="single" w:sz="4" w:space="0" w:color="auto"/>
              <w:right w:val="single" w:sz="4" w:space="0" w:color="auto"/>
            </w:tcBorders>
            <w:shd w:val="clear" w:color="auto" w:fill="auto"/>
            <w:noWrap/>
            <w:vAlign w:val="center"/>
            <w:hideMark/>
          </w:tcPr>
          <w:p w14:paraId="11EAB08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08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67" w:type="dxa"/>
            <w:tcBorders>
              <w:top w:val="nil"/>
              <w:left w:val="nil"/>
              <w:bottom w:val="single" w:sz="4" w:space="0" w:color="auto"/>
              <w:right w:val="single" w:sz="4" w:space="0" w:color="auto"/>
            </w:tcBorders>
            <w:shd w:val="clear" w:color="auto" w:fill="auto"/>
            <w:noWrap/>
            <w:vAlign w:val="center"/>
            <w:hideMark/>
          </w:tcPr>
          <w:p w14:paraId="11EAB08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08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859" w:type="dxa"/>
            <w:tcBorders>
              <w:top w:val="nil"/>
              <w:left w:val="nil"/>
              <w:bottom w:val="single" w:sz="4" w:space="0" w:color="auto"/>
              <w:right w:val="single" w:sz="4" w:space="0" w:color="auto"/>
            </w:tcBorders>
            <w:shd w:val="clear" w:color="auto" w:fill="auto"/>
            <w:noWrap/>
            <w:vAlign w:val="center"/>
            <w:hideMark/>
          </w:tcPr>
          <w:p w14:paraId="11EAB08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425" w:type="dxa"/>
            <w:tcBorders>
              <w:top w:val="nil"/>
              <w:left w:val="nil"/>
              <w:bottom w:val="single" w:sz="4" w:space="0" w:color="auto"/>
              <w:right w:val="single" w:sz="4" w:space="0" w:color="auto"/>
            </w:tcBorders>
            <w:shd w:val="clear" w:color="auto" w:fill="auto"/>
            <w:noWrap/>
            <w:vAlign w:val="center"/>
            <w:hideMark/>
          </w:tcPr>
          <w:p w14:paraId="11EAB08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8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8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8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8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9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9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92"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B0A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09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B095"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B09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B09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9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0.44</w:t>
            </w:r>
          </w:p>
        </w:tc>
        <w:tc>
          <w:tcPr>
            <w:tcW w:w="600" w:type="dxa"/>
            <w:tcBorders>
              <w:top w:val="nil"/>
              <w:left w:val="nil"/>
              <w:bottom w:val="single" w:sz="4" w:space="0" w:color="auto"/>
              <w:right w:val="single" w:sz="4" w:space="0" w:color="auto"/>
            </w:tcBorders>
            <w:shd w:val="clear" w:color="auto" w:fill="auto"/>
            <w:noWrap/>
            <w:vAlign w:val="center"/>
            <w:hideMark/>
          </w:tcPr>
          <w:p w14:paraId="11EAB09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9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09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67" w:type="dxa"/>
            <w:tcBorders>
              <w:top w:val="nil"/>
              <w:left w:val="nil"/>
              <w:bottom w:val="single" w:sz="4" w:space="0" w:color="auto"/>
              <w:right w:val="single" w:sz="4" w:space="0" w:color="auto"/>
            </w:tcBorders>
            <w:shd w:val="clear" w:color="auto" w:fill="auto"/>
            <w:noWrap/>
            <w:vAlign w:val="center"/>
            <w:hideMark/>
          </w:tcPr>
          <w:p w14:paraId="11EAB09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09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09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09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A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A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A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A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A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846" w:type="dxa"/>
            <w:tcBorders>
              <w:top w:val="nil"/>
              <w:left w:val="nil"/>
              <w:bottom w:val="single" w:sz="4" w:space="0" w:color="auto"/>
              <w:right w:val="single" w:sz="4" w:space="0" w:color="auto"/>
            </w:tcBorders>
            <w:shd w:val="clear" w:color="auto" w:fill="auto"/>
            <w:noWrap/>
            <w:vAlign w:val="center"/>
            <w:hideMark/>
          </w:tcPr>
          <w:p w14:paraId="11EAB0A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A6"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B0B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0A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B0A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Shute Harbour</w:t>
            </w:r>
          </w:p>
        </w:tc>
        <w:tc>
          <w:tcPr>
            <w:tcW w:w="500" w:type="dxa"/>
            <w:tcBorders>
              <w:top w:val="nil"/>
              <w:left w:val="nil"/>
              <w:bottom w:val="single" w:sz="4" w:space="0" w:color="auto"/>
              <w:right w:val="single" w:sz="4" w:space="0" w:color="auto"/>
            </w:tcBorders>
            <w:shd w:val="clear" w:color="auto" w:fill="auto"/>
            <w:noWrap/>
            <w:vAlign w:val="center"/>
            <w:hideMark/>
          </w:tcPr>
          <w:p w14:paraId="11EAB0A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B0A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A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A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A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0A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67" w:type="dxa"/>
            <w:tcBorders>
              <w:top w:val="nil"/>
              <w:left w:val="nil"/>
              <w:bottom w:val="single" w:sz="4" w:space="0" w:color="auto"/>
              <w:right w:val="single" w:sz="4" w:space="0" w:color="auto"/>
            </w:tcBorders>
            <w:shd w:val="clear" w:color="auto" w:fill="auto"/>
            <w:noWrap/>
            <w:vAlign w:val="center"/>
            <w:hideMark/>
          </w:tcPr>
          <w:p w14:paraId="11EAB0B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0B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0B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0B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B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B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B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B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B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B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BA"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B0C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0B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B0BD"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B0B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B0B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C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C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C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0C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767" w:type="dxa"/>
            <w:tcBorders>
              <w:top w:val="nil"/>
              <w:left w:val="nil"/>
              <w:bottom w:val="single" w:sz="4" w:space="0" w:color="auto"/>
              <w:right w:val="single" w:sz="4" w:space="0" w:color="auto"/>
            </w:tcBorders>
            <w:shd w:val="clear" w:color="auto" w:fill="auto"/>
            <w:noWrap/>
            <w:vAlign w:val="center"/>
            <w:hideMark/>
          </w:tcPr>
          <w:p w14:paraId="11EAB0C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0C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0C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0C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C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C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C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C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C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0.31</w:t>
            </w:r>
          </w:p>
        </w:tc>
        <w:tc>
          <w:tcPr>
            <w:tcW w:w="846" w:type="dxa"/>
            <w:tcBorders>
              <w:top w:val="nil"/>
              <w:left w:val="nil"/>
              <w:bottom w:val="single" w:sz="4" w:space="0" w:color="auto"/>
              <w:right w:val="single" w:sz="4" w:space="0" w:color="auto"/>
            </w:tcBorders>
            <w:shd w:val="clear" w:color="auto" w:fill="auto"/>
            <w:noWrap/>
            <w:vAlign w:val="center"/>
            <w:hideMark/>
          </w:tcPr>
          <w:p w14:paraId="11EAB0C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C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r>
      <w:tr w:rsidR="006428D8" w:rsidRPr="00882085" w14:paraId="11EAB0E3"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0D0"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B0D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Pine</w:t>
            </w:r>
          </w:p>
        </w:tc>
        <w:tc>
          <w:tcPr>
            <w:tcW w:w="500" w:type="dxa"/>
            <w:tcBorders>
              <w:top w:val="nil"/>
              <w:left w:val="nil"/>
              <w:bottom w:val="single" w:sz="4" w:space="0" w:color="auto"/>
              <w:right w:val="single" w:sz="4" w:space="0" w:color="auto"/>
            </w:tcBorders>
            <w:shd w:val="clear" w:color="auto" w:fill="auto"/>
            <w:noWrap/>
            <w:vAlign w:val="center"/>
            <w:hideMark/>
          </w:tcPr>
          <w:p w14:paraId="11EAB0D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B0D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0.44</w:t>
            </w:r>
          </w:p>
        </w:tc>
        <w:tc>
          <w:tcPr>
            <w:tcW w:w="600" w:type="dxa"/>
            <w:tcBorders>
              <w:top w:val="nil"/>
              <w:left w:val="nil"/>
              <w:bottom w:val="single" w:sz="4" w:space="0" w:color="auto"/>
              <w:right w:val="single" w:sz="4" w:space="0" w:color="auto"/>
            </w:tcBorders>
            <w:shd w:val="clear" w:color="auto" w:fill="auto"/>
            <w:noWrap/>
            <w:vAlign w:val="center"/>
            <w:hideMark/>
          </w:tcPr>
          <w:p w14:paraId="11EAB0D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600" w:type="dxa"/>
            <w:tcBorders>
              <w:top w:val="nil"/>
              <w:left w:val="nil"/>
              <w:bottom w:val="single" w:sz="4" w:space="0" w:color="auto"/>
              <w:right w:val="single" w:sz="4" w:space="0" w:color="auto"/>
            </w:tcBorders>
            <w:shd w:val="clear" w:color="auto" w:fill="auto"/>
            <w:noWrap/>
            <w:vAlign w:val="center"/>
            <w:hideMark/>
          </w:tcPr>
          <w:p w14:paraId="11EAB0D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600" w:type="dxa"/>
            <w:tcBorders>
              <w:top w:val="nil"/>
              <w:left w:val="nil"/>
              <w:bottom w:val="single" w:sz="4" w:space="0" w:color="auto"/>
              <w:right w:val="single" w:sz="4" w:space="0" w:color="auto"/>
            </w:tcBorders>
            <w:shd w:val="clear" w:color="auto" w:fill="auto"/>
            <w:noWrap/>
            <w:vAlign w:val="center"/>
            <w:hideMark/>
          </w:tcPr>
          <w:p w14:paraId="11EAB0D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0D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2.38</w:t>
            </w:r>
          </w:p>
        </w:tc>
        <w:tc>
          <w:tcPr>
            <w:tcW w:w="767" w:type="dxa"/>
            <w:tcBorders>
              <w:top w:val="nil"/>
              <w:left w:val="nil"/>
              <w:bottom w:val="single" w:sz="4" w:space="0" w:color="auto"/>
              <w:right w:val="single" w:sz="4" w:space="0" w:color="auto"/>
            </w:tcBorders>
            <w:shd w:val="clear" w:color="auto" w:fill="auto"/>
            <w:noWrap/>
            <w:vAlign w:val="center"/>
            <w:hideMark/>
          </w:tcPr>
          <w:p w14:paraId="11EAB0D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0D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0D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0D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D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D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846" w:type="dxa"/>
            <w:tcBorders>
              <w:top w:val="nil"/>
              <w:left w:val="nil"/>
              <w:bottom w:val="single" w:sz="4" w:space="0" w:color="auto"/>
              <w:right w:val="single" w:sz="4" w:space="0" w:color="auto"/>
            </w:tcBorders>
            <w:shd w:val="clear" w:color="auto" w:fill="auto"/>
            <w:noWrap/>
            <w:vAlign w:val="center"/>
            <w:hideMark/>
          </w:tcPr>
          <w:p w14:paraId="11EAB0D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D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E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6.50</w:t>
            </w:r>
          </w:p>
        </w:tc>
        <w:tc>
          <w:tcPr>
            <w:tcW w:w="846" w:type="dxa"/>
            <w:tcBorders>
              <w:top w:val="nil"/>
              <w:left w:val="nil"/>
              <w:bottom w:val="single" w:sz="4" w:space="0" w:color="auto"/>
              <w:right w:val="single" w:sz="4" w:space="0" w:color="auto"/>
            </w:tcBorders>
            <w:shd w:val="clear" w:color="auto" w:fill="auto"/>
            <w:noWrap/>
            <w:vAlign w:val="center"/>
            <w:hideMark/>
          </w:tcPr>
          <w:p w14:paraId="11EAB0E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3.00</w:t>
            </w:r>
          </w:p>
        </w:tc>
        <w:tc>
          <w:tcPr>
            <w:tcW w:w="673" w:type="dxa"/>
            <w:tcBorders>
              <w:top w:val="nil"/>
              <w:left w:val="nil"/>
              <w:bottom w:val="single" w:sz="4" w:space="0" w:color="auto"/>
              <w:right w:val="single" w:sz="4" w:space="0" w:color="auto"/>
            </w:tcBorders>
            <w:shd w:val="clear" w:color="auto" w:fill="auto"/>
            <w:noWrap/>
            <w:vAlign w:val="center"/>
            <w:hideMark/>
          </w:tcPr>
          <w:p w14:paraId="11EAB0E2"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B0F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0E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B0E5"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B0E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B0E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E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0.44</w:t>
            </w:r>
          </w:p>
        </w:tc>
        <w:tc>
          <w:tcPr>
            <w:tcW w:w="600" w:type="dxa"/>
            <w:tcBorders>
              <w:top w:val="nil"/>
              <w:left w:val="nil"/>
              <w:bottom w:val="single" w:sz="4" w:space="0" w:color="auto"/>
              <w:right w:val="single" w:sz="4" w:space="0" w:color="auto"/>
            </w:tcBorders>
            <w:shd w:val="clear" w:color="auto" w:fill="auto"/>
            <w:noWrap/>
            <w:vAlign w:val="center"/>
            <w:hideMark/>
          </w:tcPr>
          <w:p w14:paraId="11EAB0E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0E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0E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0.63</w:t>
            </w:r>
          </w:p>
        </w:tc>
        <w:tc>
          <w:tcPr>
            <w:tcW w:w="767" w:type="dxa"/>
            <w:tcBorders>
              <w:top w:val="nil"/>
              <w:left w:val="nil"/>
              <w:bottom w:val="single" w:sz="4" w:space="0" w:color="auto"/>
              <w:right w:val="single" w:sz="4" w:space="0" w:color="auto"/>
            </w:tcBorders>
            <w:shd w:val="clear" w:color="auto" w:fill="auto"/>
            <w:noWrap/>
            <w:vAlign w:val="center"/>
            <w:hideMark/>
          </w:tcPr>
          <w:p w14:paraId="11EAB0E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0E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859" w:type="dxa"/>
            <w:tcBorders>
              <w:top w:val="nil"/>
              <w:left w:val="nil"/>
              <w:bottom w:val="single" w:sz="4" w:space="0" w:color="auto"/>
              <w:right w:val="single" w:sz="4" w:space="0" w:color="auto"/>
            </w:tcBorders>
            <w:shd w:val="clear" w:color="auto" w:fill="auto"/>
            <w:noWrap/>
            <w:vAlign w:val="center"/>
            <w:hideMark/>
          </w:tcPr>
          <w:p w14:paraId="11EAB0E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0E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F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0F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F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673" w:type="dxa"/>
            <w:tcBorders>
              <w:top w:val="nil"/>
              <w:left w:val="nil"/>
              <w:bottom w:val="single" w:sz="4" w:space="0" w:color="auto"/>
              <w:right w:val="single" w:sz="4" w:space="0" w:color="auto"/>
            </w:tcBorders>
            <w:shd w:val="clear" w:color="auto" w:fill="auto"/>
            <w:noWrap/>
            <w:vAlign w:val="center"/>
            <w:hideMark/>
          </w:tcPr>
          <w:p w14:paraId="11EAB0F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0F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7.56</w:t>
            </w:r>
          </w:p>
        </w:tc>
        <w:tc>
          <w:tcPr>
            <w:tcW w:w="846" w:type="dxa"/>
            <w:tcBorders>
              <w:top w:val="nil"/>
              <w:left w:val="nil"/>
              <w:bottom w:val="single" w:sz="4" w:space="0" w:color="auto"/>
              <w:right w:val="single" w:sz="4" w:space="0" w:color="auto"/>
            </w:tcBorders>
            <w:shd w:val="clear" w:color="auto" w:fill="auto"/>
            <w:noWrap/>
            <w:vAlign w:val="center"/>
            <w:hideMark/>
          </w:tcPr>
          <w:p w14:paraId="11EAB0F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673" w:type="dxa"/>
            <w:tcBorders>
              <w:top w:val="nil"/>
              <w:left w:val="nil"/>
              <w:bottom w:val="single" w:sz="4" w:space="0" w:color="auto"/>
              <w:right w:val="single" w:sz="4" w:space="0" w:color="auto"/>
            </w:tcBorders>
            <w:shd w:val="clear" w:color="auto" w:fill="auto"/>
            <w:noWrap/>
            <w:vAlign w:val="center"/>
            <w:hideMark/>
          </w:tcPr>
          <w:p w14:paraId="11EAB0F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r>
      <w:tr w:rsidR="006428D8" w:rsidRPr="00882085" w14:paraId="11EAB10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0F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B0F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Seaforth</w:t>
            </w:r>
          </w:p>
        </w:tc>
        <w:tc>
          <w:tcPr>
            <w:tcW w:w="500" w:type="dxa"/>
            <w:tcBorders>
              <w:top w:val="nil"/>
              <w:left w:val="nil"/>
              <w:bottom w:val="single" w:sz="4" w:space="0" w:color="auto"/>
              <w:right w:val="single" w:sz="4" w:space="0" w:color="auto"/>
            </w:tcBorders>
            <w:shd w:val="clear" w:color="auto" w:fill="auto"/>
            <w:noWrap/>
            <w:vAlign w:val="center"/>
            <w:hideMark/>
          </w:tcPr>
          <w:p w14:paraId="11EAB0F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B0F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3.88</w:t>
            </w:r>
          </w:p>
        </w:tc>
        <w:tc>
          <w:tcPr>
            <w:tcW w:w="600" w:type="dxa"/>
            <w:tcBorders>
              <w:top w:val="nil"/>
              <w:left w:val="nil"/>
              <w:bottom w:val="single" w:sz="4" w:space="0" w:color="auto"/>
              <w:right w:val="single" w:sz="4" w:space="0" w:color="auto"/>
            </w:tcBorders>
            <w:shd w:val="clear" w:color="auto" w:fill="auto"/>
            <w:noWrap/>
            <w:vAlign w:val="center"/>
            <w:hideMark/>
          </w:tcPr>
          <w:p w14:paraId="11EAB0F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00" w:type="dxa"/>
            <w:tcBorders>
              <w:top w:val="nil"/>
              <w:left w:val="nil"/>
              <w:bottom w:val="single" w:sz="4" w:space="0" w:color="auto"/>
              <w:right w:val="single" w:sz="4" w:space="0" w:color="auto"/>
            </w:tcBorders>
            <w:shd w:val="clear" w:color="auto" w:fill="auto"/>
            <w:noWrap/>
            <w:vAlign w:val="center"/>
            <w:hideMark/>
          </w:tcPr>
          <w:p w14:paraId="11EAB0F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1.25</w:t>
            </w:r>
          </w:p>
        </w:tc>
        <w:tc>
          <w:tcPr>
            <w:tcW w:w="600" w:type="dxa"/>
            <w:tcBorders>
              <w:top w:val="nil"/>
              <w:left w:val="nil"/>
              <w:bottom w:val="single" w:sz="4" w:space="0" w:color="auto"/>
              <w:right w:val="single" w:sz="4" w:space="0" w:color="auto"/>
            </w:tcBorders>
            <w:shd w:val="clear" w:color="auto" w:fill="auto"/>
            <w:noWrap/>
            <w:vAlign w:val="center"/>
            <w:hideMark/>
          </w:tcPr>
          <w:p w14:paraId="11EAB0F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0F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2.06</w:t>
            </w:r>
          </w:p>
        </w:tc>
        <w:tc>
          <w:tcPr>
            <w:tcW w:w="767" w:type="dxa"/>
            <w:tcBorders>
              <w:top w:val="nil"/>
              <w:left w:val="nil"/>
              <w:bottom w:val="single" w:sz="4" w:space="0" w:color="auto"/>
              <w:right w:val="single" w:sz="4" w:space="0" w:color="auto"/>
            </w:tcBorders>
            <w:shd w:val="clear" w:color="auto" w:fill="auto"/>
            <w:noWrap/>
            <w:vAlign w:val="center"/>
            <w:hideMark/>
          </w:tcPr>
          <w:p w14:paraId="11EAB10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10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10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425" w:type="dxa"/>
            <w:tcBorders>
              <w:top w:val="nil"/>
              <w:left w:val="nil"/>
              <w:bottom w:val="single" w:sz="4" w:space="0" w:color="auto"/>
              <w:right w:val="single" w:sz="4" w:space="0" w:color="auto"/>
            </w:tcBorders>
            <w:shd w:val="clear" w:color="auto" w:fill="auto"/>
            <w:noWrap/>
            <w:vAlign w:val="center"/>
            <w:hideMark/>
          </w:tcPr>
          <w:p w14:paraId="11EAB10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0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0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1.31</w:t>
            </w:r>
          </w:p>
        </w:tc>
        <w:tc>
          <w:tcPr>
            <w:tcW w:w="846" w:type="dxa"/>
            <w:tcBorders>
              <w:top w:val="nil"/>
              <w:left w:val="nil"/>
              <w:bottom w:val="single" w:sz="4" w:space="0" w:color="auto"/>
              <w:right w:val="single" w:sz="4" w:space="0" w:color="auto"/>
            </w:tcBorders>
            <w:shd w:val="clear" w:color="auto" w:fill="auto"/>
            <w:noWrap/>
            <w:vAlign w:val="center"/>
            <w:hideMark/>
          </w:tcPr>
          <w:p w14:paraId="11EAB10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673" w:type="dxa"/>
            <w:tcBorders>
              <w:top w:val="nil"/>
              <w:left w:val="nil"/>
              <w:bottom w:val="single" w:sz="4" w:space="0" w:color="auto"/>
              <w:right w:val="single" w:sz="4" w:space="0" w:color="auto"/>
            </w:tcBorders>
            <w:shd w:val="clear" w:color="auto" w:fill="auto"/>
            <w:noWrap/>
            <w:vAlign w:val="center"/>
            <w:hideMark/>
          </w:tcPr>
          <w:p w14:paraId="11EAB10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0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2.31</w:t>
            </w:r>
          </w:p>
        </w:tc>
        <w:tc>
          <w:tcPr>
            <w:tcW w:w="846" w:type="dxa"/>
            <w:tcBorders>
              <w:top w:val="nil"/>
              <w:left w:val="nil"/>
              <w:bottom w:val="single" w:sz="4" w:space="0" w:color="auto"/>
              <w:right w:val="single" w:sz="4" w:space="0" w:color="auto"/>
            </w:tcBorders>
            <w:shd w:val="clear" w:color="auto" w:fill="auto"/>
            <w:noWrap/>
            <w:vAlign w:val="center"/>
            <w:hideMark/>
          </w:tcPr>
          <w:p w14:paraId="11EAB10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2.13</w:t>
            </w:r>
          </w:p>
        </w:tc>
        <w:tc>
          <w:tcPr>
            <w:tcW w:w="673" w:type="dxa"/>
            <w:tcBorders>
              <w:top w:val="nil"/>
              <w:left w:val="nil"/>
              <w:bottom w:val="single" w:sz="4" w:space="0" w:color="auto"/>
              <w:right w:val="single" w:sz="4" w:space="0" w:color="auto"/>
            </w:tcBorders>
            <w:shd w:val="clear" w:color="auto" w:fill="auto"/>
            <w:noWrap/>
            <w:vAlign w:val="center"/>
            <w:hideMark/>
          </w:tcPr>
          <w:p w14:paraId="11EAB10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0.75</w:t>
            </w:r>
          </w:p>
        </w:tc>
      </w:tr>
      <w:tr w:rsidR="006428D8" w:rsidRPr="00882085" w14:paraId="11EAB11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10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B10D"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B10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B10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1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1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4.13</w:t>
            </w:r>
          </w:p>
        </w:tc>
        <w:tc>
          <w:tcPr>
            <w:tcW w:w="600" w:type="dxa"/>
            <w:tcBorders>
              <w:top w:val="nil"/>
              <w:left w:val="nil"/>
              <w:bottom w:val="single" w:sz="4" w:space="0" w:color="auto"/>
              <w:right w:val="single" w:sz="4" w:space="0" w:color="auto"/>
            </w:tcBorders>
            <w:shd w:val="clear" w:color="auto" w:fill="auto"/>
            <w:noWrap/>
            <w:vAlign w:val="center"/>
            <w:hideMark/>
          </w:tcPr>
          <w:p w14:paraId="11EAB11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11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0.50</w:t>
            </w:r>
          </w:p>
        </w:tc>
        <w:tc>
          <w:tcPr>
            <w:tcW w:w="767" w:type="dxa"/>
            <w:tcBorders>
              <w:top w:val="nil"/>
              <w:left w:val="nil"/>
              <w:bottom w:val="single" w:sz="4" w:space="0" w:color="auto"/>
              <w:right w:val="single" w:sz="4" w:space="0" w:color="auto"/>
            </w:tcBorders>
            <w:shd w:val="clear" w:color="auto" w:fill="auto"/>
            <w:noWrap/>
            <w:vAlign w:val="center"/>
            <w:hideMark/>
          </w:tcPr>
          <w:p w14:paraId="11EAB11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10" w:type="dxa"/>
            <w:tcBorders>
              <w:top w:val="nil"/>
              <w:left w:val="nil"/>
              <w:bottom w:val="single" w:sz="4" w:space="0" w:color="auto"/>
              <w:right w:val="single" w:sz="4" w:space="0" w:color="auto"/>
            </w:tcBorders>
            <w:shd w:val="clear" w:color="auto" w:fill="auto"/>
            <w:noWrap/>
            <w:vAlign w:val="center"/>
            <w:hideMark/>
          </w:tcPr>
          <w:p w14:paraId="11EAB11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859" w:type="dxa"/>
            <w:tcBorders>
              <w:top w:val="nil"/>
              <w:left w:val="nil"/>
              <w:bottom w:val="single" w:sz="4" w:space="0" w:color="auto"/>
              <w:right w:val="single" w:sz="4" w:space="0" w:color="auto"/>
            </w:tcBorders>
            <w:shd w:val="clear" w:color="auto" w:fill="auto"/>
            <w:noWrap/>
            <w:vAlign w:val="center"/>
            <w:hideMark/>
          </w:tcPr>
          <w:p w14:paraId="11EAB11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11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1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1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0.44</w:t>
            </w:r>
          </w:p>
        </w:tc>
        <w:tc>
          <w:tcPr>
            <w:tcW w:w="846" w:type="dxa"/>
            <w:tcBorders>
              <w:top w:val="nil"/>
              <w:left w:val="nil"/>
              <w:bottom w:val="single" w:sz="4" w:space="0" w:color="auto"/>
              <w:right w:val="single" w:sz="4" w:space="0" w:color="auto"/>
            </w:tcBorders>
            <w:shd w:val="clear" w:color="auto" w:fill="auto"/>
            <w:noWrap/>
            <w:vAlign w:val="center"/>
            <w:hideMark/>
          </w:tcPr>
          <w:p w14:paraId="11EAB11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73" w:type="dxa"/>
            <w:tcBorders>
              <w:top w:val="nil"/>
              <w:left w:val="nil"/>
              <w:bottom w:val="single" w:sz="4" w:space="0" w:color="auto"/>
              <w:right w:val="single" w:sz="4" w:space="0" w:color="auto"/>
            </w:tcBorders>
            <w:shd w:val="clear" w:color="auto" w:fill="auto"/>
            <w:noWrap/>
            <w:vAlign w:val="center"/>
            <w:hideMark/>
          </w:tcPr>
          <w:p w14:paraId="11EAB11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1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4.19</w:t>
            </w:r>
          </w:p>
        </w:tc>
        <w:tc>
          <w:tcPr>
            <w:tcW w:w="846" w:type="dxa"/>
            <w:tcBorders>
              <w:top w:val="nil"/>
              <w:left w:val="nil"/>
              <w:bottom w:val="single" w:sz="4" w:space="0" w:color="auto"/>
              <w:right w:val="single" w:sz="4" w:space="0" w:color="auto"/>
            </w:tcBorders>
            <w:shd w:val="clear" w:color="auto" w:fill="auto"/>
            <w:noWrap/>
            <w:vAlign w:val="center"/>
            <w:hideMark/>
          </w:tcPr>
          <w:p w14:paraId="11EAB11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0.56</w:t>
            </w:r>
          </w:p>
        </w:tc>
        <w:tc>
          <w:tcPr>
            <w:tcW w:w="673" w:type="dxa"/>
            <w:tcBorders>
              <w:top w:val="nil"/>
              <w:left w:val="nil"/>
              <w:bottom w:val="single" w:sz="4" w:space="0" w:color="auto"/>
              <w:right w:val="single" w:sz="4" w:space="0" w:color="auto"/>
            </w:tcBorders>
            <w:shd w:val="clear" w:color="auto" w:fill="auto"/>
            <w:noWrap/>
            <w:vAlign w:val="center"/>
            <w:hideMark/>
          </w:tcPr>
          <w:p w14:paraId="11EAB11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r>
      <w:tr w:rsidR="006428D8" w:rsidRPr="00882085" w14:paraId="11EAB133" w14:textId="77777777" w:rsidTr="00184C63">
        <w:trPr>
          <w:trHeight w:val="340"/>
        </w:trPr>
        <w:tc>
          <w:tcPr>
            <w:tcW w:w="704"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1EAB120"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Fitzroy</w:t>
            </w: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B12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Barren</w:t>
            </w:r>
          </w:p>
        </w:tc>
        <w:tc>
          <w:tcPr>
            <w:tcW w:w="500" w:type="dxa"/>
            <w:tcBorders>
              <w:top w:val="nil"/>
              <w:left w:val="nil"/>
              <w:bottom w:val="single" w:sz="4" w:space="0" w:color="auto"/>
              <w:right w:val="single" w:sz="4" w:space="0" w:color="auto"/>
            </w:tcBorders>
            <w:shd w:val="clear" w:color="auto" w:fill="auto"/>
            <w:noWrap/>
            <w:vAlign w:val="center"/>
            <w:hideMark/>
          </w:tcPr>
          <w:p w14:paraId="11EAB12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B12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2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2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2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12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1.50</w:t>
            </w:r>
          </w:p>
        </w:tc>
        <w:tc>
          <w:tcPr>
            <w:tcW w:w="767" w:type="dxa"/>
            <w:tcBorders>
              <w:top w:val="nil"/>
              <w:left w:val="nil"/>
              <w:bottom w:val="single" w:sz="4" w:space="0" w:color="auto"/>
              <w:right w:val="single" w:sz="4" w:space="0" w:color="auto"/>
            </w:tcBorders>
            <w:shd w:val="clear" w:color="auto" w:fill="auto"/>
            <w:noWrap/>
            <w:vAlign w:val="center"/>
            <w:hideMark/>
          </w:tcPr>
          <w:p w14:paraId="11EAB12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12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12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12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2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2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2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2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3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846" w:type="dxa"/>
            <w:tcBorders>
              <w:top w:val="nil"/>
              <w:left w:val="nil"/>
              <w:bottom w:val="single" w:sz="4" w:space="0" w:color="auto"/>
              <w:right w:val="single" w:sz="4" w:space="0" w:color="auto"/>
            </w:tcBorders>
            <w:shd w:val="clear" w:color="auto" w:fill="auto"/>
            <w:noWrap/>
            <w:vAlign w:val="center"/>
            <w:hideMark/>
          </w:tcPr>
          <w:p w14:paraId="11EAB13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32" w14:textId="77777777" w:rsidR="006428D8" w:rsidRPr="00882085" w:rsidRDefault="006428D8" w:rsidP="006428D8">
            <w:pPr>
              <w:spacing w:after="0"/>
              <w:jc w:val="center"/>
              <w:rPr>
                <w:rFonts w:ascii="Arial Narrow" w:hAnsi="Arial Narrow"/>
                <w:color w:val="000000"/>
                <w:sz w:val="18"/>
                <w:szCs w:val="18"/>
                <w:lang w:val="en-AU" w:eastAsia="en-AU"/>
              </w:rPr>
            </w:pPr>
          </w:p>
        </w:tc>
      </w:tr>
      <w:tr w:rsidR="006428D8" w:rsidRPr="00882085" w14:paraId="11EAB14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13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B135"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B13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B13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3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0.69</w:t>
            </w:r>
          </w:p>
        </w:tc>
        <w:tc>
          <w:tcPr>
            <w:tcW w:w="600" w:type="dxa"/>
            <w:tcBorders>
              <w:top w:val="nil"/>
              <w:left w:val="nil"/>
              <w:bottom w:val="single" w:sz="4" w:space="0" w:color="auto"/>
              <w:right w:val="single" w:sz="4" w:space="0" w:color="auto"/>
            </w:tcBorders>
            <w:shd w:val="clear" w:color="auto" w:fill="auto"/>
            <w:noWrap/>
            <w:vAlign w:val="center"/>
            <w:hideMark/>
          </w:tcPr>
          <w:p w14:paraId="11EAB13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3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13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2.31</w:t>
            </w:r>
          </w:p>
        </w:tc>
        <w:tc>
          <w:tcPr>
            <w:tcW w:w="767" w:type="dxa"/>
            <w:tcBorders>
              <w:top w:val="nil"/>
              <w:left w:val="nil"/>
              <w:bottom w:val="single" w:sz="4" w:space="0" w:color="auto"/>
              <w:right w:val="single" w:sz="4" w:space="0" w:color="auto"/>
            </w:tcBorders>
            <w:shd w:val="clear" w:color="auto" w:fill="auto"/>
            <w:noWrap/>
            <w:vAlign w:val="center"/>
            <w:hideMark/>
          </w:tcPr>
          <w:p w14:paraId="11EAB13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13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13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13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4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4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4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4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4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7.26</w:t>
            </w:r>
          </w:p>
        </w:tc>
        <w:tc>
          <w:tcPr>
            <w:tcW w:w="846" w:type="dxa"/>
            <w:tcBorders>
              <w:top w:val="nil"/>
              <w:left w:val="nil"/>
              <w:bottom w:val="single" w:sz="4" w:space="0" w:color="auto"/>
              <w:right w:val="single" w:sz="4" w:space="0" w:color="auto"/>
            </w:tcBorders>
            <w:shd w:val="clear" w:color="auto" w:fill="auto"/>
            <w:noWrap/>
            <w:vAlign w:val="center"/>
            <w:hideMark/>
          </w:tcPr>
          <w:p w14:paraId="11EAB14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4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r>
      <w:tr w:rsidR="006428D8" w:rsidRPr="00882085" w14:paraId="11EAB15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14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B14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North Keppel</w:t>
            </w:r>
          </w:p>
        </w:tc>
        <w:tc>
          <w:tcPr>
            <w:tcW w:w="500" w:type="dxa"/>
            <w:tcBorders>
              <w:top w:val="nil"/>
              <w:left w:val="nil"/>
              <w:bottom w:val="single" w:sz="4" w:space="0" w:color="auto"/>
              <w:right w:val="single" w:sz="4" w:space="0" w:color="auto"/>
            </w:tcBorders>
            <w:shd w:val="clear" w:color="auto" w:fill="auto"/>
            <w:noWrap/>
            <w:vAlign w:val="center"/>
            <w:hideMark/>
          </w:tcPr>
          <w:p w14:paraId="11EAB14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B14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4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3.20</w:t>
            </w:r>
          </w:p>
        </w:tc>
        <w:tc>
          <w:tcPr>
            <w:tcW w:w="600" w:type="dxa"/>
            <w:tcBorders>
              <w:top w:val="nil"/>
              <w:left w:val="nil"/>
              <w:bottom w:val="single" w:sz="4" w:space="0" w:color="auto"/>
              <w:right w:val="single" w:sz="4" w:space="0" w:color="auto"/>
            </w:tcBorders>
            <w:shd w:val="clear" w:color="auto" w:fill="auto"/>
            <w:noWrap/>
            <w:vAlign w:val="center"/>
            <w:hideMark/>
          </w:tcPr>
          <w:p w14:paraId="11EAB14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00" w:type="dxa"/>
            <w:tcBorders>
              <w:top w:val="nil"/>
              <w:left w:val="nil"/>
              <w:bottom w:val="single" w:sz="4" w:space="0" w:color="auto"/>
              <w:right w:val="single" w:sz="4" w:space="0" w:color="auto"/>
            </w:tcBorders>
            <w:shd w:val="clear" w:color="auto" w:fill="auto"/>
            <w:noWrap/>
            <w:vAlign w:val="center"/>
            <w:hideMark/>
          </w:tcPr>
          <w:p w14:paraId="11EAB14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14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0.69</w:t>
            </w:r>
          </w:p>
        </w:tc>
        <w:tc>
          <w:tcPr>
            <w:tcW w:w="767" w:type="dxa"/>
            <w:tcBorders>
              <w:top w:val="nil"/>
              <w:left w:val="nil"/>
              <w:bottom w:val="single" w:sz="4" w:space="0" w:color="auto"/>
              <w:right w:val="single" w:sz="4" w:space="0" w:color="auto"/>
            </w:tcBorders>
            <w:shd w:val="clear" w:color="auto" w:fill="auto"/>
            <w:noWrap/>
            <w:vAlign w:val="center"/>
            <w:hideMark/>
          </w:tcPr>
          <w:p w14:paraId="11EAB15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15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15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15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5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5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5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5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5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29.59</w:t>
            </w:r>
          </w:p>
        </w:tc>
        <w:tc>
          <w:tcPr>
            <w:tcW w:w="846" w:type="dxa"/>
            <w:tcBorders>
              <w:top w:val="nil"/>
              <w:left w:val="nil"/>
              <w:bottom w:val="single" w:sz="4" w:space="0" w:color="auto"/>
              <w:right w:val="single" w:sz="4" w:space="0" w:color="auto"/>
            </w:tcBorders>
            <w:shd w:val="clear" w:color="auto" w:fill="auto"/>
            <w:noWrap/>
            <w:vAlign w:val="center"/>
            <w:hideMark/>
          </w:tcPr>
          <w:p w14:paraId="11EAB15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73" w:type="dxa"/>
            <w:tcBorders>
              <w:top w:val="nil"/>
              <w:left w:val="nil"/>
              <w:bottom w:val="single" w:sz="4" w:space="0" w:color="auto"/>
              <w:right w:val="single" w:sz="4" w:space="0" w:color="auto"/>
            </w:tcBorders>
            <w:shd w:val="clear" w:color="auto" w:fill="auto"/>
            <w:noWrap/>
            <w:vAlign w:val="center"/>
            <w:hideMark/>
          </w:tcPr>
          <w:p w14:paraId="11EAB15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1.51</w:t>
            </w:r>
          </w:p>
        </w:tc>
      </w:tr>
      <w:tr w:rsidR="006428D8" w:rsidRPr="00882085" w14:paraId="11EAB16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15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B15D"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B15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B15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6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3.00</w:t>
            </w:r>
          </w:p>
        </w:tc>
        <w:tc>
          <w:tcPr>
            <w:tcW w:w="600" w:type="dxa"/>
            <w:tcBorders>
              <w:top w:val="nil"/>
              <w:left w:val="nil"/>
              <w:bottom w:val="single" w:sz="4" w:space="0" w:color="auto"/>
              <w:right w:val="single" w:sz="4" w:space="0" w:color="auto"/>
            </w:tcBorders>
            <w:shd w:val="clear" w:color="auto" w:fill="auto"/>
            <w:noWrap/>
            <w:vAlign w:val="center"/>
            <w:hideMark/>
          </w:tcPr>
          <w:p w14:paraId="11EAB16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00" w:type="dxa"/>
            <w:tcBorders>
              <w:top w:val="nil"/>
              <w:left w:val="nil"/>
              <w:bottom w:val="single" w:sz="4" w:space="0" w:color="auto"/>
              <w:right w:val="single" w:sz="4" w:space="0" w:color="auto"/>
            </w:tcBorders>
            <w:shd w:val="clear" w:color="auto" w:fill="auto"/>
            <w:noWrap/>
            <w:vAlign w:val="center"/>
            <w:hideMark/>
          </w:tcPr>
          <w:p w14:paraId="11EAB16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16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0.50</w:t>
            </w:r>
          </w:p>
        </w:tc>
        <w:tc>
          <w:tcPr>
            <w:tcW w:w="767" w:type="dxa"/>
            <w:tcBorders>
              <w:top w:val="nil"/>
              <w:left w:val="nil"/>
              <w:bottom w:val="single" w:sz="4" w:space="0" w:color="auto"/>
              <w:right w:val="single" w:sz="4" w:space="0" w:color="auto"/>
            </w:tcBorders>
            <w:shd w:val="clear" w:color="auto" w:fill="auto"/>
            <w:noWrap/>
            <w:vAlign w:val="center"/>
            <w:hideMark/>
          </w:tcPr>
          <w:p w14:paraId="11EAB16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16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16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16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6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6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6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73" w:type="dxa"/>
            <w:tcBorders>
              <w:top w:val="nil"/>
              <w:left w:val="nil"/>
              <w:bottom w:val="single" w:sz="4" w:space="0" w:color="auto"/>
              <w:right w:val="single" w:sz="4" w:space="0" w:color="auto"/>
            </w:tcBorders>
            <w:shd w:val="clear" w:color="auto" w:fill="auto"/>
            <w:noWrap/>
            <w:vAlign w:val="center"/>
            <w:hideMark/>
          </w:tcPr>
          <w:p w14:paraId="11EAB16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6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33.96</w:t>
            </w:r>
          </w:p>
        </w:tc>
        <w:tc>
          <w:tcPr>
            <w:tcW w:w="846" w:type="dxa"/>
            <w:tcBorders>
              <w:top w:val="nil"/>
              <w:left w:val="nil"/>
              <w:bottom w:val="single" w:sz="4" w:space="0" w:color="auto"/>
              <w:right w:val="single" w:sz="4" w:space="0" w:color="auto"/>
            </w:tcBorders>
            <w:shd w:val="clear" w:color="auto" w:fill="auto"/>
            <w:noWrap/>
            <w:vAlign w:val="center"/>
            <w:hideMark/>
          </w:tcPr>
          <w:p w14:paraId="11EAB16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6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2.38</w:t>
            </w:r>
          </w:p>
        </w:tc>
      </w:tr>
      <w:tr w:rsidR="006428D8" w:rsidRPr="00882085" w14:paraId="11EAB183"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170"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B17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Middle</w:t>
            </w:r>
          </w:p>
        </w:tc>
        <w:tc>
          <w:tcPr>
            <w:tcW w:w="500" w:type="dxa"/>
            <w:tcBorders>
              <w:top w:val="nil"/>
              <w:left w:val="nil"/>
              <w:bottom w:val="single" w:sz="4" w:space="0" w:color="auto"/>
              <w:right w:val="single" w:sz="4" w:space="0" w:color="auto"/>
            </w:tcBorders>
            <w:shd w:val="clear" w:color="auto" w:fill="auto"/>
            <w:noWrap/>
            <w:vAlign w:val="center"/>
            <w:hideMark/>
          </w:tcPr>
          <w:p w14:paraId="11EAB17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B17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7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2.75</w:t>
            </w:r>
          </w:p>
        </w:tc>
        <w:tc>
          <w:tcPr>
            <w:tcW w:w="600" w:type="dxa"/>
            <w:tcBorders>
              <w:top w:val="nil"/>
              <w:left w:val="nil"/>
              <w:bottom w:val="single" w:sz="4" w:space="0" w:color="auto"/>
              <w:right w:val="single" w:sz="4" w:space="0" w:color="auto"/>
            </w:tcBorders>
            <w:shd w:val="clear" w:color="auto" w:fill="auto"/>
            <w:noWrap/>
            <w:vAlign w:val="center"/>
            <w:hideMark/>
          </w:tcPr>
          <w:p w14:paraId="11EAB17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7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17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1.38</w:t>
            </w:r>
          </w:p>
        </w:tc>
        <w:tc>
          <w:tcPr>
            <w:tcW w:w="767" w:type="dxa"/>
            <w:tcBorders>
              <w:top w:val="nil"/>
              <w:left w:val="nil"/>
              <w:bottom w:val="single" w:sz="4" w:space="0" w:color="auto"/>
              <w:right w:val="single" w:sz="4" w:space="0" w:color="auto"/>
            </w:tcBorders>
            <w:shd w:val="clear" w:color="auto" w:fill="auto"/>
            <w:noWrap/>
            <w:vAlign w:val="center"/>
            <w:hideMark/>
          </w:tcPr>
          <w:p w14:paraId="11EAB17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17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17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17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7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7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7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7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8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28.27</w:t>
            </w:r>
          </w:p>
        </w:tc>
        <w:tc>
          <w:tcPr>
            <w:tcW w:w="846" w:type="dxa"/>
            <w:tcBorders>
              <w:top w:val="nil"/>
              <w:left w:val="nil"/>
              <w:bottom w:val="single" w:sz="4" w:space="0" w:color="auto"/>
              <w:right w:val="single" w:sz="4" w:space="0" w:color="auto"/>
            </w:tcBorders>
            <w:shd w:val="clear" w:color="auto" w:fill="auto"/>
            <w:noWrap/>
            <w:vAlign w:val="center"/>
            <w:hideMark/>
          </w:tcPr>
          <w:p w14:paraId="11EAB18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5.00</w:t>
            </w:r>
          </w:p>
        </w:tc>
        <w:tc>
          <w:tcPr>
            <w:tcW w:w="673" w:type="dxa"/>
            <w:tcBorders>
              <w:top w:val="nil"/>
              <w:left w:val="nil"/>
              <w:bottom w:val="single" w:sz="4" w:space="0" w:color="auto"/>
              <w:right w:val="single" w:sz="4" w:space="0" w:color="auto"/>
            </w:tcBorders>
            <w:shd w:val="clear" w:color="auto" w:fill="auto"/>
            <w:noWrap/>
            <w:vAlign w:val="center"/>
            <w:hideMark/>
          </w:tcPr>
          <w:p w14:paraId="11EAB18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0.38</w:t>
            </w:r>
          </w:p>
        </w:tc>
      </w:tr>
      <w:tr w:rsidR="006428D8" w:rsidRPr="00882085" w14:paraId="11EAB19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18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B185"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B18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B18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8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4.00</w:t>
            </w:r>
          </w:p>
        </w:tc>
        <w:tc>
          <w:tcPr>
            <w:tcW w:w="600" w:type="dxa"/>
            <w:tcBorders>
              <w:top w:val="nil"/>
              <w:left w:val="nil"/>
              <w:bottom w:val="single" w:sz="4" w:space="0" w:color="auto"/>
              <w:right w:val="single" w:sz="4" w:space="0" w:color="auto"/>
            </w:tcBorders>
            <w:shd w:val="clear" w:color="auto" w:fill="auto"/>
            <w:noWrap/>
            <w:vAlign w:val="center"/>
            <w:hideMark/>
          </w:tcPr>
          <w:p w14:paraId="11EAB18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8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18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4.26</w:t>
            </w:r>
          </w:p>
        </w:tc>
        <w:tc>
          <w:tcPr>
            <w:tcW w:w="767" w:type="dxa"/>
            <w:tcBorders>
              <w:top w:val="nil"/>
              <w:left w:val="nil"/>
              <w:bottom w:val="single" w:sz="4" w:space="0" w:color="auto"/>
              <w:right w:val="single" w:sz="4" w:space="0" w:color="auto"/>
            </w:tcBorders>
            <w:shd w:val="clear" w:color="auto" w:fill="auto"/>
            <w:noWrap/>
            <w:vAlign w:val="center"/>
            <w:hideMark/>
          </w:tcPr>
          <w:p w14:paraId="11EAB18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18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18E"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18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9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9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846" w:type="dxa"/>
            <w:tcBorders>
              <w:top w:val="nil"/>
              <w:left w:val="nil"/>
              <w:bottom w:val="single" w:sz="4" w:space="0" w:color="auto"/>
              <w:right w:val="single" w:sz="4" w:space="0" w:color="auto"/>
            </w:tcBorders>
            <w:shd w:val="clear" w:color="auto" w:fill="auto"/>
            <w:noWrap/>
            <w:vAlign w:val="center"/>
            <w:hideMark/>
          </w:tcPr>
          <w:p w14:paraId="11EAB19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0.50</w:t>
            </w:r>
          </w:p>
        </w:tc>
        <w:tc>
          <w:tcPr>
            <w:tcW w:w="673" w:type="dxa"/>
            <w:tcBorders>
              <w:top w:val="nil"/>
              <w:left w:val="nil"/>
              <w:bottom w:val="single" w:sz="4" w:space="0" w:color="auto"/>
              <w:right w:val="single" w:sz="4" w:space="0" w:color="auto"/>
            </w:tcBorders>
            <w:shd w:val="clear" w:color="auto" w:fill="auto"/>
            <w:noWrap/>
            <w:vAlign w:val="center"/>
            <w:hideMark/>
          </w:tcPr>
          <w:p w14:paraId="11EAB19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9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22.02</w:t>
            </w:r>
          </w:p>
        </w:tc>
        <w:tc>
          <w:tcPr>
            <w:tcW w:w="846" w:type="dxa"/>
            <w:tcBorders>
              <w:top w:val="nil"/>
              <w:left w:val="nil"/>
              <w:bottom w:val="single" w:sz="4" w:space="0" w:color="auto"/>
              <w:right w:val="single" w:sz="4" w:space="0" w:color="auto"/>
            </w:tcBorders>
            <w:shd w:val="clear" w:color="auto" w:fill="auto"/>
            <w:noWrap/>
            <w:vAlign w:val="center"/>
            <w:hideMark/>
          </w:tcPr>
          <w:p w14:paraId="11EAB19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3.25</w:t>
            </w:r>
          </w:p>
        </w:tc>
        <w:tc>
          <w:tcPr>
            <w:tcW w:w="673" w:type="dxa"/>
            <w:tcBorders>
              <w:top w:val="nil"/>
              <w:left w:val="nil"/>
              <w:bottom w:val="single" w:sz="4" w:space="0" w:color="auto"/>
              <w:right w:val="single" w:sz="4" w:space="0" w:color="auto"/>
            </w:tcBorders>
            <w:shd w:val="clear" w:color="auto" w:fill="auto"/>
            <w:noWrap/>
            <w:vAlign w:val="center"/>
            <w:hideMark/>
          </w:tcPr>
          <w:p w14:paraId="11EAB19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1.00</w:t>
            </w:r>
          </w:p>
        </w:tc>
      </w:tr>
      <w:tr w:rsidR="006428D8" w:rsidRPr="00882085" w14:paraId="11EAB1A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19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B19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Keppels South</w:t>
            </w:r>
          </w:p>
        </w:tc>
        <w:tc>
          <w:tcPr>
            <w:tcW w:w="500" w:type="dxa"/>
            <w:tcBorders>
              <w:top w:val="nil"/>
              <w:left w:val="nil"/>
              <w:bottom w:val="single" w:sz="4" w:space="0" w:color="auto"/>
              <w:right w:val="single" w:sz="4" w:space="0" w:color="auto"/>
            </w:tcBorders>
            <w:shd w:val="clear" w:color="auto" w:fill="auto"/>
            <w:noWrap/>
            <w:vAlign w:val="center"/>
            <w:hideMark/>
          </w:tcPr>
          <w:p w14:paraId="11EAB19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B19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9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5.50</w:t>
            </w:r>
          </w:p>
        </w:tc>
        <w:tc>
          <w:tcPr>
            <w:tcW w:w="600" w:type="dxa"/>
            <w:tcBorders>
              <w:top w:val="nil"/>
              <w:left w:val="nil"/>
              <w:bottom w:val="single" w:sz="4" w:space="0" w:color="auto"/>
              <w:right w:val="single" w:sz="4" w:space="0" w:color="auto"/>
            </w:tcBorders>
            <w:shd w:val="clear" w:color="auto" w:fill="auto"/>
            <w:noWrap/>
            <w:vAlign w:val="center"/>
            <w:hideMark/>
          </w:tcPr>
          <w:p w14:paraId="11EAB19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9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9.94</w:t>
            </w:r>
          </w:p>
        </w:tc>
        <w:tc>
          <w:tcPr>
            <w:tcW w:w="756" w:type="dxa"/>
            <w:tcBorders>
              <w:top w:val="nil"/>
              <w:left w:val="nil"/>
              <w:bottom w:val="single" w:sz="4" w:space="0" w:color="auto"/>
              <w:right w:val="single" w:sz="4" w:space="0" w:color="auto"/>
            </w:tcBorders>
            <w:shd w:val="clear" w:color="auto" w:fill="auto"/>
            <w:noWrap/>
            <w:vAlign w:val="center"/>
            <w:hideMark/>
          </w:tcPr>
          <w:p w14:paraId="11EAB19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1.63</w:t>
            </w:r>
          </w:p>
        </w:tc>
        <w:tc>
          <w:tcPr>
            <w:tcW w:w="767" w:type="dxa"/>
            <w:tcBorders>
              <w:top w:val="nil"/>
              <w:left w:val="nil"/>
              <w:bottom w:val="single" w:sz="4" w:space="0" w:color="auto"/>
              <w:right w:val="single" w:sz="4" w:space="0" w:color="auto"/>
            </w:tcBorders>
            <w:shd w:val="clear" w:color="auto" w:fill="auto"/>
            <w:noWrap/>
            <w:vAlign w:val="center"/>
            <w:hideMark/>
          </w:tcPr>
          <w:p w14:paraId="11EAB1A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10" w:type="dxa"/>
            <w:tcBorders>
              <w:top w:val="nil"/>
              <w:left w:val="nil"/>
              <w:bottom w:val="single" w:sz="4" w:space="0" w:color="auto"/>
              <w:right w:val="single" w:sz="4" w:space="0" w:color="auto"/>
            </w:tcBorders>
            <w:shd w:val="clear" w:color="auto" w:fill="auto"/>
            <w:noWrap/>
            <w:vAlign w:val="center"/>
            <w:hideMark/>
          </w:tcPr>
          <w:p w14:paraId="11EAB1A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1A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1A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73" w:type="dxa"/>
            <w:tcBorders>
              <w:top w:val="nil"/>
              <w:left w:val="nil"/>
              <w:bottom w:val="single" w:sz="4" w:space="0" w:color="auto"/>
              <w:right w:val="single" w:sz="4" w:space="0" w:color="auto"/>
            </w:tcBorders>
            <w:shd w:val="clear" w:color="auto" w:fill="auto"/>
            <w:noWrap/>
            <w:vAlign w:val="center"/>
            <w:hideMark/>
          </w:tcPr>
          <w:p w14:paraId="11EAB1A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A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846" w:type="dxa"/>
            <w:tcBorders>
              <w:top w:val="nil"/>
              <w:left w:val="nil"/>
              <w:bottom w:val="single" w:sz="4" w:space="0" w:color="auto"/>
              <w:right w:val="single" w:sz="4" w:space="0" w:color="auto"/>
            </w:tcBorders>
            <w:shd w:val="clear" w:color="auto" w:fill="auto"/>
            <w:noWrap/>
            <w:vAlign w:val="center"/>
            <w:hideMark/>
          </w:tcPr>
          <w:p w14:paraId="11EAB1A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1.13</w:t>
            </w:r>
          </w:p>
        </w:tc>
        <w:tc>
          <w:tcPr>
            <w:tcW w:w="673" w:type="dxa"/>
            <w:tcBorders>
              <w:top w:val="nil"/>
              <w:left w:val="nil"/>
              <w:bottom w:val="single" w:sz="4" w:space="0" w:color="auto"/>
              <w:right w:val="single" w:sz="4" w:space="0" w:color="auto"/>
            </w:tcBorders>
            <w:shd w:val="clear" w:color="auto" w:fill="auto"/>
            <w:noWrap/>
            <w:vAlign w:val="center"/>
            <w:hideMark/>
          </w:tcPr>
          <w:p w14:paraId="11EAB1A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0.38</w:t>
            </w:r>
          </w:p>
        </w:tc>
        <w:tc>
          <w:tcPr>
            <w:tcW w:w="846" w:type="dxa"/>
            <w:tcBorders>
              <w:top w:val="nil"/>
              <w:left w:val="nil"/>
              <w:bottom w:val="single" w:sz="4" w:space="0" w:color="auto"/>
              <w:right w:val="single" w:sz="4" w:space="0" w:color="auto"/>
            </w:tcBorders>
            <w:shd w:val="clear" w:color="auto" w:fill="auto"/>
            <w:noWrap/>
            <w:vAlign w:val="center"/>
            <w:hideMark/>
          </w:tcPr>
          <w:p w14:paraId="11EAB1A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w:t>
            </w:r>
          </w:p>
        </w:tc>
        <w:tc>
          <w:tcPr>
            <w:tcW w:w="846" w:type="dxa"/>
            <w:tcBorders>
              <w:top w:val="nil"/>
              <w:left w:val="nil"/>
              <w:bottom w:val="single" w:sz="4" w:space="0" w:color="auto"/>
              <w:right w:val="single" w:sz="4" w:space="0" w:color="auto"/>
            </w:tcBorders>
            <w:shd w:val="clear" w:color="auto" w:fill="auto"/>
            <w:noWrap/>
            <w:vAlign w:val="center"/>
            <w:hideMark/>
          </w:tcPr>
          <w:p w14:paraId="11EAB1A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673" w:type="dxa"/>
            <w:tcBorders>
              <w:top w:val="nil"/>
              <w:left w:val="nil"/>
              <w:bottom w:val="single" w:sz="4" w:space="0" w:color="auto"/>
              <w:right w:val="single" w:sz="4" w:space="0" w:color="auto"/>
            </w:tcBorders>
            <w:shd w:val="clear" w:color="auto" w:fill="auto"/>
            <w:noWrap/>
            <w:vAlign w:val="center"/>
            <w:hideMark/>
          </w:tcPr>
          <w:p w14:paraId="11EAB1A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1.31</w:t>
            </w:r>
          </w:p>
        </w:tc>
      </w:tr>
      <w:tr w:rsidR="006428D8" w:rsidRPr="00882085" w14:paraId="11EAB1B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1A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B1AD"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B1A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B1A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B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2.38</w:t>
            </w:r>
          </w:p>
        </w:tc>
        <w:tc>
          <w:tcPr>
            <w:tcW w:w="600" w:type="dxa"/>
            <w:tcBorders>
              <w:top w:val="nil"/>
              <w:left w:val="nil"/>
              <w:bottom w:val="single" w:sz="4" w:space="0" w:color="auto"/>
              <w:right w:val="single" w:sz="4" w:space="0" w:color="auto"/>
            </w:tcBorders>
            <w:shd w:val="clear" w:color="auto" w:fill="auto"/>
            <w:noWrap/>
            <w:vAlign w:val="center"/>
            <w:hideMark/>
          </w:tcPr>
          <w:p w14:paraId="11EAB1B1"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B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4.63</w:t>
            </w:r>
          </w:p>
        </w:tc>
        <w:tc>
          <w:tcPr>
            <w:tcW w:w="756" w:type="dxa"/>
            <w:tcBorders>
              <w:top w:val="nil"/>
              <w:left w:val="nil"/>
              <w:bottom w:val="single" w:sz="4" w:space="0" w:color="auto"/>
              <w:right w:val="single" w:sz="4" w:space="0" w:color="auto"/>
            </w:tcBorders>
            <w:shd w:val="clear" w:color="auto" w:fill="auto"/>
            <w:noWrap/>
            <w:vAlign w:val="center"/>
            <w:hideMark/>
          </w:tcPr>
          <w:p w14:paraId="11EAB1B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1.81</w:t>
            </w:r>
          </w:p>
        </w:tc>
        <w:tc>
          <w:tcPr>
            <w:tcW w:w="767" w:type="dxa"/>
            <w:tcBorders>
              <w:top w:val="nil"/>
              <w:left w:val="nil"/>
              <w:bottom w:val="single" w:sz="4" w:space="0" w:color="auto"/>
              <w:right w:val="single" w:sz="4" w:space="0" w:color="auto"/>
            </w:tcBorders>
            <w:shd w:val="clear" w:color="auto" w:fill="auto"/>
            <w:noWrap/>
            <w:vAlign w:val="center"/>
            <w:hideMark/>
          </w:tcPr>
          <w:p w14:paraId="11EAB1B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1B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1B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1B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B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B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B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73" w:type="dxa"/>
            <w:tcBorders>
              <w:top w:val="nil"/>
              <w:left w:val="nil"/>
              <w:bottom w:val="single" w:sz="4" w:space="0" w:color="auto"/>
              <w:right w:val="single" w:sz="4" w:space="0" w:color="auto"/>
            </w:tcBorders>
            <w:shd w:val="clear" w:color="auto" w:fill="auto"/>
            <w:noWrap/>
            <w:vAlign w:val="center"/>
            <w:hideMark/>
          </w:tcPr>
          <w:p w14:paraId="11EAB1B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B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11.81</w:t>
            </w:r>
          </w:p>
        </w:tc>
        <w:tc>
          <w:tcPr>
            <w:tcW w:w="846" w:type="dxa"/>
            <w:tcBorders>
              <w:top w:val="nil"/>
              <w:left w:val="nil"/>
              <w:bottom w:val="single" w:sz="4" w:space="0" w:color="auto"/>
              <w:right w:val="single" w:sz="4" w:space="0" w:color="auto"/>
            </w:tcBorders>
            <w:shd w:val="clear" w:color="auto" w:fill="auto"/>
            <w:noWrap/>
            <w:vAlign w:val="center"/>
            <w:hideMark/>
          </w:tcPr>
          <w:p w14:paraId="11EAB1B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B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r>
      <w:tr w:rsidR="006428D8" w:rsidRPr="00882085" w14:paraId="11EAB1D3"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1C0"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B1C1"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Pelican</w:t>
            </w:r>
          </w:p>
        </w:tc>
        <w:tc>
          <w:tcPr>
            <w:tcW w:w="500" w:type="dxa"/>
            <w:tcBorders>
              <w:top w:val="nil"/>
              <w:left w:val="nil"/>
              <w:bottom w:val="single" w:sz="4" w:space="0" w:color="auto"/>
              <w:right w:val="single" w:sz="4" w:space="0" w:color="auto"/>
            </w:tcBorders>
            <w:shd w:val="clear" w:color="auto" w:fill="auto"/>
            <w:noWrap/>
            <w:vAlign w:val="center"/>
            <w:hideMark/>
          </w:tcPr>
          <w:p w14:paraId="11EAB1C2"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B1C3"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C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0.25</w:t>
            </w:r>
          </w:p>
        </w:tc>
        <w:tc>
          <w:tcPr>
            <w:tcW w:w="600" w:type="dxa"/>
            <w:tcBorders>
              <w:top w:val="nil"/>
              <w:left w:val="nil"/>
              <w:bottom w:val="single" w:sz="4" w:space="0" w:color="auto"/>
              <w:right w:val="single" w:sz="4" w:space="0" w:color="auto"/>
            </w:tcBorders>
            <w:shd w:val="clear" w:color="auto" w:fill="auto"/>
            <w:noWrap/>
            <w:vAlign w:val="center"/>
            <w:hideMark/>
          </w:tcPr>
          <w:p w14:paraId="11EAB1C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3.13</w:t>
            </w:r>
          </w:p>
        </w:tc>
        <w:tc>
          <w:tcPr>
            <w:tcW w:w="600" w:type="dxa"/>
            <w:tcBorders>
              <w:top w:val="nil"/>
              <w:left w:val="nil"/>
              <w:bottom w:val="single" w:sz="4" w:space="0" w:color="auto"/>
              <w:right w:val="single" w:sz="4" w:space="0" w:color="auto"/>
            </w:tcBorders>
            <w:shd w:val="clear" w:color="auto" w:fill="auto"/>
            <w:noWrap/>
            <w:vAlign w:val="center"/>
            <w:hideMark/>
          </w:tcPr>
          <w:p w14:paraId="11EAB1C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1C7"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11.75</w:t>
            </w:r>
          </w:p>
        </w:tc>
        <w:tc>
          <w:tcPr>
            <w:tcW w:w="767" w:type="dxa"/>
            <w:tcBorders>
              <w:top w:val="nil"/>
              <w:left w:val="nil"/>
              <w:bottom w:val="single" w:sz="4" w:space="0" w:color="auto"/>
              <w:right w:val="single" w:sz="4" w:space="0" w:color="auto"/>
            </w:tcBorders>
            <w:shd w:val="clear" w:color="auto" w:fill="auto"/>
            <w:noWrap/>
            <w:vAlign w:val="center"/>
            <w:hideMark/>
          </w:tcPr>
          <w:p w14:paraId="11EAB1C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1C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1C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425" w:type="dxa"/>
            <w:tcBorders>
              <w:top w:val="nil"/>
              <w:left w:val="nil"/>
              <w:bottom w:val="single" w:sz="4" w:space="0" w:color="auto"/>
              <w:right w:val="single" w:sz="4" w:space="0" w:color="auto"/>
            </w:tcBorders>
            <w:shd w:val="clear" w:color="auto" w:fill="auto"/>
            <w:noWrap/>
            <w:vAlign w:val="center"/>
            <w:hideMark/>
          </w:tcPr>
          <w:p w14:paraId="11EAB1C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673" w:type="dxa"/>
            <w:tcBorders>
              <w:top w:val="nil"/>
              <w:left w:val="nil"/>
              <w:bottom w:val="single" w:sz="4" w:space="0" w:color="auto"/>
              <w:right w:val="single" w:sz="4" w:space="0" w:color="auto"/>
            </w:tcBorders>
            <w:shd w:val="clear" w:color="auto" w:fill="auto"/>
            <w:noWrap/>
            <w:vAlign w:val="center"/>
            <w:hideMark/>
          </w:tcPr>
          <w:p w14:paraId="11EAB1C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0.56</w:t>
            </w:r>
          </w:p>
        </w:tc>
        <w:tc>
          <w:tcPr>
            <w:tcW w:w="673" w:type="dxa"/>
            <w:tcBorders>
              <w:top w:val="nil"/>
              <w:left w:val="nil"/>
              <w:bottom w:val="single" w:sz="4" w:space="0" w:color="auto"/>
              <w:right w:val="single" w:sz="4" w:space="0" w:color="auto"/>
            </w:tcBorders>
            <w:shd w:val="clear" w:color="auto" w:fill="auto"/>
            <w:noWrap/>
            <w:vAlign w:val="center"/>
            <w:hideMark/>
          </w:tcPr>
          <w:p w14:paraId="11EAB1C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846" w:type="dxa"/>
            <w:tcBorders>
              <w:top w:val="nil"/>
              <w:left w:val="nil"/>
              <w:bottom w:val="single" w:sz="4" w:space="0" w:color="auto"/>
              <w:right w:val="single" w:sz="4" w:space="0" w:color="auto"/>
            </w:tcBorders>
            <w:shd w:val="clear" w:color="auto" w:fill="auto"/>
            <w:noWrap/>
            <w:vAlign w:val="center"/>
            <w:hideMark/>
          </w:tcPr>
          <w:p w14:paraId="11EAB1C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6.13</w:t>
            </w:r>
          </w:p>
        </w:tc>
        <w:tc>
          <w:tcPr>
            <w:tcW w:w="673" w:type="dxa"/>
            <w:tcBorders>
              <w:top w:val="nil"/>
              <w:left w:val="nil"/>
              <w:bottom w:val="single" w:sz="4" w:space="0" w:color="auto"/>
              <w:right w:val="single" w:sz="4" w:space="0" w:color="auto"/>
            </w:tcBorders>
            <w:shd w:val="clear" w:color="auto" w:fill="auto"/>
            <w:noWrap/>
            <w:vAlign w:val="center"/>
            <w:hideMark/>
          </w:tcPr>
          <w:p w14:paraId="11EAB1C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1.00</w:t>
            </w:r>
          </w:p>
        </w:tc>
        <w:tc>
          <w:tcPr>
            <w:tcW w:w="846" w:type="dxa"/>
            <w:tcBorders>
              <w:top w:val="nil"/>
              <w:left w:val="nil"/>
              <w:bottom w:val="single" w:sz="4" w:space="0" w:color="auto"/>
              <w:right w:val="single" w:sz="4" w:space="0" w:color="auto"/>
            </w:tcBorders>
            <w:shd w:val="clear" w:color="auto" w:fill="auto"/>
            <w:noWrap/>
            <w:vAlign w:val="center"/>
            <w:hideMark/>
          </w:tcPr>
          <w:p w14:paraId="11EAB1D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9.25</w:t>
            </w:r>
          </w:p>
        </w:tc>
        <w:tc>
          <w:tcPr>
            <w:tcW w:w="846" w:type="dxa"/>
            <w:tcBorders>
              <w:top w:val="nil"/>
              <w:left w:val="nil"/>
              <w:bottom w:val="single" w:sz="4" w:space="0" w:color="auto"/>
              <w:right w:val="single" w:sz="4" w:space="0" w:color="auto"/>
            </w:tcBorders>
            <w:shd w:val="clear" w:color="auto" w:fill="auto"/>
            <w:noWrap/>
            <w:vAlign w:val="center"/>
            <w:hideMark/>
          </w:tcPr>
          <w:p w14:paraId="11EAB1D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40.88</w:t>
            </w:r>
          </w:p>
        </w:tc>
        <w:tc>
          <w:tcPr>
            <w:tcW w:w="673" w:type="dxa"/>
            <w:tcBorders>
              <w:top w:val="nil"/>
              <w:left w:val="nil"/>
              <w:bottom w:val="single" w:sz="4" w:space="0" w:color="auto"/>
              <w:right w:val="single" w:sz="4" w:space="0" w:color="auto"/>
            </w:tcBorders>
            <w:shd w:val="clear" w:color="auto" w:fill="auto"/>
            <w:noWrap/>
            <w:vAlign w:val="center"/>
            <w:hideMark/>
          </w:tcPr>
          <w:p w14:paraId="11EAB1D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3.63</w:t>
            </w:r>
          </w:p>
        </w:tc>
      </w:tr>
      <w:tr w:rsidR="006428D8" w:rsidRPr="00882085" w14:paraId="11EAB1E7"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1D4"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B1D5"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B1D6"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B1D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D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0.31</w:t>
            </w:r>
          </w:p>
        </w:tc>
        <w:tc>
          <w:tcPr>
            <w:tcW w:w="600" w:type="dxa"/>
            <w:tcBorders>
              <w:top w:val="nil"/>
              <w:left w:val="nil"/>
              <w:bottom w:val="single" w:sz="4" w:space="0" w:color="auto"/>
              <w:right w:val="single" w:sz="4" w:space="0" w:color="auto"/>
            </w:tcBorders>
            <w:shd w:val="clear" w:color="auto" w:fill="auto"/>
            <w:noWrap/>
            <w:vAlign w:val="center"/>
            <w:hideMark/>
          </w:tcPr>
          <w:p w14:paraId="11EAB1D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0.81</w:t>
            </w:r>
          </w:p>
        </w:tc>
        <w:tc>
          <w:tcPr>
            <w:tcW w:w="600" w:type="dxa"/>
            <w:tcBorders>
              <w:top w:val="nil"/>
              <w:left w:val="nil"/>
              <w:bottom w:val="single" w:sz="4" w:space="0" w:color="auto"/>
              <w:right w:val="single" w:sz="4" w:space="0" w:color="auto"/>
            </w:tcBorders>
            <w:shd w:val="clear" w:color="auto" w:fill="auto"/>
            <w:noWrap/>
            <w:vAlign w:val="center"/>
            <w:hideMark/>
          </w:tcPr>
          <w:p w14:paraId="11EAB1D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1DB"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5.38</w:t>
            </w:r>
          </w:p>
        </w:tc>
        <w:tc>
          <w:tcPr>
            <w:tcW w:w="767" w:type="dxa"/>
            <w:tcBorders>
              <w:top w:val="nil"/>
              <w:left w:val="nil"/>
              <w:bottom w:val="single" w:sz="4" w:space="0" w:color="auto"/>
              <w:right w:val="single" w:sz="4" w:space="0" w:color="auto"/>
            </w:tcBorders>
            <w:shd w:val="clear" w:color="auto" w:fill="auto"/>
            <w:noWrap/>
            <w:vAlign w:val="center"/>
            <w:hideMark/>
          </w:tcPr>
          <w:p w14:paraId="11EAB1DC"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1D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59" w:type="dxa"/>
            <w:tcBorders>
              <w:top w:val="nil"/>
              <w:left w:val="nil"/>
              <w:bottom w:val="single" w:sz="4" w:space="0" w:color="auto"/>
              <w:right w:val="single" w:sz="4" w:space="0" w:color="auto"/>
            </w:tcBorders>
            <w:shd w:val="clear" w:color="auto" w:fill="auto"/>
            <w:noWrap/>
            <w:vAlign w:val="center"/>
            <w:hideMark/>
          </w:tcPr>
          <w:p w14:paraId="11EAB1D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0.13</w:t>
            </w:r>
          </w:p>
        </w:tc>
        <w:tc>
          <w:tcPr>
            <w:tcW w:w="425" w:type="dxa"/>
            <w:tcBorders>
              <w:top w:val="nil"/>
              <w:left w:val="nil"/>
              <w:bottom w:val="single" w:sz="4" w:space="0" w:color="auto"/>
              <w:right w:val="single" w:sz="4" w:space="0" w:color="auto"/>
            </w:tcBorders>
            <w:shd w:val="clear" w:color="auto" w:fill="auto"/>
            <w:noWrap/>
            <w:vAlign w:val="center"/>
            <w:hideMark/>
          </w:tcPr>
          <w:p w14:paraId="11EAB1D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E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E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0.19</w:t>
            </w:r>
          </w:p>
        </w:tc>
        <w:tc>
          <w:tcPr>
            <w:tcW w:w="846" w:type="dxa"/>
            <w:tcBorders>
              <w:top w:val="nil"/>
              <w:left w:val="nil"/>
              <w:bottom w:val="single" w:sz="4" w:space="0" w:color="auto"/>
              <w:right w:val="single" w:sz="4" w:space="0" w:color="auto"/>
            </w:tcBorders>
            <w:shd w:val="clear" w:color="auto" w:fill="auto"/>
            <w:noWrap/>
            <w:vAlign w:val="center"/>
            <w:hideMark/>
          </w:tcPr>
          <w:p w14:paraId="11EAB1E2"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3.06</w:t>
            </w:r>
          </w:p>
        </w:tc>
        <w:tc>
          <w:tcPr>
            <w:tcW w:w="673" w:type="dxa"/>
            <w:tcBorders>
              <w:top w:val="nil"/>
              <w:left w:val="nil"/>
              <w:bottom w:val="single" w:sz="4" w:space="0" w:color="auto"/>
              <w:right w:val="single" w:sz="4" w:space="0" w:color="auto"/>
            </w:tcBorders>
            <w:shd w:val="clear" w:color="auto" w:fill="auto"/>
            <w:noWrap/>
            <w:vAlign w:val="center"/>
            <w:hideMark/>
          </w:tcPr>
          <w:p w14:paraId="11EAB1E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846" w:type="dxa"/>
            <w:tcBorders>
              <w:top w:val="nil"/>
              <w:left w:val="nil"/>
              <w:bottom w:val="single" w:sz="4" w:space="0" w:color="auto"/>
              <w:right w:val="single" w:sz="4" w:space="0" w:color="auto"/>
            </w:tcBorders>
            <w:shd w:val="clear" w:color="auto" w:fill="auto"/>
            <w:noWrap/>
            <w:vAlign w:val="center"/>
            <w:hideMark/>
          </w:tcPr>
          <w:p w14:paraId="11EAB1E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11.63</w:t>
            </w:r>
          </w:p>
        </w:tc>
        <w:tc>
          <w:tcPr>
            <w:tcW w:w="846" w:type="dxa"/>
            <w:tcBorders>
              <w:top w:val="nil"/>
              <w:left w:val="nil"/>
              <w:bottom w:val="single" w:sz="4" w:space="0" w:color="auto"/>
              <w:right w:val="single" w:sz="4" w:space="0" w:color="auto"/>
            </w:tcBorders>
            <w:shd w:val="clear" w:color="auto" w:fill="auto"/>
            <w:noWrap/>
            <w:vAlign w:val="center"/>
            <w:hideMark/>
          </w:tcPr>
          <w:p w14:paraId="11EAB1E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3.31</w:t>
            </w:r>
          </w:p>
        </w:tc>
        <w:tc>
          <w:tcPr>
            <w:tcW w:w="673" w:type="dxa"/>
            <w:tcBorders>
              <w:top w:val="nil"/>
              <w:left w:val="nil"/>
              <w:bottom w:val="single" w:sz="4" w:space="0" w:color="auto"/>
              <w:right w:val="single" w:sz="4" w:space="0" w:color="auto"/>
            </w:tcBorders>
            <w:shd w:val="clear" w:color="auto" w:fill="auto"/>
            <w:noWrap/>
            <w:vAlign w:val="center"/>
            <w:hideMark/>
          </w:tcPr>
          <w:p w14:paraId="11EAB1E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3.06</w:t>
            </w:r>
          </w:p>
        </w:tc>
      </w:tr>
      <w:tr w:rsidR="006428D8" w:rsidRPr="00882085" w14:paraId="11EAB1FB"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1E8"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EAB1E9"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Peak</w:t>
            </w:r>
          </w:p>
        </w:tc>
        <w:tc>
          <w:tcPr>
            <w:tcW w:w="500" w:type="dxa"/>
            <w:tcBorders>
              <w:top w:val="nil"/>
              <w:left w:val="nil"/>
              <w:bottom w:val="single" w:sz="4" w:space="0" w:color="auto"/>
              <w:right w:val="single" w:sz="4" w:space="0" w:color="auto"/>
            </w:tcBorders>
            <w:shd w:val="clear" w:color="auto" w:fill="auto"/>
            <w:noWrap/>
            <w:vAlign w:val="center"/>
            <w:hideMark/>
          </w:tcPr>
          <w:p w14:paraId="11EAB1EA"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2</w:t>
            </w:r>
          </w:p>
        </w:tc>
        <w:tc>
          <w:tcPr>
            <w:tcW w:w="756" w:type="dxa"/>
            <w:tcBorders>
              <w:top w:val="nil"/>
              <w:left w:val="nil"/>
              <w:bottom w:val="single" w:sz="4" w:space="0" w:color="auto"/>
              <w:right w:val="single" w:sz="4" w:space="0" w:color="auto"/>
            </w:tcBorders>
            <w:shd w:val="clear" w:color="auto" w:fill="auto"/>
            <w:noWrap/>
            <w:vAlign w:val="center"/>
            <w:hideMark/>
          </w:tcPr>
          <w:p w14:paraId="11EAB1E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1E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0.69</w:t>
            </w:r>
          </w:p>
        </w:tc>
        <w:tc>
          <w:tcPr>
            <w:tcW w:w="600" w:type="dxa"/>
            <w:tcBorders>
              <w:top w:val="nil"/>
              <w:left w:val="nil"/>
              <w:bottom w:val="single" w:sz="4" w:space="0" w:color="auto"/>
              <w:right w:val="single" w:sz="4" w:space="0" w:color="auto"/>
            </w:tcBorders>
            <w:shd w:val="clear" w:color="auto" w:fill="auto"/>
            <w:noWrap/>
            <w:vAlign w:val="center"/>
            <w:hideMark/>
          </w:tcPr>
          <w:p w14:paraId="11EAB1ED"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4.63</w:t>
            </w:r>
          </w:p>
        </w:tc>
        <w:tc>
          <w:tcPr>
            <w:tcW w:w="600" w:type="dxa"/>
            <w:tcBorders>
              <w:top w:val="nil"/>
              <w:left w:val="nil"/>
              <w:bottom w:val="single" w:sz="4" w:space="0" w:color="auto"/>
              <w:right w:val="single" w:sz="4" w:space="0" w:color="auto"/>
            </w:tcBorders>
            <w:shd w:val="clear" w:color="auto" w:fill="auto"/>
            <w:noWrap/>
            <w:vAlign w:val="center"/>
            <w:hideMark/>
          </w:tcPr>
          <w:p w14:paraId="11EAB1E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2.00</w:t>
            </w:r>
          </w:p>
        </w:tc>
        <w:tc>
          <w:tcPr>
            <w:tcW w:w="756" w:type="dxa"/>
            <w:tcBorders>
              <w:top w:val="nil"/>
              <w:left w:val="nil"/>
              <w:bottom w:val="single" w:sz="4" w:space="0" w:color="auto"/>
              <w:right w:val="single" w:sz="4" w:space="0" w:color="auto"/>
            </w:tcBorders>
            <w:shd w:val="clear" w:color="auto" w:fill="auto"/>
            <w:noWrap/>
            <w:vAlign w:val="center"/>
            <w:hideMark/>
          </w:tcPr>
          <w:p w14:paraId="11EAB1EF"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12.50</w:t>
            </w:r>
          </w:p>
        </w:tc>
        <w:tc>
          <w:tcPr>
            <w:tcW w:w="767" w:type="dxa"/>
            <w:tcBorders>
              <w:top w:val="nil"/>
              <w:left w:val="nil"/>
              <w:bottom w:val="single" w:sz="4" w:space="0" w:color="auto"/>
              <w:right w:val="single" w:sz="4" w:space="0" w:color="auto"/>
            </w:tcBorders>
            <w:shd w:val="clear" w:color="auto" w:fill="auto"/>
            <w:noWrap/>
            <w:vAlign w:val="center"/>
            <w:hideMark/>
          </w:tcPr>
          <w:p w14:paraId="11EAB1F0"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1F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1.44</w:t>
            </w:r>
          </w:p>
        </w:tc>
        <w:tc>
          <w:tcPr>
            <w:tcW w:w="859" w:type="dxa"/>
            <w:tcBorders>
              <w:top w:val="nil"/>
              <w:left w:val="nil"/>
              <w:bottom w:val="single" w:sz="4" w:space="0" w:color="auto"/>
              <w:right w:val="single" w:sz="4" w:space="0" w:color="auto"/>
            </w:tcBorders>
            <w:shd w:val="clear" w:color="auto" w:fill="auto"/>
            <w:noWrap/>
            <w:vAlign w:val="center"/>
            <w:hideMark/>
          </w:tcPr>
          <w:p w14:paraId="11EAB1F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425" w:type="dxa"/>
            <w:tcBorders>
              <w:top w:val="nil"/>
              <w:left w:val="nil"/>
              <w:bottom w:val="single" w:sz="4" w:space="0" w:color="auto"/>
              <w:right w:val="single" w:sz="4" w:space="0" w:color="auto"/>
            </w:tcBorders>
            <w:shd w:val="clear" w:color="auto" w:fill="auto"/>
            <w:noWrap/>
            <w:vAlign w:val="center"/>
            <w:hideMark/>
          </w:tcPr>
          <w:p w14:paraId="11EAB1F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0.88</w:t>
            </w:r>
          </w:p>
        </w:tc>
        <w:tc>
          <w:tcPr>
            <w:tcW w:w="673" w:type="dxa"/>
            <w:tcBorders>
              <w:top w:val="nil"/>
              <w:left w:val="nil"/>
              <w:bottom w:val="single" w:sz="4" w:space="0" w:color="auto"/>
              <w:right w:val="single" w:sz="4" w:space="0" w:color="auto"/>
            </w:tcBorders>
            <w:shd w:val="clear" w:color="auto" w:fill="auto"/>
            <w:noWrap/>
            <w:vAlign w:val="center"/>
            <w:hideMark/>
          </w:tcPr>
          <w:p w14:paraId="11EAB1F4"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0.50</w:t>
            </w:r>
          </w:p>
        </w:tc>
        <w:tc>
          <w:tcPr>
            <w:tcW w:w="673" w:type="dxa"/>
            <w:tcBorders>
              <w:top w:val="nil"/>
              <w:left w:val="nil"/>
              <w:bottom w:val="single" w:sz="4" w:space="0" w:color="auto"/>
              <w:right w:val="single" w:sz="4" w:space="0" w:color="auto"/>
            </w:tcBorders>
            <w:shd w:val="clear" w:color="auto" w:fill="auto"/>
            <w:noWrap/>
            <w:vAlign w:val="center"/>
            <w:hideMark/>
          </w:tcPr>
          <w:p w14:paraId="11EAB1F5"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F6"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1F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1F8"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10.13</w:t>
            </w:r>
          </w:p>
        </w:tc>
        <w:tc>
          <w:tcPr>
            <w:tcW w:w="846" w:type="dxa"/>
            <w:tcBorders>
              <w:top w:val="nil"/>
              <w:left w:val="nil"/>
              <w:bottom w:val="single" w:sz="4" w:space="0" w:color="auto"/>
              <w:right w:val="single" w:sz="4" w:space="0" w:color="auto"/>
            </w:tcBorders>
            <w:shd w:val="clear" w:color="auto" w:fill="auto"/>
            <w:noWrap/>
            <w:vAlign w:val="center"/>
            <w:hideMark/>
          </w:tcPr>
          <w:p w14:paraId="11EAB1F9"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12.31</w:t>
            </w:r>
          </w:p>
        </w:tc>
        <w:tc>
          <w:tcPr>
            <w:tcW w:w="673" w:type="dxa"/>
            <w:tcBorders>
              <w:top w:val="nil"/>
              <w:left w:val="nil"/>
              <w:bottom w:val="single" w:sz="4" w:space="0" w:color="auto"/>
              <w:right w:val="single" w:sz="4" w:space="0" w:color="auto"/>
            </w:tcBorders>
            <w:shd w:val="clear" w:color="auto" w:fill="auto"/>
            <w:noWrap/>
            <w:vAlign w:val="center"/>
            <w:hideMark/>
          </w:tcPr>
          <w:p w14:paraId="11EAB1FA"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1.69</w:t>
            </w:r>
          </w:p>
        </w:tc>
      </w:tr>
      <w:tr w:rsidR="006428D8" w:rsidRPr="00882085" w14:paraId="11EAB20F" w14:textId="77777777" w:rsidTr="00184C63">
        <w:trPr>
          <w:trHeight w:val="340"/>
        </w:trPr>
        <w:tc>
          <w:tcPr>
            <w:tcW w:w="704" w:type="dxa"/>
            <w:vMerge/>
            <w:tcBorders>
              <w:top w:val="nil"/>
              <w:left w:val="single" w:sz="4" w:space="0" w:color="auto"/>
              <w:bottom w:val="single" w:sz="4" w:space="0" w:color="auto"/>
              <w:right w:val="single" w:sz="4" w:space="0" w:color="auto"/>
            </w:tcBorders>
            <w:vAlign w:val="center"/>
            <w:hideMark/>
          </w:tcPr>
          <w:p w14:paraId="11EAB1FC" w14:textId="77777777" w:rsidR="006428D8" w:rsidRPr="00882085" w:rsidRDefault="006428D8" w:rsidP="006428D8">
            <w:pPr>
              <w:spacing w:after="0"/>
              <w:jc w:val="left"/>
              <w:rPr>
                <w:rFonts w:ascii="Arial Narrow" w:hAnsi="Arial Narrow"/>
                <w:color w:val="000000"/>
                <w:sz w:val="20"/>
                <w:lang w:val="en-AU" w:eastAsia="en-AU"/>
              </w:rPr>
            </w:pPr>
          </w:p>
        </w:tc>
        <w:tc>
          <w:tcPr>
            <w:tcW w:w="1768" w:type="dxa"/>
            <w:vMerge/>
            <w:tcBorders>
              <w:top w:val="nil"/>
              <w:left w:val="single" w:sz="4" w:space="0" w:color="auto"/>
              <w:bottom w:val="single" w:sz="4" w:space="0" w:color="auto"/>
              <w:right w:val="single" w:sz="4" w:space="0" w:color="auto"/>
            </w:tcBorders>
            <w:vAlign w:val="center"/>
            <w:hideMark/>
          </w:tcPr>
          <w:p w14:paraId="11EAB1FD" w14:textId="77777777" w:rsidR="006428D8" w:rsidRPr="00882085" w:rsidRDefault="006428D8" w:rsidP="006428D8">
            <w:pPr>
              <w:spacing w:after="0"/>
              <w:jc w:val="left"/>
              <w:rPr>
                <w:rFonts w:ascii="Arial Narrow" w:hAnsi="Arial Narrow"/>
                <w:color w:val="000000"/>
                <w:sz w:val="20"/>
                <w:lang w:val="en-AU" w:eastAsia="en-AU"/>
              </w:rPr>
            </w:pPr>
          </w:p>
        </w:tc>
        <w:tc>
          <w:tcPr>
            <w:tcW w:w="500" w:type="dxa"/>
            <w:tcBorders>
              <w:top w:val="nil"/>
              <w:left w:val="nil"/>
              <w:bottom w:val="single" w:sz="4" w:space="0" w:color="auto"/>
              <w:right w:val="single" w:sz="4" w:space="0" w:color="auto"/>
            </w:tcBorders>
            <w:shd w:val="clear" w:color="auto" w:fill="auto"/>
            <w:noWrap/>
            <w:vAlign w:val="center"/>
            <w:hideMark/>
          </w:tcPr>
          <w:p w14:paraId="11EAB1FE" w14:textId="77777777" w:rsidR="006428D8" w:rsidRPr="00882085" w:rsidRDefault="006428D8" w:rsidP="006428D8">
            <w:pPr>
              <w:spacing w:after="0"/>
              <w:jc w:val="center"/>
              <w:rPr>
                <w:rFonts w:ascii="Arial Narrow" w:hAnsi="Arial Narrow"/>
                <w:color w:val="000000"/>
                <w:sz w:val="20"/>
                <w:lang w:val="en-AU" w:eastAsia="en-AU"/>
              </w:rPr>
            </w:pPr>
            <w:r w:rsidRPr="00882085">
              <w:rPr>
                <w:rFonts w:ascii="Arial Narrow" w:hAnsi="Arial Narrow"/>
                <w:color w:val="000000"/>
                <w:sz w:val="20"/>
                <w:lang w:val="en-AU" w:eastAsia="en-AU"/>
              </w:rPr>
              <w:t>5</w:t>
            </w:r>
          </w:p>
        </w:tc>
        <w:tc>
          <w:tcPr>
            <w:tcW w:w="756" w:type="dxa"/>
            <w:tcBorders>
              <w:top w:val="nil"/>
              <w:left w:val="nil"/>
              <w:bottom w:val="single" w:sz="4" w:space="0" w:color="auto"/>
              <w:right w:val="single" w:sz="4" w:space="0" w:color="auto"/>
            </w:tcBorders>
            <w:shd w:val="clear" w:color="auto" w:fill="auto"/>
            <w:noWrap/>
            <w:vAlign w:val="center"/>
            <w:hideMark/>
          </w:tcPr>
          <w:p w14:paraId="11EAB1FF"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1EAB200"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1.88</w:t>
            </w:r>
          </w:p>
        </w:tc>
        <w:tc>
          <w:tcPr>
            <w:tcW w:w="600" w:type="dxa"/>
            <w:tcBorders>
              <w:top w:val="nil"/>
              <w:left w:val="nil"/>
              <w:bottom w:val="single" w:sz="4" w:space="0" w:color="auto"/>
              <w:right w:val="single" w:sz="4" w:space="0" w:color="auto"/>
            </w:tcBorders>
            <w:shd w:val="clear" w:color="auto" w:fill="auto"/>
            <w:noWrap/>
            <w:vAlign w:val="center"/>
            <w:hideMark/>
          </w:tcPr>
          <w:p w14:paraId="11EAB201"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1.44</w:t>
            </w:r>
          </w:p>
        </w:tc>
        <w:tc>
          <w:tcPr>
            <w:tcW w:w="600" w:type="dxa"/>
            <w:tcBorders>
              <w:top w:val="nil"/>
              <w:left w:val="nil"/>
              <w:bottom w:val="single" w:sz="4" w:space="0" w:color="auto"/>
              <w:right w:val="single" w:sz="4" w:space="0" w:color="auto"/>
            </w:tcBorders>
            <w:shd w:val="clear" w:color="auto" w:fill="auto"/>
            <w:noWrap/>
            <w:vAlign w:val="center"/>
            <w:hideMark/>
          </w:tcPr>
          <w:p w14:paraId="11EAB202"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756" w:type="dxa"/>
            <w:tcBorders>
              <w:top w:val="nil"/>
              <w:left w:val="nil"/>
              <w:bottom w:val="single" w:sz="4" w:space="0" w:color="auto"/>
              <w:right w:val="single" w:sz="4" w:space="0" w:color="auto"/>
            </w:tcBorders>
            <w:shd w:val="clear" w:color="auto" w:fill="auto"/>
            <w:noWrap/>
            <w:vAlign w:val="center"/>
            <w:hideMark/>
          </w:tcPr>
          <w:p w14:paraId="11EAB203"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9.31</w:t>
            </w:r>
          </w:p>
        </w:tc>
        <w:tc>
          <w:tcPr>
            <w:tcW w:w="767" w:type="dxa"/>
            <w:tcBorders>
              <w:top w:val="nil"/>
              <w:left w:val="nil"/>
              <w:bottom w:val="single" w:sz="4" w:space="0" w:color="auto"/>
              <w:right w:val="single" w:sz="4" w:space="0" w:color="auto"/>
            </w:tcBorders>
            <w:shd w:val="clear" w:color="auto" w:fill="auto"/>
            <w:noWrap/>
            <w:vAlign w:val="center"/>
            <w:hideMark/>
          </w:tcPr>
          <w:p w14:paraId="11EAB204"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10" w:type="dxa"/>
            <w:tcBorders>
              <w:top w:val="nil"/>
              <w:left w:val="nil"/>
              <w:bottom w:val="single" w:sz="4" w:space="0" w:color="auto"/>
              <w:right w:val="single" w:sz="4" w:space="0" w:color="auto"/>
            </w:tcBorders>
            <w:shd w:val="clear" w:color="auto" w:fill="auto"/>
            <w:noWrap/>
            <w:vAlign w:val="center"/>
            <w:hideMark/>
          </w:tcPr>
          <w:p w14:paraId="11EAB205"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1.00</w:t>
            </w:r>
          </w:p>
        </w:tc>
        <w:tc>
          <w:tcPr>
            <w:tcW w:w="859" w:type="dxa"/>
            <w:tcBorders>
              <w:top w:val="nil"/>
              <w:left w:val="nil"/>
              <w:bottom w:val="single" w:sz="4" w:space="0" w:color="auto"/>
              <w:right w:val="single" w:sz="4" w:space="0" w:color="auto"/>
            </w:tcBorders>
            <w:shd w:val="clear" w:color="auto" w:fill="auto"/>
            <w:noWrap/>
            <w:vAlign w:val="center"/>
            <w:hideMark/>
          </w:tcPr>
          <w:p w14:paraId="11EAB206"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0.06</w:t>
            </w:r>
          </w:p>
        </w:tc>
        <w:tc>
          <w:tcPr>
            <w:tcW w:w="425" w:type="dxa"/>
            <w:tcBorders>
              <w:top w:val="nil"/>
              <w:left w:val="nil"/>
              <w:bottom w:val="single" w:sz="4" w:space="0" w:color="auto"/>
              <w:right w:val="single" w:sz="4" w:space="0" w:color="auto"/>
            </w:tcBorders>
            <w:shd w:val="clear" w:color="auto" w:fill="auto"/>
            <w:noWrap/>
            <w:vAlign w:val="center"/>
            <w:hideMark/>
          </w:tcPr>
          <w:p w14:paraId="11EAB207"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208"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209"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20A"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20B"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846" w:type="dxa"/>
            <w:tcBorders>
              <w:top w:val="nil"/>
              <w:left w:val="nil"/>
              <w:bottom w:val="single" w:sz="4" w:space="0" w:color="auto"/>
              <w:right w:val="single" w:sz="4" w:space="0" w:color="auto"/>
            </w:tcBorders>
            <w:shd w:val="clear" w:color="auto" w:fill="auto"/>
            <w:noWrap/>
            <w:vAlign w:val="center"/>
            <w:hideMark/>
          </w:tcPr>
          <w:p w14:paraId="11EAB20C"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0.31</w:t>
            </w:r>
          </w:p>
        </w:tc>
        <w:tc>
          <w:tcPr>
            <w:tcW w:w="846" w:type="dxa"/>
            <w:tcBorders>
              <w:top w:val="nil"/>
              <w:left w:val="nil"/>
              <w:bottom w:val="single" w:sz="4" w:space="0" w:color="auto"/>
              <w:right w:val="single" w:sz="4" w:space="0" w:color="auto"/>
            </w:tcBorders>
            <w:shd w:val="clear" w:color="auto" w:fill="auto"/>
            <w:noWrap/>
            <w:vAlign w:val="center"/>
            <w:hideMark/>
          </w:tcPr>
          <w:p w14:paraId="11EAB20D" w14:textId="77777777" w:rsidR="006428D8" w:rsidRPr="00882085" w:rsidRDefault="006428D8" w:rsidP="006428D8">
            <w:pPr>
              <w:spacing w:after="0"/>
              <w:jc w:val="center"/>
              <w:rPr>
                <w:rFonts w:ascii="Arial Narrow" w:hAnsi="Arial Narrow"/>
                <w:color w:val="000000"/>
                <w:sz w:val="18"/>
                <w:szCs w:val="18"/>
                <w:lang w:val="en-AU" w:eastAsia="en-AU"/>
              </w:rPr>
            </w:pPr>
          </w:p>
        </w:tc>
        <w:tc>
          <w:tcPr>
            <w:tcW w:w="673" w:type="dxa"/>
            <w:tcBorders>
              <w:top w:val="nil"/>
              <w:left w:val="nil"/>
              <w:bottom w:val="single" w:sz="4" w:space="0" w:color="auto"/>
              <w:right w:val="single" w:sz="4" w:space="0" w:color="auto"/>
            </w:tcBorders>
            <w:shd w:val="clear" w:color="auto" w:fill="auto"/>
            <w:noWrap/>
            <w:vAlign w:val="center"/>
            <w:hideMark/>
          </w:tcPr>
          <w:p w14:paraId="11EAB20E" w14:textId="77777777" w:rsidR="006428D8" w:rsidRPr="00882085" w:rsidRDefault="006428D8" w:rsidP="006428D8">
            <w:pPr>
              <w:spacing w:after="0"/>
              <w:jc w:val="center"/>
              <w:rPr>
                <w:rFonts w:ascii="Arial Narrow" w:hAnsi="Arial Narrow"/>
                <w:color w:val="000000"/>
                <w:sz w:val="18"/>
                <w:szCs w:val="18"/>
                <w:lang w:val="en-AU" w:eastAsia="en-AU"/>
              </w:rPr>
            </w:pPr>
            <w:r w:rsidRPr="00882085">
              <w:rPr>
                <w:rFonts w:ascii="Arial Narrow" w:hAnsi="Arial Narrow"/>
                <w:color w:val="000000"/>
                <w:sz w:val="18"/>
                <w:szCs w:val="18"/>
                <w:lang w:val="en-AU" w:eastAsia="en-AU"/>
              </w:rPr>
              <w:t>0.31</w:t>
            </w:r>
          </w:p>
        </w:tc>
      </w:tr>
    </w:tbl>
    <w:p w14:paraId="11EAB210" w14:textId="77777777" w:rsidR="008A1A24" w:rsidRPr="00F439FB" w:rsidRDefault="008A1A24" w:rsidP="00833B1F">
      <w:pPr>
        <w:rPr>
          <w:color w:val="4F81BD" w:themeColor="accent1"/>
        </w:rPr>
      </w:pPr>
    </w:p>
    <w:p w14:paraId="11EAB211" w14:textId="77777777" w:rsidR="0088288C" w:rsidRPr="00F439FB" w:rsidRDefault="0088288C">
      <w:pPr>
        <w:jc w:val="left"/>
        <w:rPr>
          <w:color w:val="4F81BD" w:themeColor="accent1"/>
        </w:rPr>
      </w:pPr>
    </w:p>
    <w:p w14:paraId="11EAB212" w14:textId="77777777" w:rsidR="00655477" w:rsidRPr="00F439FB" w:rsidRDefault="00655477">
      <w:pPr>
        <w:jc w:val="left"/>
        <w:rPr>
          <w:color w:val="4F81BD" w:themeColor="accent1"/>
        </w:rPr>
      </w:pPr>
      <w:r w:rsidRPr="00F439FB">
        <w:rPr>
          <w:color w:val="4F81BD" w:themeColor="accent1"/>
        </w:rPr>
        <w:br w:type="page"/>
      </w:r>
    </w:p>
    <w:p w14:paraId="11EAB213" w14:textId="77777777" w:rsidR="00655477" w:rsidRPr="00F439FB" w:rsidRDefault="00655477">
      <w:pPr>
        <w:rPr>
          <w:color w:val="4F81BD" w:themeColor="accent1"/>
        </w:rPr>
        <w:sectPr w:rsidR="00655477" w:rsidRPr="00F439FB" w:rsidSect="000A241F">
          <w:pgSz w:w="16840" w:h="11907" w:orient="landscape" w:code="9"/>
          <w:pgMar w:top="1134" w:right="1440" w:bottom="1134" w:left="1276" w:header="862" w:footer="720" w:gutter="0"/>
          <w:cols w:space="720"/>
          <w:docGrid w:linePitch="299"/>
        </w:sectPr>
      </w:pPr>
    </w:p>
    <w:p w14:paraId="11EAB214" w14:textId="77777777" w:rsidR="00064605" w:rsidRPr="00F439FB" w:rsidRDefault="00064605">
      <w:pPr>
        <w:rPr>
          <w:color w:val="4F81BD" w:themeColor="accent1"/>
        </w:rPr>
      </w:pPr>
    </w:p>
    <w:p w14:paraId="11EAB215" w14:textId="77777777" w:rsidR="00064605" w:rsidRPr="00F439FB" w:rsidRDefault="004B40CF">
      <w:pPr>
        <w:rPr>
          <w:color w:val="4F81BD" w:themeColor="accent1"/>
        </w:rPr>
      </w:pPr>
      <w:r>
        <w:rPr>
          <w:noProof/>
          <w:color w:val="4F81BD" w:themeColor="accent1"/>
          <w:lang w:val="en-AU" w:eastAsia="en-AU"/>
        </w:rPr>
        <w:drawing>
          <wp:inline distT="0" distB="0" distL="0" distR="0" wp14:anchorId="11EAB2A5" wp14:editId="3ACF22C5">
            <wp:extent cx="5952593" cy="6423660"/>
            <wp:effectExtent l="0" t="0" r="0" b="0"/>
            <wp:docPr id="224" name="Picture 224" descr="Two maps of the great barrier reefs with reefs coloured to indicate, a) the return time for damage caused by cyclones and, b) the time since last exposure to damage during a cyclone.&#10;Lowest return time of less than 5 years occurs between offshore  Bowen and Cardwell and also around lizard Island. Lowest return time, &gt;15 years, occurs Inshore south of Mackay and offshore south od shoalwater bay, between Cairns and cook town and North of Lockhart River" title="Figure A1.8 Cyclone exposure hist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clone_exposure_puotinen - update for 2016.png"/>
                    <pic:cNvPicPr/>
                  </pic:nvPicPr>
                  <pic:blipFill rotWithShape="1">
                    <a:blip r:embed="rId91" cstate="print">
                      <a:extLst>
                        <a:ext uri="{28A0092B-C50C-407E-A947-70E740481C1C}">
                          <a14:useLocalDpi xmlns:a14="http://schemas.microsoft.com/office/drawing/2010/main" val="0"/>
                        </a:ext>
                      </a:extLst>
                    </a:blip>
                    <a:srcRect/>
                    <a:stretch/>
                  </pic:blipFill>
                  <pic:spPr bwMode="auto">
                    <a:xfrm>
                      <a:off x="0" y="0"/>
                      <a:ext cx="5954448" cy="6425661"/>
                    </a:xfrm>
                    <a:prstGeom prst="rect">
                      <a:avLst/>
                    </a:prstGeom>
                    <a:ln>
                      <a:noFill/>
                    </a:ln>
                    <a:extLst>
                      <a:ext uri="{53640926-AAD7-44D8-BBD7-CCE9431645EC}">
                        <a14:shadowObscured xmlns:a14="http://schemas.microsoft.com/office/drawing/2010/main"/>
                      </a:ext>
                    </a:extLst>
                  </pic:spPr>
                </pic:pic>
              </a:graphicData>
            </a:graphic>
          </wp:inline>
        </w:drawing>
      </w:r>
    </w:p>
    <w:p w14:paraId="11EAB216" w14:textId="77777777" w:rsidR="006E3C16" w:rsidRPr="00F439FB" w:rsidRDefault="006E3C16" w:rsidP="00F872DF">
      <w:pPr>
        <w:pStyle w:val="Caption"/>
      </w:pPr>
      <w:bookmarkStart w:id="462" w:name="_Toc437423865"/>
      <w:bookmarkStart w:id="463" w:name="_Toc437424044"/>
      <w:bookmarkStart w:id="464" w:name="_Toc437424330"/>
      <w:bookmarkStart w:id="465" w:name="_Toc437432383"/>
    </w:p>
    <w:p w14:paraId="11EAB217" w14:textId="538D94D3" w:rsidR="006E3C16" w:rsidRPr="00F439FB" w:rsidRDefault="009D2F51" w:rsidP="00F872DF">
      <w:pPr>
        <w:pStyle w:val="Caption"/>
        <w:rPr>
          <w:vanish/>
        </w:rPr>
      </w:pPr>
      <w:bookmarkStart w:id="466" w:name="_Ref491347740"/>
      <w:bookmarkStart w:id="467" w:name="_Ref491347733"/>
      <w:bookmarkStart w:id="468" w:name="_Toc492389713"/>
      <w:bookmarkStart w:id="469" w:name="_Ref469691803"/>
      <w:bookmarkStart w:id="470" w:name="_Toc453243775"/>
      <w:bookmarkStart w:id="471" w:name="_Toc471373208"/>
      <w:r>
        <w:t xml:space="preserve">Figure A1. </w:t>
      </w:r>
      <w:r>
        <w:fldChar w:fldCharType="begin"/>
      </w:r>
      <w:r>
        <w:instrText xml:space="preserve"> SEQ Figure_A1. \* ARABIC </w:instrText>
      </w:r>
      <w:r>
        <w:fldChar w:fldCharType="separate"/>
      </w:r>
      <w:r w:rsidR="00D806F2">
        <w:rPr>
          <w:noProof/>
        </w:rPr>
        <w:t>8</w:t>
      </w:r>
      <w:r>
        <w:fldChar w:fldCharType="end"/>
      </w:r>
      <w:bookmarkEnd w:id="466"/>
      <w:r>
        <w:t xml:space="preserve"> Cyclone exposure history.</w:t>
      </w:r>
      <w:bookmarkEnd w:id="467"/>
      <w:bookmarkEnd w:id="468"/>
      <w:r>
        <w:t xml:space="preserve"> </w:t>
      </w:r>
      <w:bookmarkEnd w:id="469"/>
      <w:bookmarkEnd w:id="470"/>
      <w:bookmarkEnd w:id="471"/>
    </w:p>
    <w:p w14:paraId="11EAB218" w14:textId="249AD05F" w:rsidR="00064605" w:rsidRPr="007555A8" w:rsidRDefault="001E632F" w:rsidP="00F872DF">
      <w:pPr>
        <w:pStyle w:val="Caption"/>
        <w:rPr>
          <w:rStyle w:val="IntenseReference"/>
          <w:rFonts w:eastAsia="SimSun"/>
        </w:rPr>
      </w:pPr>
      <w:r w:rsidRPr="007555A8">
        <w:rPr>
          <w:rStyle w:val="IntenseReference"/>
          <w:rFonts w:eastAsia="SimSun"/>
        </w:rPr>
        <w:t xml:space="preserve">a) Return times (years) of exposure to cyclone-generated seas sufficient to damage most coral colonies (wave height = 4metres) </w:t>
      </w:r>
      <w:r w:rsidR="009F11FD" w:rsidRPr="007555A8">
        <w:rPr>
          <w:rStyle w:val="IntenseReference"/>
          <w:rFonts w:eastAsia="SimSun"/>
        </w:rPr>
        <w:t xml:space="preserve">on the Great Barrier Reef, </w:t>
      </w:r>
      <w:r w:rsidRPr="007555A8">
        <w:rPr>
          <w:rStyle w:val="IntenseReference"/>
          <w:rFonts w:eastAsia="SimSun"/>
        </w:rPr>
        <w:t>based on 1985-201</w:t>
      </w:r>
      <w:r w:rsidR="004B40CF" w:rsidRPr="007555A8">
        <w:rPr>
          <w:rStyle w:val="IntenseReference"/>
          <w:rFonts w:eastAsia="SimSun"/>
        </w:rPr>
        <w:t>6</w:t>
      </w:r>
      <w:r w:rsidRPr="007555A8">
        <w:rPr>
          <w:rStyle w:val="IntenseReference"/>
          <w:rFonts w:eastAsia="SimSun"/>
        </w:rPr>
        <w:t xml:space="preserve"> cyclone data. b)</w:t>
      </w:r>
      <w:r w:rsidR="009F11FD" w:rsidRPr="007555A8">
        <w:rPr>
          <w:rStyle w:val="IntenseReference"/>
          <w:rFonts w:eastAsia="SimSun"/>
        </w:rPr>
        <w:t xml:space="preserve"> For MMP reef locations, the n</w:t>
      </w:r>
      <w:r w:rsidRPr="007555A8">
        <w:rPr>
          <w:rStyle w:val="IntenseReference"/>
          <w:rFonts w:eastAsia="SimSun"/>
        </w:rPr>
        <w:t>umber of years from 201</w:t>
      </w:r>
      <w:r w:rsidR="004B40CF" w:rsidRPr="007555A8">
        <w:rPr>
          <w:rStyle w:val="IntenseReference"/>
          <w:rFonts w:eastAsia="SimSun"/>
        </w:rPr>
        <w:t>6</w:t>
      </w:r>
      <w:r w:rsidRPr="007555A8">
        <w:rPr>
          <w:rStyle w:val="IntenseReference"/>
          <w:rFonts w:eastAsia="SimSun"/>
        </w:rPr>
        <w:t xml:space="preserve"> since last exposure to cyclone-generated damaging seas</w:t>
      </w:r>
      <w:r w:rsidR="009F11FD" w:rsidRPr="007555A8">
        <w:rPr>
          <w:rStyle w:val="IntenseReference"/>
          <w:rFonts w:eastAsia="SimSun"/>
        </w:rPr>
        <w:t>, based on 1985-201</w:t>
      </w:r>
      <w:r w:rsidR="004B40CF" w:rsidRPr="007555A8">
        <w:rPr>
          <w:rStyle w:val="IntenseReference"/>
          <w:rFonts w:eastAsia="SimSun"/>
        </w:rPr>
        <w:t>6</w:t>
      </w:r>
      <w:r w:rsidR="009F11FD" w:rsidRPr="007555A8">
        <w:rPr>
          <w:rStyle w:val="IntenseReference"/>
          <w:rFonts w:eastAsia="SimSun"/>
        </w:rPr>
        <w:t xml:space="preserve"> cyclone data. Courtesy M. Puotinen. Methods described in Puotinen </w:t>
      </w:r>
      <w:r w:rsidR="009F11FD" w:rsidRPr="007555A8">
        <w:rPr>
          <w:rStyle w:val="IntenseReference"/>
          <w:rFonts w:eastAsia="SimSun"/>
          <w:i/>
        </w:rPr>
        <w:t>et al</w:t>
      </w:r>
      <w:r w:rsidR="00051C52" w:rsidRPr="007555A8">
        <w:rPr>
          <w:rStyle w:val="IntenseReference"/>
          <w:rFonts w:eastAsia="SimSun"/>
          <w:i/>
        </w:rPr>
        <w:t>.</w:t>
      </w:r>
      <w:r w:rsidR="009F11FD" w:rsidRPr="007555A8">
        <w:rPr>
          <w:rStyle w:val="IntenseReference"/>
          <w:rFonts w:eastAsia="SimSun"/>
        </w:rPr>
        <w:t xml:space="preserve"> (</w:t>
      </w:r>
      <w:r w:rsidR="00FB3723" w:rsidRPr="007555A8">
        <w:rPr>
          <w:rStyle w:val="IntenseReference"/>
          <w:rFonts w:eastAsia="SimSun"/>
        </w:rPr>
        <w:t>2016</w:t>
      </w:r>
      <w:r w:rsidR="009F11FD" w:rsidRPr="007555A8">
        <w:rPr>
          <w:rStyle w:val="IntenseReference"/>
          <w:rFonts w:eastAsia="SimSun"/>
        </w:rPr>
        <w:t>).</w:t>
      </w:r>
      <w:bookmarkEnd w:id="462"/>
      <w:bookmarkEnd w:id="463"/>
      <w:bookmarkEnd w:id="464"/>
      <w:bookmarkEnd w:id="465"/>
    </w:p>
    <w:p w14:paraId="11EAB219" w14:textId="77777777" w:rsidR="00064605" w:rsidRPr="00F439FB" w:rsidRDefault="00064605" w:rsidP="00406BD7">
      <w:pPr>
        <w:rPr>
          <w:rStyle w:val="IntenseReference"/>
          <w:color w:val="4F81BD" w:themeColor="accent1"/>
        </w:rPr>
      </w:pPr>
    </w:p>
    <w:p w14:paraId="11EAB21A" w14:textId="77777777" w:rsidR="00064605" w:rsidRPr="00F439FB" w:rsidRDefault="00064605" w:rsidP="00406BD7">
      <w:pPr>
        <w:rPr>
          <w:color w:val="4F81BD" w:themeColor="accent1"/>
        </w:rPr>
      </w:pPr>
    </w:p>
    <w:p w14:paraId="11EAB21B" w14:textId="77777777" w:rsidR="00B764F0" w:rsidRPr="00F439FB" w:rsidRDefault="00B764F0" w:rsidP="00F872DF">
      <w:pPr>
        <w:pStyle w:val="Caption"/>
        <w:sectPr w:rsidR="00B764F0" w:rsidRPr="00F439FB" w:rsidSect="006608FC">
          <w:footerReference w:type="even" r:id="rId92"/>
          <w:headerReference w:type="first" r:id="rId93"/>
          <w:type w:val="continuous"/>
          <w:pgSz w:w="11907" w:h="16840" w:code="9"/>
          <w:pgMar w:top="1440" w:right="1134" w:bottom="1440" w:left="1134" w:header="709" w:footer="709" w:gutter="0"/>
          <w:cols w:space="708"/>
          <w:docGrid w:linePitch="360"/>
        </w:sectPr>
      </w:pPr>
    </w:p>
    <w:p w14:paraId="11EAB21C" w14:textId="77777777" w:rsidR="001778B8" w:rsidRPr="00F439FB" w:rsidRDefault="005038AD" w:rsidP="001778B8">
      <w:pPr>
        <w:rPr>
          <w:color w:val="4F81BD" w:themeColor="accent1"/>
        </w:rPr>
      </w:pPr>
      <w:bookmarkStart w:id="472" w:name="_Toc437423867"/>
      <w:bookmarkStart w:id="473" w:name="_Toc437424046"/>
      <w:bookmarkStart w:id="474" w:name="_Toc437424334"/>
      <w:r>
        <w:rPr>
          <w:noProof/>
          <w:color w:val="4F81BD" w:themeColor="accent1"/>
          <w:lang w:val="en-AU" w:eastAsia="en-AU"/>
        </w:rPr>
        <w:drawing>
          <wp:inline distT="0" distB="0" distL="0" distR="0" wp14:anchorId="11EAB2A7" wp14:editId="0D7A14FE">
            <wp:extent cx="5991516" cy="7170420"/>
            <wp:effectExtent l="0" t="0" r="9525" b="0"/>
            <wp:docPr id="11" name="Picture 11" descr="Panel of plots showing temporal trends in in-situ measured water quality variables replicated from the 2016 MMP water quality annual report, Waterhouse et al. 2017" title="Figure A1.9 Trends in marine water quality Barron Daintre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_Barron_Daintree_summary.pn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5993381" cy="7172653"/>
                    </a:xfrm>
                    <a:prstGeom prst="rect">
                      <a:avLst/>
                    </a:prstGeom>
                  </pic:spPr>
                </pic:pic>
              </a:graphicData>
            </a:graphic>
          </wp:inline>
        </w:drawing>
      </w:r>
    </w:p>
    <w:p w14:paraId="11EAB21D" w14:textId="5DC82AA7" w:rsidR="00064605" w:rsidRPr="000A5211" w:rsidRDefault="009D2F51" w:rsidP="009D2F51">
      <w:pPr>
        <w:pStyle w:val="Caption"/>
        <w:rPr>
          <w:rStyle w:val="IntenseReference"/>
          <w:rFonts w:eastAsia="SimSun"/>
        </w:rPr>
      </w:pPr>
      <w:bookmarkStart w:id="475" w:name="_Ref491179424"/>
      <w:bookmarkStart w:id="476" w:name="_Ref469728282"/>
      <w:bookmarkStart w:id="477" w:name="_Toc453243777"/>
      <w:bookmarkStart w:id="478" w:name="_Toc471373209"/>
      <w:bookmarkStart w:id="479" w:name="_Toc492389714"/>
      <w:r>
        <w:t xml:space="preserve">Figure A1. </w:t>
      </w:r>
      <w:r>
        <w:fldChar w:fldCharType="begin"/>
      </w:r>
      <w:r>
        <w:instrText xml:space="preserve"> SEQ Figure_A1. \* ARABIC </w:instrText>
      </w:r>
      <w:r>
        <w:fldChar w:fldCharType="separate"/>
      </w:r>
      <w:r w:rsidR="00D806F2">
        <w:rPr>
          <w:noProof/>
        </w:rPr>
        <w:t>9</w:t>
      </w:r>
      <w:r>
        <w:fldChar w:fldCharType="end"/>
      </w:r>
      <w:bookmarkEnd w:id="475"/>
      <w:r>
        <w:t xml:space="preserve"> </w:t>
      </w:r>
      <w:r w:rsidRPr="00BB1093">
        <w:t>Temporal trends in water quality: Baron Daintree sub-region.</w:t>
      </w:r>
      <w:bookmarkEnd w:id="472"/>
      <w:bookmarkEnd w:id="473"/>
      <w:bookmarkEnd w:id="474"/>
      <w:bookmarkEnd w:id="476"/>
      <w:bookmarkEnd w:id="477"/>
      <w:r w:rsidR="000A5211">
        <w:t xml:space="preserve"> </w:t>
      </w:r>
      <w:r w:rsidR="000A5211" w:rsidRPr="000A5211">
        <w:rPr>
          <w:rStyle w:val="IntenseReference"/>
          <w:rFonts w:eastAsia="SimSun"/>
        </w:rPr>
        <w:t xml:space="preserve">a) </w:t>
      </w:r>
      <w:bookmarkStart w:id="480" w:name="_Toc437424335"/>
      <w:bookmarkStart w:id="481" w:name="_Toc437432387"/>
      <w:r w:rsidR="00F75D6C" w:rsidRPr="000A5211">
        <w:rPr>
          <w:rStyle w:val="IntenseReference"/>
          <w:rFonts w:eastAsia="SimSun"/>
        </w:rPr>
        <w:t>water quality index, b) chlorophyll a, c) total suspended solids, d) nitrate/nitrite, e) secchi depth, f) particulate nitrogen, g) turbidity, h) particulate phosphorus, i) particulate organic carbon and j) dissolved organic carbon. Water quality index colour coding: dark green- ‘very good’; light green-‘good’; yellow – ‘moderate; orange – ‘poor’; red – ‘very poor’. The water quality index is the aggregate of variables plotted in b - h and calculate</w:t>
      </w:r>
      <w:r w:rsidR="00A4781F" w:rsidRPr="000A5211">
        <w:rPr>
          <w:rStyle w:val="IntenseReference"/>
          <w:rFonts w:eastAsia="SimSun"/>
        </w:rPr>
        <w:t xml:space="preserve">d as described in </w:t>
      </w:r>
      <w:r w:rsidR="001225BF" w:rsidRPr="000A5211">
        <w:rPr>
          <w:rStyle w:val="IntenseReference"/>
          <w:rFonts w:eastAsia="SimSun"/>
        </w:rPr>
        <w:t>Waterhouse</w:t>
      </w:r>
      <w:r w:rsidR="00EA1457">
        <w:rPr>
          <w:rStyle w:val="IntenseReference"/>
          <w:rFonts w:eastAsia="SimSun"/>
        </w:rPr>
        <w:t xml:space="preserve"> et al. (2017</w:t>
      </w:r>
      <w:r w:rsidR="00BC6B0B" w:rsidRPr="000A5211">
        <w:rPr>
          <w:rStyle w:val="IntenseReference"/>
          <w:rFonts w:eastAsia="SimSun"/>
        </w:rPr>
        <w:t xml:space="preserve">). </w:t>
      </w:r>
      <w:r w:rsidR="00F75D6C" w:rsidRPr="000A5211">
        <w:rPr>
          <w:rStyle w:val="IntenseReference"/>
          <w:rFonts w:eastAsia="SimSun"/>
        </w:rPr>
        <w:t>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w:t>
      </w:r>
      <w:r w:rsidR="00396544" w:rsidRPr="000A5211">
        <w:rPr>
          <w:rStyle w:val="IntenseReference"/>
          <w:rFonts w:eastAsia="SimSun"/>
        </w:rPr>
        <w:t xml:space="preserve"> (GBRMPA 2010)</w:t>
      </w:r>
      <w:r w:rsidR="00F75D6C" w:rsidRPr="000A5211">
        <w:rPr>
          <w:rStyle w:val="IntenseReference"/>
          <w:rFonts w:eastAsia="SimSun"/>
        </w:rPr>
        <w:t xml:space="preserve">. Extract from </w:t>
      </w:r>
      <w:r w:rsidR="00D452AC" w:rsidRPr="000A5211">
        <w:rPr>
          <w:rStyle w:val="IntenseReference"/>
          <w:rFonts w:eastAsia="SimSun"/>
        </w:rPr>
        <w:t>Waterhouse</w:t>
      </w:r>
      <w:r w:rsidR="00855728" w:rsidRPr="000A5211">
        <w:rPr>
          <w:rStyle w:val="IntenseReference"/>
          <w:rFonts w:eastAsia="SimSun"/>
        </w:rPr>
        <w:t xml:space="preserve"> et al</w:t>
      </w:r>
      <w:r w:rsidR="00051C52" w:rsidRPr="000A5211">
        <w:rPr>
          <w:rStyle w:val="IntenseReference"/>
          <w:rFonts w:eastAsia="SimSun"/>
        </w:rPr>
        <w:t>.</w:t>
      </w:r>
      <w:r w:rsidR="00855728" w:rsidRPr="000A5211">
        <w:rPr>
          <w:rStyle w:val="IntenseReference"/>
          <w:rFonts w:eastAsia="SimSun"/>
        </w:rPr>
        <w:t xml:space="preserve"> (</w:t>
      </w:r>
      <w:r w:rsidR="00D452AC" w:rsidRPr="000A5211">
        <w:rPr>
          <w:rStyle w:val="IntenseReference"/>
          <w:rFonts w:eastAsia="SimSun"/>
        </w:rPr>
        <w:t>2017</w:t>
      </w:r>
      <w:r w:rsidR="00855728" w:rsidRPr="000A5211">
        <w:rPr>
          <w:rStyle w:val="IntenseReference"/>
          <w:rFonts w:eastAsia="SimSun"/>
        </w:rPr>
        <w:t>)</w:t>
      </w:r>
      <w:bookmarkEnd w:id="480"/>
      <w:bookmarkEnd w:id="481"/>
      <w:r w:rsidR="00BC6B0B" w:rsidRPr="000A5211">
        <w:rPr>
          <w:rStyle w:val="IntenseReference"/>
          <w:rFonts w:eastAsia="SimSun"/>
        </w:rPr>
        <w:t>.</w:t>
      </w:r>
      <w:bookmarkEnd w:id="478"/>
      <w:bookmarkEnd w:id="479"/>
    </w:p>
    <w:p w14:paraId="11EAB21E" w14:textId="77777777" w:rsidR="00E56CF1" w:rsidRPr="00F439FB" w:rsidRDefault="00E56CF1" w:rsidP="001225BF">
      <w:pPr>
        <w:rPr>
          <w:rFonts w:eastAsia="SimSun"/>
          <w:color w:val="4F81BD" w:themeColor="accent1"/>
        </w:rPr>
      </w:pPr>
    </w:p>
    <w:p w14:paraId="11EAB21F" w14:textId="77777777" w:rsidR="001778B8" w:rsidRPr="00F439FB" w:rsidRDefault="005038AD" w:rsidP="001778B8">
      <w:pPr>
        <w:rPr>
          <w:color w:val="4F81BD" w:themeColor="accent1"/>
        </w:rPr>
      </w:pPr>
      <w:bookmarkStart w:id="482" w:name="_Toc437423868"/>
      <w:bookmarkStart w:id="483" w:name="_Toc437424047"/>
      <w:bookmarkStart w:id="484" w:name="_Toc437424336"/>
      <w:r>
        <w:rPr>
          <w:noProof/>
          <w:color w:val="4F81BD" w:themeColor="accent1"/>
          <w:lang w:val="en-AU" w:eastAsia="en-AU"/>
        </w:rPr>
        <w:drawing>
          <wp:inline distT="0" distB="0" distL="0" distR="0" wp14:anchorId="11EAB2A9" wp14:editId="3985371F">
            <wp:extent cx="6027420" cy="7210668"/>
            <wp:effectExtent l="0" t="0" r="0" b="9525"/>
            <wp:docPr id="12" name="Picture 12" descr="Panel of plots showing temporal trends in in-situ measured water quality variables replicated from the 2016 MMP water quality annual report, Waterhouse et al. 2017" title="Figure A1.10 Trends in marine water quality Johnstone Russell-Mulgrav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_Johnstone_Russell_Mulgrave_summary.pn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6029297" cy="7212914"/>
                    </a:xfrm>
                    <a:prstGeom prst="rect">
                      <a:avLst/>
                    </a:prstGeom>
                  </pic:spPr>
                </pic:pic>
              </a:graphicData>
            </a:graphic>
          </wp:inline>
        </w:drawing>
      </w:r>
    </w:p>
    <w:p w14:paraId="11EAB221" w14:textId="1ECD9E87" w:rsidR="00F75D6C" w:rsidRPr="001225BF" w:rsidRDefault="009D2F51" w:rsidP="00F872DF">
      <w:pPr>
        <w:pStyle w:val="Caption"/>
        <w:rPr>
          <w:rStyle w:val="IntenseReference"/>
          <w:rFonts w:eastAsia="SimSun"/>
        </w:rPr>
      </w:pPr>
      <w:bookmarkStart w:id="485" w:name="_Ref491266996"/>
      <w:bookmarkStart w:id="486" w:name="_Ref469732715"/>
      <w:bookmarkStart w:id="487" w:name="_Toc453243778"/>
      <w:bookmarkStart w:id="488" w:name="_Toc471373210"/>
      <w:bookmarkStart w:id="489" w:name="_Toc492389715"/>
      <w:r>
        <w:t xml:space="preserve">Figure A1. </w:t>
      </w:r>
      <w:r>
        <w:fldChar w:fldCharType="begin"/>
      </w:r>
      <w:r>
        <w:instrText xml:space="preserve"> SEQ Figure_A1. \* ARABIC </w:instrText>
      </w:r>
      <w:r>
        <w:fldChar w:fldCharType="separate"/>
      </w:r>
      <w:r w:rsidR="00D806F2">
        <w:rPr>
          <w:noProof/>
        </w:rPr>
        <w:t>10</w:t>
      </w:r>
      <w:r>
        <w:fldChar w:fldCharType="end"/>
      </w:r>
      <w:bookmarkEnd w:id="485"/>
      <w:r>
        <w:t xml:space="preserve"> </w:t>
      </w:r>
      <w:r w:rsidRPr="00755554">
        <w:t>Temporal trends in water quality: Johnstone Russell-Mulgrave sub-region.</w:t>
      </w:r>
      <w:bookmarkEnd w:id="482"/>
      <w:bookmarkEnd w:id="483"/>
      <w:bookmarkEnd w:id="484"/>
      <w:bookmarkEnd w:id="486"/>
      <w:bookmarkEnd w:id="487"/>
      <w:bookmarkEnd w:id="488"/>
      <w:r w:rsidR="00F75D6C" w:rsidRPr="001225BF">
        <w:rPr>
          <w:rStyle w:val="IntenseReference"/>
          <w:rFonts w:eastAsia="SimSun"/>
        </w:rPr>
        <w:t xml:space="preserve"> </w:t>
      </w:r>
      <w:bookmarkStart w:id="490" w:name="_Toc437424337"/>
      <w:r w:rsidR="00F75D6C" w:rsidRPr="001225BF">
        <w:rPr>
          <w:rStyle w:val="IntenseReference"/>
          <w:rFonts w:eastAsia="SimSun"/>
        </w:rPr>
        <w:t xml:space="preserve">a) water quality index, b) chlorophyll </w:t>
      </w:r>
      <w:r w:rsidR="00F75D6C" w:rsidRPr="00BE785A">
        <w:rPr>
          <w:rStyle w:val="IntenseReference"/>
          <w:rFonts w:eastAsia="SimSun"/>
          <w:i/>
        </w:rPr>
        <w:t>a</w:t>
      </w:r>
      <w:r w:rsidR="00F75D6C" w:rsidRPr="001225BF">
        <w:rPr>
          <w:rStyle w:val="IntenseReference"/>
          <w:rFonts w:eastAsia="SimSun"/>
        </w:rPr>
        <w:t xml:space="preserve">, c) total suspended solids, d) nitrate/nitrite, e) secchi depth, f) particulate nitrogen, g) turbidity, h) particulate phosphorus, i) particulate organic carbon and j) dissolved organic carbon. Water quality index colour coding: dark green- ‘very good’; light green-‘good’; yellow – ‘moderate; orange – ‘poor’; red – ‘very poor’. The water quality index is the aggregate of variables plotted in b - h and calculated as described in </w:t>
      </w:r>
      <w:r w:rsidR="001225BF" w:rsidRPr="001225BF">
        <w:rPr>
          <w:rStyle w:val="IntenseReference"/>
          <w:rFonts w:eastAsia="SimSun"/>
        </w:rPr>
        <w:t>Waterhouse</w:t>
      </w:r>
      <w:r w:rsidR="00BC6B0B" w:rsidRPr="001225BF">
        <w:rPr>
          <w:rStyle w:val="IntenseReference"/>
          <w:rFonts w:eastAsia="SimSun"/>
        </w:rPr>
        <w:t xml:space="preserve"> </w:t>
      </w:r>
      <w:r w:rsidR="00BC6B0B" w:rsidRPr="001225BF">
        <w:rPr>
          <w:rStyle w:val="IntenseReference"/>
          <w:rFonts w:eastAsia="SimSun"/>
          <w:i/>
        </w:rPr>
        <w:t>et al.</w:t>
      </w:r>
      <w:r w:rsidR="00EA1457">
        <w:rPr>
          <w:rStyle w:val="IntenseReference"/>
          <w:rFonts w:eastAsia="SimSun"/>
        </w:rPr>
        <w:t xml:space="preserve"> (2017</w:t>
      </w:r>
      <w:r w:rsidR="00BC6B0B" w:rsidRPr="001225BF">
        <w:rPr>
          <w:rStyle w:val="IntenseReference"/>
          <w:rFonts w:eastAsia="SimSun"/>
        </w:rPr>
        <w:t>).</w:t>
      </w:r>
      <w:r w:rsidR="00F75D6C" w:rsidRPr="001225BF">
        <w:rPr>
          <w:rStyle w:val="IntenseReference"/>
          <w:rFonts w:eastAsia="SimSun"/>
        </w:rPr>
        <w:t>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w:t>
      </w:r>
      <w:r w:rsidR="00782894" w:rsidRPr="001225BF">
        <w:rPr>
          <w:rStyle w:val="IntenseReference"/>
          <w:rFonts w:eastAsia="SimSun"/>
        </w:rPr>
        <w:t xml:space="preserve"> (GBRMPA 2010)</w:t>
      </w:r>
      <w:r w:rsidR="00F75D6C" w:rsidRPr="001225BF">
        <w:rPr>
          <w:rStyle w:val="IntenseReference"/>
          <w:rFonts w:eastAsia="SimSun"/>
        </w:rPr>
        <w:t xml:space="preserve">. Extract from </w:t>
      </w:r>
      <w:r w:rsidR="001225BF">
        <w:rPr>
          <w:rStyle w:val="IntenseReference"/>
          <w:rFonts w:eastAsia="SimSun"/>
        </w:rPr>
        <w:t>Waterhouse</w:t>
      </w:r>
      <w:r w:rsidR="00855728" w:rsidRPr="001225BF">
        <w:rPr>
          <w:rStyle w:val="IntenseReference"/>
          <w:rFonts w:eastAsia="SimSun"/>
        </w:rPr>
        <w:t xml:space="preserve"> </w:t>
      </w:r>
      <w:r w:rsidR="00855728" w:rsidRPr="001225BF">
        <w:rPr>
          <w:rStyle w:val="IntenseReference"/>
          <w:rFonts w:eastAsia="SimSun"/>
          <w:i/>
        </w:rPr>
        <w:t>et al</w:t>
      </w:r>
      <w:r w:rsidR="00DB7D45" w:rsidRPr="001225BF">
        <w:rPr>
          <w:rStyle w:val="IntenseReference"/>
          <w:rFonts w:eastAsia="SimSun"/>
          <w:i/>
        </w:rPr>
        <w:t>.</w:t>
      </w:r>
      <w:r w:rsidR="00855728" w:rsidRPr="001225BF">
        <w:rPr>
          <w:rStyle w:val="IntenseReference"/>
          <w:rFonts w:eastAsia="SimSun"/>
        </w:rPr>
        <w:t xml:space="preserve"> (</w:t>
      </w:r>
      <w:r w:rsidR="001225BF">
        <w:rPr>
          <w:rStyle w:val="IntenseReference"/>
          <w:rFonts w:eastAsia="SimSun"/>
        </w:rPr>
        <w:t>2017</w:t>
      </w:r>
      <w:r w:rsidR="00855728" w:rsidRPr="001225BF">
        <w:rPr>
          <w:rStyle w:val="IntenseReference"/>
          <w:rFonts w:eastAsia="SimSun"/>
        </w:rPr>
        <w:t>)</w:t>
      </w:r>
      <w:bookmarkEnd w:id="490"/>
      <w:r w:rsidR="00BC6B0B" w:rsidRPr="001225BF">
        <w:rPr>
          <w:rStyle w:val="IntenseReference"/>
          <w:rFonts w:eastAsia="SimSun"/>
        </w:rPr>
        <w:t>.</w:t>
      </w:r>
      <w:bookmarkEnd w:id="489"/>
    </w:p>
    <w:p w14:paraId="11EAB222" w14:textId="77777777" w:rsidR="00EB5372" w:rsidRPr="00F439FB" w:rsidRDefault="00EB5372">
      <w:pPr>
        <w:jc w:val="left"/>
        <w:rPr>
          <w:color w:val="4F81BD" w:themeColor="accent1"/>
        </w:rPr>
      </w:pPr>
      <w:r w:rsidRPr="00F439FB">
        <w:rPr>
          <w:color w:val="4F81BD" w:themeColor="accent1"/>
        </w:rPr>
        <w:br w:type="page"/>
      </w:r>
    </w:p>
    <w:p w14:paraId="11EAB223" w14:textId="77777777" w:rsidR="002A0417" w:rsidRPr="00F439FB" w:rsidRDefault="00863184" w:rsidP="002A0417">
      <w:pPr>
        <w:keepNext/>
        <w:rPr>
          <w:color w:val="4F81BD" w:themeColor="accent1"/>
        </w:rPr>
      </w:pPr>
      <w:r>
        <w:rPr>
          <w:noProof/>
          <w:color w:val="4F81BD" w:themeColor="accent1"/>
          <w:lang w:val="en-AU" w:eastAsia="en-AU"/>
        </w:rPr>
        <w:drawing>
          <wp:inline distT="0" distB="0" distL="0" distR="0" wp14:anchorId="11EAB2AB" wp14:editId="7FD752DD">
            <wp:extent cx="5824370" cy="7368540"/>
            <wp:effectExtent l="0" t="0" r="5080" b="3810"/>
            <wp:docPr id="16" name="Picture 16" descr="Panel of plots showing temporal trends in in-situ measured water quality variables replicated from the 2016 MMP water quality annual report, Waterhouse et al. 2017" title="Figure A1.11 Trends in marine water quality Herbert Tully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_Tully_Herbert_summary.pn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5829605" cy="7375163"/>
                    </a:xfrm>
                    <a:prstGeom prst="rect">
                      <a:avLst/>
                    </a:prstGeom>
                  </pic:spPr>
                </pic:pic>
              </a:graphicData>
            </a:graphic>
          </wp:inline>
        </w:drawing>
      </w:r>
    </w:p>
    <w:p w14:paraId="11EAB224" w14:textId="33066CBB" w:rsidR="006E3C16" w:rsidRPr="00F439FB" w:rsidRDefault="009D2F51" w:rsidP="009D2F51">
      <w:pPr>
        <w:pStyle w:val="Caption"/>
        <w:rPr>
          <w:vanish/>
        </w:rPr>
      </w:pPr>
      <w:bookmarkStart w:id="491" w:name="_Ref491268850"/>
      <w:bookmarkStart w:id="492" w:name="_Ref469736077"/>
      <w:bookmarkStart w:id="493" w:name="_Toc437423869"/>
      <w:bookmarkStart w:id="494" w:name="_Toc437424048"/>
      <w:bookmarkStart w:id="495" w:name="_Toc437424338"/>
      <w:bookmarkStart w:id="496" w:name="_Toc453243779"/>
      <w:bookmarkStart w:id="497" w:name="_Ref460485523"/>
      <w:bookmarkStart w:id="498" w:name="_Toc471373211"/>
      <w:bookmarkStart w:id="499" w:name="_Toc492389716"/>
      <w:r>
        <w:t xml:space="preserve">Figure A1. </w:t>
      </w:r>
      <w:r>
        <w:fldChar w:fldCharType="begin"/>
      </w:r>
      <w:r>
        <w:instrText xml:space="preserve"> SEQ Figure_A1. \* ARABIC </w:instrText>
      </w:r>
      <w:r>
        <w:fldChar w:fldCharType="separate"/>
      </w:r>
      <w:r w:rsidR="00D806F2">
        <w:rPr>
          <w:noProof/>
        </w:rPr>
        <w:t>11</w:t>
      </w:r>
      <w:r>
        <w:fldChar w:fldCharType="end"/>
      </w:r>
      <w:bookmarkEnd w:id="491"/>
      <w:r>
        <w:t xml:space="preserve"> </w:t>
      </w:r>
      <w:r w:rsidRPr="00856300">
        <w:t>Temporal trends in water quality: Herbert Tully sub-region</w:t>
      </w:r>
      <w:bookmarkEnd w:id="492"/>
      <w:r w:rsidR="008E0B4F" w:rsidRPr="00F439FB">
        <w:t>.</w:t>
      </w:r>
      <w:bookmarkEnd w:id="493"/>
      <w:bookmarkEnd w:id="494"/>
      <w:bookmarkEnd w:id="495"/>
      <w:bookmarkEnd w:id="496"/>
      <w:bookmarkEnd w:id="497"/>
      <w:bookmarkEnd w:id="498"/>
      <w:bookmarkEnd w:id="499"/>
    </w:p>
    <w:p w14:paraId="11EAB225" w14:textId="77777777" w:rsidR="00EB5372" w:rsidRPr="00F439FB" w:rsidRDefault="00C22707" w:rsidP="00F872DF">
      <w:pPr>
        <w:pStyle w:val="Caption"/>
        <w:rPr>
          <w:rStyle w:val="IntenseReference"/>
          <w:rFonts w:eastAsia="SimSun"/>
          <w:color w:val="4F81BD" w:themeColor="accent1"/>
        </w:rPr>
      </w:pPr>
      <w:r w:rsidRPr="00F439FB">
        <w:t xml:space="preserve"> </w:t>
      </w:r>
      <w:bookmarkStart w:id="500" w:name="_Toc437424339"/>
      <w:r w:rsidR="008E0B4F" w:rsidRPr="001225BF">
        <w:rPr>
          <w:rStyle w:val="IntenseReference"/>
          <w:rFonts w:eastAsia="SimSun"/>
        </w:rPr>
        <w:t xml:space="preserve">a) water quality index, b) chlorophyll </w:t>
      </w:r>
      <w:r w:rsidR="008E0B4F" w:rsidRPr="00BE785A">
        <w:rPr>
          <w:rStyle w:val="IntenseReference"/>
          <w:rFonts w:eastAsia="SimSun"/>
          <w:i/>
        </w:rPr>
        <w:t>a</w:t>
      </w:r>
      <w:r w:rsidR="008E0B4F" w:rsidRPr="001225BF">
        <w:rPr>
          <w:rStyle w:val="IntenseReference"/>
          <w:rFonts w:eastAsia="SimSun"/>
        </w:rPr>
        <w:t xml:space="preserve">, c) total suspended solids, d) nitrate/nitrite, e) secchi depth, f) particulate nitrogen, g) turbidity, h) particulate phosphorus, i) particulate organic carbon and j) dissolved organic carbon. Water quality index colour coding: dark green- ‘very good’; light green-‘good’; yellow – ‘moderate; orange – ‘poor’; red – ‘very poor’. The water quality index is the aggregate of variables plotted in b - h and calculated as described in </w:t>
      </w:r>
      <w:r w:rsidR="001225BF" w:rsidRPr="001225BF">
        <w:rPr>
          <w:rStyle w:val="IntenseReference"/>
          <w:rFonts w:eastAsia="SimSun"/>
        </w:rPr>
        <w:t>Waterhouse</w:t>
      </w:r>
      <w:r w:rsidR="006E3264" w:rsidRPr="001225BF">
        <w:rPr>
          <w:rStyle w:val="IntenseReference"/>
          <w:rFonts w:eastAsia="SimSun"/>
        </w:rPr>
        <w:t xml:space="preserve"> </w:t>
      </w:r>
      <w:r w:rsidR="006E3264" w:rsidRPr="001225BF">
        <w:rPr>
          <w:rStyle w:val="IntenseReference"/>
          <w:rFonts w:eastAsia="SimSun"/>
          <w:i/>
        </w:rPr>
        <w:t>et al.</w:t>
      </w:r>
      <w:r w:rsidR="00EA1457">
        <w:rPr>
          <w:rStyle w:val="IntenseReference"/>
          <w:rFonts w:eastAsia="SimSun"/>
        </w:rPr>
        <w:t xml:space="preserve"> (2017</w:t>
      </w:r>
      <w:r w:rsidR="006E3264" w:rsidRPr="001225BF">
        <w:rPr>
          <w:rStyle w:val="IntenseReference"/>
          <w:rFonts w:eastAsia="SimSun"/>
        </w:rPr>
        <w:t>).</w:t>
      </w:r>
      <w:r w:rsidR="008E0B4F" w:rsidRPr="001225BF">
        <w:rPr>
          <w:rStyle w:val="IntenseReference"/>
          <w:rFonts w:eastAsia="SimSun"/>
        </w:rPr>
        <w:t xml:space="preserve">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(GBRMPA 2010). Extract from </w:t>
      </w:r>
      <w:r w:rsidR="001225BF" w:rsidRPr="001225BF">
        <w:rPr>
          <w:rStyle w:val="IntenseReference"/>
          <w:rFonts w:eastAsia="SimSun"/>
        </w:rPr>
        <w:t>Waterhouse</w:t>
      </w:r>
      <w:r w:rsidR="008E0B4F" w:rsidRPr="001225BF">
        <w:rPr>
          <w:rStyle w:val="IntenseReference"/>
          <w:rFonts w:eastAsia="SimSun"/>
        </w:rPr>
        <w:t xml:space="preserve"> </w:t>
      </w:r>
      <w:r w:rsidR="008E0B4F" w:rsidRPr="001225BF">
        <w:rPr>
          <w:rStyle w:val="IntenseReference"/>
          <w:rFonts w:eastAsia="SimSun"/>
          <w:i/>
        </w:rPr>
        <w:t>et al.</w:t>
      </w:r>
      <w:r w:rsidR="008E0B4F" w:rsidRPr="001225BF">
        <w:rPr>
          <w:rStyle w:val="IntenseReference"/>
          <w:rFonts w:eastAsia="SimSun"/>
        </w:rPr>
        <w:t xml:space="preserve"> (</w:t>
      </w:r>
      <w:r w:rsidR="008E6F11" w:rsidRPr="001225BF">
        <w:rPr>
          <w:rStyle w:val="IntenseReference"/>
          <w:rFonts w:eastAsia="SimSun"/>
        </w:rPr>
        <w:t>201</w:t>
      </w:r>
      <w:r w:rsidR="001225BF" w:rsidRPr="001225BF">
        <w:rPr>
          <w:rStyle w:val="IntenseReference"/>
          <w:rFonts w:eastAsia="SimSun"/>
        </w:rPr>
        <w:t>7</w:t>
      </w:r>
      <w:r w:rsidR="008E0B4F" w:rsidRPr="001225BF">
        <w:rPr>
          <w:rStyle w:val="IntenseReference"/>
          <w:rFonts w:eastAsia="SimSun"/>
        </w:rPr>
        <w:t>)</w:t>
      </w:r>
      <w:bookmarkEnd w:id="500"/>
      <w:r w:rsidR="006E3264" w:rsidRPr="001225BF">
        <w:rPr>
          <w:rStyle w:val="IntenseReference"/>
          <w:rFonts w:eastAsia="SimSun"/>
        </w:rPr>
        <w:t>.</w:t>
      </w:r>
      <w:r w:rsidR="00EB5372" w:rsidRPr="001225BF">
        <w:rPr>
          <w:rStyle w:val="IntenseReference"/>
          <w:rFonts w:eastAsia="SimSun"/>
        </w:rPr>
        <w:br w:type="page"/>
      </w:r>
    </w:p>
    <w:p w14:paraId="11EAB226" w14:textId="77777777" w:rsidR="001778B8" w:rsidRPr="00F439FB" w:rsidRDefault="00863184" w:rsidP="001778B8">
      <w:pPr>
        <w:rPr>
          <w:color w:val="4F81BD" w:themeColor="accent1"/>
        </w:rPr>
      </w:pPr>
      <w:bookmarkStart w:id="501" w:name="_Toc437423870"/>
      <w:bookmarkStart w:id="502" w:name="_Toc437424049"/>
      <w:bookmarkStart w:id="503" w:name="_Toc437424340"/>
      <w:r>
        <w:rPr>
          <w:noProof/>
          <w:color w:val="4F81BD" w:themeColor="accent1"/>
          <w:lang w:val="en-AU" w:eastAsia="en-AU"/>
        </w:rPr>
        <w:drawing>
          <wp:inline distT="0" distB="0" distL="0" distR="0" wp14:anchorId="11EAB2AD" wp14:editId="331F3A96">
            <wp:extent cx="5829300" cy="7002780"/>
            <wp:effectExtent l="0" t="0" r="0" b="7620"/>
            <wp:docPr id="17" name="Picture 17" descr="Panel of plots showing temporal trends in in-situ measured water quality variables replicated from the 2016 MMP water quality annual report, Waterhouse et al. 2017" title="Figure A1.12 Trends in marine water quality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_Burdekin_summary.pn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5831114" cy="7004959"/>
                    </a:xfrm>
                    <a:prstGeom prst="rect">
                      <a:avLst/>
                    </a:prstGeom>
                  </pic:spPr>
                </pic:pic>
              </a:graphicData>
            </a:graphic>
          </wp:inline>
        </w:drawing>
      </w:r>
    </w:p>
    <w:p w14:paraId="11EAB227" w14:textId="53CDC2AE" w:rsidR="006E3C16" w:rsidRPr="00F439FB" w:rsidRDefault="009D2F51" w:rsidP="009D2F51">
      <w:pPr>
        <w:pStyle w:val="Caption"/>
        <w:rPr>
          <w:vanish/>
        </w:rPr>
      </w:pPr>
      <w:bookmarkStart w:id="504" w:name="_Ref491340819"/>
      <w:bookmarkStart w:id="505" w:name="_Ref469946199"/>
      <w:bookmarkStart w:id="506" w:name="_Toc453243780"/>
      <w:bookmarkStart w:id="507" w:name="_Toc471373212"/>
      <w:bookmarkStart w:id="508" w:name="_Toc492389717"/>
      <w:r>
        <w:t xml:space="preserve">Figure A1. </w:t>
      </w:r>
      <w:r>
        <w:fldChar w:fldCharType="begin"/>
      </w:r>
      <w:r>
        <w:instrText xml:space="preserve"> SEQ Figure_A1. \* ARABIC </w:instrText>
      </w:r>
      <w:r>
        <w:fldChar w:fldCharType="separate"/>
      </w:r>
      <w:r w:rsidR="00D806F2">
        <w:rPr>
          <w:noProof/>
        </w:rPr>
        <w:t>12</w:t>
      </w:r>
      <w:r>
        <w:fldChar w:fldCharType="end"/>
      </w:r>
      <w:bookmarkEnd w:id="504"/>
      <w:r>
        <w:t xml:space="preserve"> </w:t>
      </w:r>
      <w:r w:rsidRPr="00B75E11">
        <w:t>Temporal trends in water quality: Burdekin region.</w:t>
      </w:r>
      <w:bookmarkEnd w:id="501"/>
      <w:bookmarkEnd w:id="502"/>
      <w:bookmarkEnd w:id="503"/>
      <w:bookmarkEnd w:id="505"/>
      <w:bookmarkEnd w:id="506"/>
      <w:bookmarkEnd w:id="507"/>
      <w:bookmarkEnd w:id="508"/>
      <w:r w:rsidRPr="00F439FB">
        <w:rPr>
          <w:vanish/>
        </w:rPr>
        <w:t xml:space="preserve"> </w:t>
      </w:r>
    </w:p>
    <w:p w14:paraId="11EAB228" w14:textId="77777777" w:rsidR="00EB5372" w:rsidRPr="001225BF" w:rsidRDefault="008E0B4F" w:rsidP="00F872DF">
      <w:pPr>
        <w:pStyle w:val="Caption"/>
        <w:rPr>
          <w:rStyle w:val="IntenseReference"/>
          <w:rFonts w:eastAsia="SimSun"/>
        </w:rPr>
      </w:pPr>
      <w:r w:rsidRPr="00F439FB">
        <w:rPr>
          <w:rStyle w:val="IntenseReference"/>
          <w:rFonts w:eastAsia="SimSun"/>
          <w:color w:val="4F81BD" w:themeColor="accent1"/>
        </w:rPr>
        <w:t xml:space="preserve"> </w:t>
      </w:r>
      <w:bookmarkStart w:id="509" w:name="_Toc437424341"/>
      <w:r w:rsidRPr="001225BF">
        <w:rPr>
          <w:rStyle w:val="IntenseReference"/>
          <w:rFonts w:eastAsia="SimSun"/>
        </w:rPr>
        <w:t xml:space="preserve">a) water quality index, b) chlorophyll </w:t>
      </w:r>
      <w:r w:rsidRPr="00BE785A">
        <w:rPr>
          <w:rStyle w:val="IntenseReference"/>
          <w:rFonts w:eastAsia="SimSun"/>
          <w:i/>
        </w:rPr>
        <w:t>a</w:t>
      </w:r>
      <w:r w:rsidRPr="001225BF">
        <w:rPr>
          <w:rStyle w:val="IntenseReference"/>
          <w:rFonts w:eastAsia="SimSun"/>
        </w:rPr>
        <w:t xml:space="preserve">, c) total suspended solids, d) nitrate/nitrite, e) secchi depth, f) particulate nitrogen, g) turbidity, h) particulate phosphorus, i) particulate organic carbon and j) dissolved organic carbon. Water quality index colour coding: dark green- ‘very good’; light green-‘good’; yellow – ‘moderate; orange – ‘poor’; red – ‘very poor’. The water quality index is the aggregate of variables plotted in b - h and calculated as described in </w:t>
      </w:r>
      <w:r w:rsidR="001225BF" w:rsidRPr="001225BF">
        <w:rPr>
          <w:rStyle w:val="IntenseReference"/>
          <w:rFonts w:eastAsia="SimSun"/>
        </w:rPr>
        <w:t>Waterhouse</w:t>
      </w:r>
      <w:r w:rsidR="006E3264" w:rsidRPr="001225BF">
        <w:rPr>
          <w:rStyle w:val="IntenseReference"/>
          <w:rFonts w:eastAsia="SimSun"/>
        </w:rPr>
        <w:t xml:space="preserve"> </w:t>
      </w:r>
      <w:r w:rsidR="006E3264" w:rsidRPr="001225BF">
        <w:rPr>
          <w:rStyle w:val="IntenseReference"/>
          <w:rFonts w:eastAsia="SimSun"/>
          <w:i/>
        </w:rPr>
        <w:t>et al.</w:t>
      </w:r>
      <w:r w:rsidR="00EA1457">
        <w:rPr>
          <w:rStyle w:val="IntenseReference"/>
          <w:rFonts w:eastAsia="SimSun"/>
        </w:rPr>
        <w:t xml:space="preserve"> (2017</w:t>
      </w:r>
      <w:r w:rsidR="006E3264" w:rsidRPr="001225BF">
        <w:rPr>
          <w:rStyle w:val="IntenseReference"/>
          <w:rFonts w:eastAsia="SimSun"/>
        </w:rPr>
        <w:t xml:space="preserve">). </w:t>
      </w:r>
      <w:r w:rsidRPr="001225BF">
        <w:rPr>
          <w:rStyle w:val="IntenseReference"/>
          <w:rFonts w:eastAsia="SimSun"/>
        </w:rPr>
        <w:t>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w:t>
      </w:r>
      <w:r w:rsidR="001225BF">
        <w:rPr>
          <w:rStyle w:val="IntenseReference"/>
          <w:rFonts w:eastAsia="SimSun"/>
        </w:rPr>
        <w:t>RMPA 2010). Extract from Waterhouse</w:t>
      </w:r>
      <w:r w:rsidRPr="001225BF">
        <w:rPr>
          <w:rStyle w:val="IntenseReference"/>
          <w:rFonts w:eastAsia="SimSun"/>
        </w:rPr>
        <w:t xml:space="preserve"> </w:t>
      </w:r>
      <w:r w:rsidRPr="001225BF">
        <w:rPr>
          <w:rStyle w:val="IntenseReference"/>
          <w:rFonts w:eastAsia="SimSun"/>
          <w:i/>
        </w:rPr>
        <w:t>et al.</w:t>
      </w:r>
      <w:r w:rsidRPr="001225BF">
        <w:rPr>
          <w:rStyle w:val="IntenseReference"/>
          <w:rFonts w:eastAsia="SimSun"/>
        </w:rPr>
        <w:t xml:space="preserve"> (</w:t>
      </w:r>
      <w:r w:rsidR="008E6F11" w:rsidRPr="001225BF">
        <w:rPr>
          <w:rStyle w:val="IntenseReference"/>
          <w:rFonts w:eastAsia="SimSun"/>
        </w:rPr>
        <w:t>201</w:t>
      </w:r>
      <w:r w:rsidR="001225BF">
        <w:rPr>
          <w:rStyle w:val="IntenseReference"/>
          <w:rFonts w:eastAsia="SimSun"/>
        </w:rPr>
        <w:t>7</w:t>
      </w:r>
      <w:r w:rsidRPr="001225BF">
        <w:rPr>
          <w:rStyle w:val="IntenseReference"/>
          <w:rFonts w:eastAsia="SimSun"/>
        </w:rPr>
        <w:t>)</w:t>
      </w:r>
      <w:bookmarkEnd w:id="509"/>
      <w:r w:rsidR="006E3264" w:rsidRPr="001225BF">
        <w:rPr>
          <w:rStyle w:val="IntenseReference"/>
          <w:rFonts w:eastAsia="SimSun"/>
        </w:rPr>
        <w:t>.</w:t>
      </w:r>
    </w:p>
    <w:p w14:paraId="11EAB229" w14:textId="77777777" w:rsidR="00EB5372" w:rsidRPr="00F439FB" w:rsidRDefault="00EB5372">
      <w:pPr>
        <w:jc w:val="left"/>
        <w:rPr>
          <w:rStyle w:val="IntenseReference"/>
          <w:rFonts w:eastAsia="SimSun"/>
          <w:color w:val="4F81BD" w:themeColor="accent1"/>
        </w:rPr>
      </w:pPr>
      <w:r w:rsidRPr="00F439FB">
        <w:rPr>
          <w:rStyle w:val="IntenseReference"/>
          <w:rFonts w:eastAsia="SimSun"/>
          <w:color w:val="4F81BD" w:themeColor="accent1"/>
        </w:rPr>
        <w:br w:type="page"/>
      </w:r>
    </w:p>
    <w:p w14:paraId="11EAB22A" w14:textId="77777777" w:rsidR="002A0417" w:rsidRPr="00F439FB" w:rsidRDefault="00863184" w:rsidP="001778B8">
      <w:pPr>
        <w:rPr>
          <w:color w:val="4F81BD" w:themeColor="accent1"/>
        </w:rPr>
      </w:pPr>
      <w:r>
        <w:rPr>
          <w:noProof/>
          <w:color w:val="4F81BD" w:themeColor="accent1"/>
          <w:lang w:val="en-AU" w:eastAsia="en-AU"/>
        </w:rPr>
        <w:drawing>
          <wp:inline distT="0" distB="0" distL="0" distR="0" wp14:anchorId="11EAB2AF" wp14:editId="7C493765">
            <wp:extent cx="5974080" cy="7178040"/>
            <wp:effectExtent l="0" t="0" r="7620" b="3810"/>
            <wp:docPr id="29" name="Picture 29" descr="Panel of plots showing temporal trends in in-situ measured water quality variables replicated from the 2016 MMP water quality annual report, Waterhouse et al. 2017" title="Figure A1.13 Trends in marine water quality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_Mackay_Whitsunday_summary.pn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5979489" cy="7184539"/>
                    </a:xfrm>
                    <a:prstGeom prst="rect">
                      <a:avLst/>
                    </a:prstGeom>
                  </pic:spPr>
                </pic:pic>
              </a:graphicData>
            </a:graphic>
          </wp:inline>
        </w:drawing>
      </w:r>
    </w:p>
    <w:p w14:paraId="11EAB22C" w14:textId="67AB6493" w:rsidR="008E0B4F" w:rsidRPr="001225BF" w:rsidRDefault="009D2F51" w:rsidP="00F872DF">
      <w:pPr>
        <w:pStyle w:val="Caption"/>
        <w:rPr>
          <w:rStyle w:val="IntenseReference"/>
          <w:rFonts w:eastAsia="SimSun"/>
        </w:rPr>
      </w:pPr>
      <w:bookmarkStart w:id="510" w:name="_Ref491344389"/>
      <w:bookmarkStart w:id="511" w:name="_Ref469981130"/>
      <w:bookmarkStart w:id="512" w:name="_Toc437423871"/>
      <w:bookmarkStart w:id="513" w:name="_Toc437424050"/>
      <w:bookmarkStart w:id="514" w:name="_Toc437424342"/>
      <w:bookmarkStart w:id="515" w:name="_Toc453243781"/>
      <w:bookmarkStart w:id="516" w:name="_Toc471373213"/>
      <w:bookmarkStart w:id="517" w:name="_Toc492389718"/>
      <w:r>
        <w:t xml:space="preserve">Figure A1. </w:t>
      </w:r>
      <w:r>
        <w:fldChar w:fldCharType="begin"/>
      </w:r>
      <w:r>
        <w:instrText xml:space="preserve"> SEQ Figure_A1. \* ARABIC </w:instrText>
      </w:r>
      <w:r>
        <w:fldChar w:fldCharType="separate"/>
      </w:r>
      <w:r w:rsidR="00D806F2">
        <w:rPr>
          <w:noProof/>
        </w:rPr>
        <w:t>13</w:t>
      </w:r>
      <w:r>
        <w:fldChar w:fldCharType="end"/>
      </w:r>
      <w:bookmarkEnd w:id="510"/>
      <w:r>
        <w:t xml:space="preserve"> </w:t>
      </w:r>
      <w:r w:rsidRPr="00B1377E">
        <w:t>Temporal trends in water quality: Mackay Whitsundays region.</w:t>
      </w:r>
      <w:bookmarkEnd w:id="511"/>
      <w:bookmarkEnd w:id="512"/>
      <w:bookmarkEnd w:id="513"/>
      <w:bookmarkEnd w:id="514"/>
      <w:bookmarkEnd w:id="515"/>
      <w:bookmarkEnd w:id="516"/>
      <w:r w:rsidR="008E0B4F" w:rsidRPr="00F439FB">
        <w:rPr>
          <w:rStyle w:val="IntenseReference"/>
          <w:rFonts w:eastAsia="SimSun"/>
          <w:color w:val="4F81BD" w:themeColor="accent1"/>
        </w:rPr>
        <w:t xml:space="preserve"> </w:t>
      </w:r>
      <w:bookmarkStart w:id="518" w:name="_Toc437424343"/>
      <w:bookmarkStart w:id="519" w:name="_Toc437432395"/>
      <w:r w:rsidR="008E0B4F" w:rsidRPr="001225BF">
        <w:rPr>
          <w:rStyle w:val="IntenseReference"/>
          <w:rFonts w:eastAsia="SimSun"/>
        </w:rPr>
        <w:t xml:space="preserve">a) water quality index, b) chlorophyll </w:t>
      </w:r>
      <w:r w:rsidR="008E0B4F" w:rsidRPr="00BE785A">
        <w:rPr>
          <w:rStyle w:val="IntenseReference"/>
          <w:rFonts w:eastAsia="SimSun"/>
          <w:i/>
        </w:rPr>
        <w:t>a</w:t>
      </w:r>
      <w:r w:rsidR="008E0B4F" w:rsidRPr="001225BF">
        <w:rPr>
          <w:rStyle w:val="IntenseReference"/>
          <w:rFonts w:eastAsia="SimSun"/>
        </w:rPr>
        <w:t xml:space="preserve">, c) total suspended solids, d) nitrate/nitrite, e) secchi depth, f) particulate nitrogen, g) turbidity, h) particulate phosphorus, i) particulate organic carbon and j) dissolved organic carbon. Water quality index colour coding: dark green- ‘very good’; light green-‘good’; yellow – ‘moderate; orange – ‘poor’; red – ‘very poor’. The water quality index is the aggregate of variables plotted in b - h and calculated as described in </w:t>
      </w:r>
      <w:r w:rsidR="001225BF" w:rsidRPr="001225BF">
        <w:rPr>
          <w:rStyle w:val="IntenseReference"/>
          <w:rFonts w:eastAsia="SimSun"/>
        </w:rPr>
        <w:t>Waterhouse</w:t>
      </w:r>
      <w:r w:rsidR="006E3264" w:rsidRPr="001225BF">
        <w:rPr>
          <w:rStyle w:val="IntenseReference"/>
          <w:rFonts w:eastAsia="SimSun"/>
        </w:rPr>
        <w:t xml:space="preserve"> </w:t>
      </w:r>
      <w:r w:rsidR="006E3264" w:rsidRPr="001225BF">
        <w:rPr>
          <w:rStyle w:val="IntenseReference"/>
          <w:rFonts w:eastAsia="SimSun"/>
          <w:i/>
        </w:rPr>
        <w:t>et al.</w:t>
      </w:r>
      <w:r w:rsidR="006E3264" w:rsidRPr="001225BF">
        <w:rPr>
          <w:rStyle w:val="IntenseReference"/>
          <w:rFonts w:eastAsia="SimSun"/>
        </w:rPr>
        <w:t xml:space="preserve"> (201</w:t>
      </w:r>
      <w:r w:rsidR="00EA1457">
        <w:rPr>
          <w:rStyle w:val="IntenseReference"/>
          <w:rFonts w:eastAsia="SimSun"/>
        </w:rPr>
        <w:t>7</w:t>
      </w:r>
      <w:r w:rsidR="006E3264" w:rsidRPr="001225BF">
        <w:rPr>
          <w:rStyle w:val="IntenseReference"/>
          <w:rFonts w:eastAsia="SimSun"/>
        </w:rPr>
        <w:t xml:space="preserve">). </w:t>
      </w:r>
      <w:r w:rsidR="008E0B4F" w:rsidRPr="001225BF">
        <w:rPr>
          <w:rStyle w:val="IntenseReference"/>
          <w:rFonts w:eastAsia="SimSun"/>
        </w:rPr>
        <w:t xml:space="preserve">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(GBRMPA 2010). Extract from </w:t>
      </w:r>
      <w:r w:rsidR="001225BF" w:rsidRPr="001225BF">
        <w:rPr>
          <w:rStyle w:val="IntenseReference"/>
          <w:rFonts w:eastAsia="SimSun"/>
        </w:rPr>
        <w:t>Waterhouse</w:t>
      </w:r>
      <w:r w:rsidR="008E0B4F" w:rsidRPr="001225BF">
        <w:rPr>
          <w:rStyle w:val="IntenseReference"/>
          <w:rFonts w:eastAsia="SimSun"/>
        </w:rPr>
        <w:t xml:space="preserve"> </w:t>
      </w:r>
      <w:r w:rsidR="008E0B4F" w:rsidRPr="001225BF">
        <w:rPr>
          <w:rStyle w:val="IntenseReference"/>
          <w:rFonts w:eastAsia="SimSun"/>
          <w:i/>
        </w:rPr>
        <w:t>et al.</w:t>
      </w:r>
      <w:r w:rsidR="008E0B4F" w:rsidRPr="001225BF">
        <w:rPr>
          <w:rStyle w:val="IntenseReference"/>
          <w:rFonts w:eastAsia="SimSun"/>
        </w:rPr>
        <w:t xml:space="preserve"> (</w:t>
      </w:r>
      <w:r w:rsidR="001225BF" w:rsidRPr="001225BF">
        <w:rPr>
          <w:rStyle w:val="IntenseReference"/>
          <w:rFonts w:eastAsia="SimSun"/>
        </w:rPr>
        <w:t>2017</w:t>
      </w:r>
      <w:r w:rsidR="008E0B4F" w:rsidRPr="001225BF">
        <w:rPr>
          <w:rStyle w:val="IntenseReference"/>
          <w:rFonts w:eastAsia="SimSun"/>
        </w:rPr>
        <w:t>)</w:t>
      </w:r>
      <w:bookmarkEnd w:id="518"/>
      <w:bookmarkEnd w:id="519"/>
      <w:r w:rsidR="006E3264" w:rsidRPr="001225BF">
        <w:rPr>
          <w:rStyle w:val="IntenseReference"/>
          <w:rFonts w:eastAsia="SimSun"/>
        </w:rPr>
        <w:t>.</w:t>
      </w:r>
      <w:bookmarkEnd w:id="517"/>
    </w:p>
    <w:p w14:paraId="11EAB22D" w14:textId="77777777" w:rsidR="00EB5372" w:rsidRPr="00F439FB" w:rsidRDefault="00EB5372">
      <w:pPr>
        <w:jc w:val="left"/>
        <w:rPr>
          <w:rStyle w:val="IntenseReference"/>
          <w:rFonts w:eastAsia="SimSun"/>
          <w:color w:val="4F81BD" w:themeColor="accent1"/>
        </w:rPr>
      </w:pPr>
      <w:r w:rsidRPr="00F439FB">
        <w:rPr>
          <w:rStyle w:val="IntenseReference"/>
          <w:rFonts w:eastAsia="SimSun"/>
          <w:color w:val="4F81BD" w:themeColor="accent1"/>
        </w:rPr>
        <w:br w:type="page"/>
      </w:r>
    </w:p>
    <w:p w14:paraId="11EAB22E" w14:textId="77777777" w:rsidR="00500B4F" w:rsidRPr="00F439FB" w:rsidRDefault="001225BF" w:rsidP="002A0417">
      <w:pPr>
        <w:rPr>
          <w:color w:val="4F81BD" w:themeColor="accent1"/>
        </w:rPr>
      </w:pPr>
      <w:bookmarkStart w:id="520" w:name="_Toc437424344"/>
      <w:r>
        <w:rPr>
          <w:noProof/>
          <w:color w:val="4F81BD" w:themeColor="accent1"/>
          <w:lang w:val="en-AU" w:eastAsia="en-AU"/>
        </w:rPr>
        <w:t xml:space="preserve"> </w:t>
      </w:r>
      <w:r w:rsidR="00782894" w:rsidRPr="00F439FB">
        <w:rPr>
          <w:noProof/>
          <w:color w:val="4F81BD" w:themeColor="accent1"/>
          <w:lang w:val="en-AU" w:eastAsia="en-AU"/>
        </w:rPr>
        <w:drawing>
          <wp:inline distT="0" distB="0" distL="0" distR="0" wp14:anchorId="11EAB2B1" wp14:editId="7F127E0A">
            <wp:extent cx="6120765" cy="6120765"/>
            <wp:effectExtent l="0" t="0" r="0" b="0"/>
            <wp:docPr id="35" name="Picture 35" descr="Panel of plots showing temporal trends in in-situ measured water quality variables replicated from the 2015 MMP water quality annual report, Lønborg et al. 2015" title="Figure A1.14 Trends in marine water quality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systemHealth_WQ_niskin.all.reef.av_Fitzroy.pn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bookmarkEnd w:id="520"/>
    </w:p>
    <w:p w14:paraId="11EAB22F" w14:textId="1B209BDE" w:rsidR="006B5C58" w:rsidRPr="001225BF" w:rsidRDefault="009D2F51" w:rsidP="009D2F51">
      <w:pPr>
        <w:pStyle w:val="Caption"/>
        <w:rPr>
          <w:vanish/>
          <w:color w:val="000000" w:themeColor="text1"/>
        </w:rPr>
      </w:pPr>
      <w:bookmarkStart w:id="521" w:name="_Ref469728294"/>
      <w:bookmarkStart w:id="522" w:name="_Toc453243782"/>
      <w:bookmarkStart w:id="523" w:name="_Toc471373214"/>
      <w:bookmarkStart w:id="524" w:name="_Toc492389719"/>
      <w:bookmarkStart w:id="525" w:name="_Toc437423872"/>
      <w:bookmarkStart w:id="526" w:name="_Toc437424051"/>
      <w:bookmarkStart w:id="527" w:name="_Toc437424345"/>
      <w:r>
        <w:t xml:space="preserve">Figure A1. </w:t>
      </w:r>
      <w:r>
        <w:fldChar w:fldCharType="begin"/>
      </w:r>
      <w:r>
        <w:instrText xml:space="preserve"> SEQ Figure_A1. \* ARABIC </w:instrText>
      </w:r>
      <w:r>
        <w:fldChar w:fldCharType="separate"/>
      </w:r>
      <w:r w:rsidR="00D806F2">
        <w:rPr>
          <w:noProof/>
        </w:rPr>
        <w:t>14</w:t>
      </w:r>
      <w:r>
        <w:fldChar w:fldCharType="end"/>
      </w:r>
      <w:r>
        <w:t xml:space="preserve"> </w:t>
      </w:r>
      <w:r w:rsidRPr="00030F82">
        <w:t>Temporal trends in water quality: Fitzroy region.</w:t>
      </w:r>
      <w:bookmarkEnd w:id="521"/>
      <w:bookmarkEnd w:id="522"/>
      <w:bookmarkEnd w:id="523"/>
      <w:bookmarkEnd w:id="524"/>
      <w:r w:rsidRPr="001225BF">
        <w:rPr>
          <w:vanish/>
          <w:color w:val="000000" w:themeColor="text1"/>
        </w:rPr>
        <w:t xml:space="preserve"> </w:t>
      </w:r>
    </w:p>
    <w:p w14:paraId="11EAB230" w14:textId="77777777" w:rsidR="008E0B4F" w:rsidRPr="001225BF" w:rsidRDefault="008E0B4F" w:rsidP="001225BF">
      <w:pPr>
        <w:pStyle w:val="AppendixFigures"/>
        <w:ind w:left="0"/>
        <w:rPr>
          <w:rStyle w:val="IntenseReference"/>
          <w:rFonts w:eastAsia="SimSun"/>
        </w:rPr>
      </w:pPr>
      <w:r w:rsidRPr="001225BF">
        <w:rPr>
          <w:color w:val="000000" w:themeColor="text1"/>
        </w:rPr>
        <w:t xml:space="preserve"> </w:t>
      </w:r>
      <w:r w:rsidRPr="001225BF">
        <w:rPr>
          <w:rStyle w:val="IntenseReference"/>
          <w:rFonts w:eastAsia="SimSun"/>
        </w:rPr>
        <w:t xml:space="preserve">a) water quality index, b) chlorophyll </w:t>
      </w:r>
      <w:r w:rsidRPr="00BE785A">
        <w:rPr>
          <w:rStyle w:val="IntenseReference"/>
          <w:rFonts w:eastAsia="SimSun"/>
          <w:i/>
        </w:rPr>
        <w:t>a</w:t>
      </w:r>
      <w:r w:rsidRPr="001225BF">
        <w:rPr>
          <w:rStyle w:val="IntenseReference"/>
          <w:rFonts w:eastAsia="SimSun"/>
        </w:rPr>
        <w:t xml:space="preserve">, c) total suspended solids, d) nitrate/nitrite, e) secchi depth, f) particulate nitrogen, g) turbidity, h) particulate phosphorus, i) particulate organic carbon and j) dissolved organic carbon. Water quality index colour coding: dark green- ‘very good’; light green-‘good’; yellow – ‘moderate; orange – ‘poor’; red – ‘very poor’. The water quality index is the aggregate of variables plotted in b - h and calculated as described in </w:t>
      </w:r>
      <w:r w:rsidR="001225BF" w:rsidRPr="001225BF">
        <w:rPr>
          <w:rStyle w:val="IntenseReference"/>
          <w:rFonts w:eastAsia="SimSun"/>
        </w:rPr>
        <w:t>Waterhouse</w:t>
      </w:r>
      <w:r w:rsidR="006E3264" w:rsidRPr="001225BF">
        <w:rPr>
          <w:rStyle w:val="IntenseReference"/>
          <w:rFonts w:eastAsia="SimSun"/>
        </w:rPr>
        <w:t xml:space="preserve"> </w:t>
      </w:r>
      <w:r w:rsidR="006E3264" w:rsidRPr="001225BF">
        <w:rPr>
          <w:rStyle w:val="IntenseReference"/>
          <w:rFonts w:eastAsia="SimSun"/>
          <w:i/>
        </w:rPr>
        <w:t>et al.</w:t>
      </w:r>
      <w:r w:rsidR="001225BF" w:rsidRPr="001225BF">
        <w:rPr>
          <w:rStyle w:val="IntenseReference"/>
          <w:rFonts w:eastAsia="SimSun"/>
        </w:rPr>
        <w:t xml:space="preserve"> (2017</w:t>
      </w:r>
      <w:r w:rsidR="006E3264" w:rsidRPr="001225BF">
        <w:rPr>
          <w:rStyle w:val="IntenseReference"/>
          <w:rFonts w:eastAsia="SimSun"/>
        </w:rPr>
        <w:t xml:space="preserve">). </w:t>
      </w:r>
      <w:r w:rsidRPr="001225BF">
        <w:rPr>
          <w:rStyle w:val="IntenseReference"/>
          <w:rFonts w:eastAsia="SimSun"/>
        </w:rPr>
        <w:t xml:space="preserve">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(GBRMPA 2010). Extract from </w:t>
      </w:r>
      <w:r w:rsidR="001225BF" w:rsidRPr="001225BF">
        <w:rPr>
          <w:rStyle w:val="IntenseReference"/>
          <w:rFonts w:eastAsia="SimSun"/>
        </w:rPr>
        <w:t>Waterhouse</w:t>
      </w:r>
      <w:r w:rsidRPr="001225BF">
        <w:rPr>
          <w:rStyle w:val="IntenseReference"/>
          <w:rFonts w:eastAsia="SimSun"/>
        </w:rPr>
        <w:t xml:space="preserve"> </w:t>
      </w:r>
      <w:r w:rsidRPr="001225BF">
        <w:rPr>
          <w:rStyle w:val="IntenseReference"/>
          <w:rFonts w:eastAsia="SimSun"/>
          <w:i/>
        </w:rPr>
        <w:t>et al.</w:t>
      </w:r>
      <w:r w:rsidRPr="001225BF">
        <w:rPr>
          <w:rStyle w:val="IntenseReference"/>
          <w:rFonts w:eastAsia="SimSun"/>
        </w:rPr>
        <w:t xml:space="preserve"> (</w:t>
      </w:r>
      <w:r w:rsidR="008E6F11" w:rsidRPr="001225BF">
        <w:rPr>
          <w:rStyle w:val="IntenseReference"/>
          <w:rFonts w:eastAsia="SimSun"/>
        </w:rPr>
        <w:t>201</w:t>
      </w:r>
      <w:r w:rsidR="001225BF" w:rsidRPr="001225BF">
        <w:rPr>
          <w:rStyle w:val="IntenseReference"/>
          <w:rFonts w:eastAsia="SimSun"/>
        </w:rPr>
        <w:t>7</w:t>
      </w:r>
      <w:r w:rsidRPr="001225BF">
        <w:rPr>
          <w:rStyle w:val="IntenseReference"/>
          <w:rFonts w:eastAsia="SimSun"/>
        </w:rPr>
        <w:t>)</w:t>
      </w:r>
      <w:bookmarkEnd w:id="525"/>
      <w:bookmarkEnd w:id="526"/>
      <w:bookmarkEnd w:id="527"/>
      <w:r w:rsidR="006E3264" w:rsidRPr="001225BF">
        <w:rPr>
          <w:rStyle w:val="IntenseReference"/>
          <w:rFonts w:eastAsia="SimSun"/>
        </w:rPr>
        <w:t>.</w:t>
      </w:r>
    </w:p>
    <w:p w14:paraId="11EAB231" w14:textId="77777777" w:rsidR="00781BD6" w:rsidRPr="00F439FB" w:rsidRDefault="00781BD6" w:rsidP="001225BF">
      <w:pPr>
        <w:rPr>
          <w:color w:val="4F81BD" w:themeColor="accent1"/>
        </w:rPr>
      </w:pPr>
    </w:p>
    <w:p w14:paraId="11EAB232" w14:textId="77777777" w:rsidR="00737850" w:rsidRPr="00F439FB" w:rsidRDefault="00737850">
      <w:pPr>
        <w:rPr>
          <w:color w:val="4F81BD" w:themeColor="accent1"/>
        </w:rPr>
        <w:sectPr w:rsidR="00737850" w:rsidRPr="00F439FB" w:rsidSect="006608FC">
          <w:pgSz w:w="11907" w:h="16840" w:code="9"/>
          <w:pgMar w:top="1440" w:right="1134" w:bottom="1440" w:left="1134" w:header="709" w:footer="709" w:gutter="0"/>
          <w:cols w:space="708"/>
          <w:docGrid w:linePitch="360"/>
        </w:sectPr>
      </w:pPr>
    </w:p>
    <w:p w14:paraId="11EAB23B" w14:textId="1BCB38C6" w:rsidR="008A1A24" w:rsidRPr="00F439FB" w:rsidRDefault="008A1A24" w:rsidP="00B05739">
      <w:pPr>
        <w:pStyle w:val="Heading1"/>
      </w:pPr>
      <w:bookmarkStart w:id="528" w:name="_Toc358712540"/>
      <w:bookmarkStart w:id="529" w:name="_Toc374701395"/>
      <w:bookmarkStart w:id="530" w:name="_Toc437424470"/>
      <w:bookmarkStart w:id="531" w:name="_Toc437424594"/>
      <w:bookmarkStart w:id="532" w:name="_Toc437432523"/>
      <w:bookmarkStart w:id="533" w:name="_Toc437432596"/>
      <w:bookmarkStart w:id="534" w:name="_Toc493153361"/>
      <w:bookmarkStart w:id="535" w:name="_Toc205604871"/>
      <w:bookmarkEnd w:id="437"/>
      <w:r w:rsidRPr="00F439FB">
        <w:t xml:space="preserve">Appendix </w:t>
      </w:r>
      <w:r w:rsidR="009D2F51">
        <w:t>2</w:t>
      </w:r>
      <w:r w:rsidRPr="00F439FB">
        <w:t xml:space="preserve">: </w:t>
      </w:r>
      <w:r w:rsidR="00D624D1" w:rsidRPr="00F439FB">
        <w:t>P</w:t>
      </w:r>
      <w:r w:rsidRPr="00F439FB">
        <w:t>ublications and presentations associated with the Program 201</w:t>
      </w:r>
      <w:bookmarkEnd w:id="528"/>
      <w:r w:rsidR="007C0158">
        <w:t>5</w:t>
      </w:r>
      <w:r w:rsidR="004922D2" w:rsidRPr="00F439FB">
        <w:t>-</w:t>
      </w:r>
      <w:r w:rsidRPr="00F439FB">
        <w:t>1</w:t>
      </w:r>
      <w:bookmarkEnd w:id="529"/>
      <w:bookmarkEnd w:id="530"/>
      <w:bookmarkEnd w:id="531"/>
      <w:bookmarkEnd w:id="532"/>
      <w:bookmarkEnd w:id="533"/>
      <w:r w:rsidR="007C0158">
        <w:t>6</w:t>
      </w:r>
      <w:bookmarkEnd w:id="534"/>
    </w:p>
    <w:p w14:paraId="11EAB23C" w14:textId="77777777" w:rsidR="008A1A24" w:rsidRPr="00DF2D4E" w:rsidRDefault="008A1A24" w:rsidP="007E5B6D">
      <w:pPr>
        <w:spacing w:before="240"/>
        <w:rPr>
          <w:b/>
          <w:color w:val="000000" w:themeColor="text1"/>
        </w:rPr>
      </w:pPr>
      <w:r w:rsidRPr="00DF2D4E">
        <w:rPr>
          <w:b/>
          <w:color w:val="000000" w:themeColor="text1"/>
        </w:rPr>
        <w:t>Publications</w:t>
      </w:r>
    </w:p>
    <w:p w14:paraId="11EAB23D" w14:textId="77777777" w:rsidR="007C0158" w:rsidRPr="007C0158" w:rsidRDefault="007C0158" w:rsidP="009D2F51">
      <w:pPr>
        <w:ind w:left="284" w:hanging="284"/>
        <w:rPr>
          <w:rFonts w:cs="Arial"/>
          <w:color w:val="222222"/>
          <w:szCs w:val="22"/>
          <w:lang w:val="en-AU" w:eastAsia="en-AU"/>
        </w:rPr>
      </w:pPr>
      <w:r w:rsidRPr="007C0158">
        <w:rPr>
          <w:rFonts w:cs="Arial"/>
          <w:color w:val="222222"/>
          <w:szCs w:val="22"/>
          <w:lang w:val="en-AU" w:eastAsia="en-AU"/>
        </w:rPr>
        <w:t>Petus C, Devlin M, Thompson A, McKenzie L, Teixeira da Silva E, Collier C, Tracey D, Martin K</w:t>
      </w:r>
      <w:r w:rsidR="00DF2D4E">
        <w:rPr>
          <w:rFonts w:cs="Arial"/>
          <w:color w:val="222222"/>
          <w:szCs w:val="22"/>
          <w:lang w:val="en-AU" w:eastAsia="en-AU"/>
        </w:rPr>
        <w:t xml:space="preserve"> (2016)</w:t>
      </w:r>
      <w:r w:rsidRPr="007C0158">
        <w:rPr>
          <w:rFonts w:cs="Arial"/>
          <w:color w:val="222222"/>
          <w:szCs w:val="22"/>
          <w:lang w:val="en-AU" w:eastAsia="en-AU"/>
        </w:rPr>
        <w:t xml:space="preserve"> Estimating the Exposure of Coral Reefs and Seagrass Meadows to Land-Sourced Contaminants in River Flood Plumes of the Great Barrier Reef: Validating a Simple Satellite Risk Framework with Environmental Data. Remote Sensing</w:t>
      </w:r>
      <w:r w:rsidR="00DF2D4E">
        <w:rPr>
          <w:rFonts w:cs="Arial"/>
          <w:color w:val="222222"/>
          <w:szCs w:val="22"/>
          <w:lang w:val="en-AU" w:eastAsia="en-AU"/>
        </w:rPr>
        <w:t xml:space="preserve"> 8(3):210</w:t>
      </w:r>
    </w:p>
    <w:p w14:paraId="11EAB23E" w14:textId="77777777" w:rsidR="008A1A24" w:rsidRPr="00DF2D4E" w:rsidRDefault="00EF7563" w:rsidP="007E5B6D">
      <w:pPr>
        <w:spacing w:before="240"/>
        <w:rPr>
          <w:b/>
          <w:color w:val="000000" w:themeColor="text1"/>
        </w:rPr>
      </w:pPr>
      <w:r w:rsidRPr="00DF2D4E">
        <w:rPr>
          <w:b/>
          <w:color w:val="000000" w:themeColor="text1"/>
        </w:rPr>
        <w:t>Presentations</w:t>
      </w:r>
    </w:p>
    <w:bookmarkEnd w:id="535"/>
    <w:p w14:paraId="11EAB23F" w14:textId="77777777" w:rsidR="008A1A24" w:rsidRPr="00DF2D4E" w:rsidRDefault="004922D2" w:rsidP="009D2F51">
      <w:pPr>
        <w:pStyle w:val="Reportrefs"/>
        <w:spacing w:after="120"/>
        <w:ind w:left="284" w:hanging="284"/>
        <w:rPr>
          <w:rFonts w:cs="Arial"/>
          <w:color w:val="000000" w:themeColor="text1"/>
          <w:sz w:val="22"/>
          <w:szCs w:val="22"/>
        </w:rPr>
      </w:pPr>
      <w:r w:rsidRPr="00DF2D4E">
        <w:rPr>
          <w:rFonts w:cs="Arial"/>
          <w:color w:val="000000" w:themeColor="text1"/>
          <w:sz w:val="22"/>
          <w:szCs w:val="22"/>
        </w:rPr>
        <w:t>Thompson A, Logan</w:t>
      </w:r>
      <w:r w:rsidR="007C0158" w:rsidRPr="00DF2D4E">
        <w:rPr>
          <w:rFonts w:cs="Arial"/>
          <w:color w:val="000000" w:themeColor="text1"/>
          <w:sz w:val="22"/>
          <w:szCs w:val="22"/>
        </w:rPr>
        <w:t xml:space="preserve"> M</w:t>
      </w:r>
      <w:r w:rsidR="00575B10" w:rsidRPr="00DF2D4E">
        <w:rPr>
          <w:rFonts w:cs="Arial"/>
          <w:color w:val="000000" w:themeColor="text1"/>
          <w:sz w:val="22"/>
          <w:szCs w:val="22"/>
        </w:rPr>
        <w:t xml:space="preserve"> </w:t>
      </w:r>
      <w:r w:rsidR="007F7841" w:rsidRPr="00DF2D4E">
        <w:rPr>
          <w:rFonts w:cs="Arial"/>
          <w:color w:val="000000" w:themeColor="text1"/>
          <w:sz w:val="22"/>
          <w:szCs w:val="22"/>
        </w:rPr>
        <w:t>(</w:t>
      </w:r>
      <w:r w:rsidRPr="00DF2D4E">
        <w:rPr>
          <w:rFonts w:cs="Arial"/>
          <w:color w:val="000000" w:themeColor="text1"/>
          <w:sz w:val="22"/>
          <w:szCs w:val="22"/>
        </w:rPr>
        <w:t>201</w:t>
      </w:r>
      <w:r w:rsidR="007C0158" w:rsidRPr="00DF2D4E">
        <w:rPr>
          <w:rFonts w:cs="Arial"/>
          <w:color w:val="000000" w:themeColor="text1"/>
          <w:sz w:val="22"/>
          <w:szCs w:val="22"/>
        </w:rPr>
        <w:t>6</w:t>
      </w:r>
      <w:r w:rsidR="007F7841" w:rsidRPr="00DF2D4E">
        <w:rPr>
          <w:rFonts w:cs="Arial"/>
          <w:color w:val="000000" w:themeColor="text1"/>
          <w:sz w:val="22"/>
          <w:szCs w:val="22"/>
        </w:rPr>
        <w:t>)</w:t>
      </w:r>
      <w:r w:rsidRPr="00DF2D4E">
        <w:rPr>
          <w:rFonts w:cs="Arial"/>
          <w:color w:val="000000" w:themeColor="text1"/>
          <w:sz w:val="22"/>
          <w:szCs w:val="22"/>
        </w:rPr>
        <w:t xml:space="preserve"> </w:t>
      </w:r>
      <w:r w:rsidR="00DF2D4E" w:rsidRPr="00DF2D4E">
        <w:rPr>
          <w:rFonts w:cs="Arial"/>
          <w:color w:val="000000" w:themeColor="text1"/>
          <w:sz w:val="22"/>
          <w:szCs w:val="22"/>
        </w:rPr>
        <w:t xml:space="preserve">Assessing and communicating the status of </w:t>
      </w:r>
      <w:r w:rsidRPr="00DF2D4E">
        <w:rPr>
          <w:rFonts w:cs="Arial"/>
          <w:color w:val="000000" w:themeColor="text1"/>
          <w:sz w:val="22"/>
          <w:szCs w:val="22"/>
        </w:rPr>
        <w:t>coral communit</w:t>
      </w:r>
      <w:r w:rsidR="00DF2D4E" w:rsidRPr="00DF2D4E">
        <w:rPr>
          <w:rFonts w:cs="Arial"/>
          <w:color w:val="000000" w:themeColor="text1"/>
          <w:sz w:val="22"/>
          <w:szCs w:val="22"/>
        </w:rPr>
        <w:t xml:space="preserve">ies using a </w:t>
      </w:r>
      <w:r w:rsidRPr="00DF2D4E">
        <w:rPr>
          <w:rFonts w:cs="Arial"/>
          <w:color w:val="000000" w:themeColor="text1"/>
          <w:sz w:val="22"/>
          <w:szCs w:val="22"/>
        </w:rPr>
        <w:t xml:space="preserve">condition </w:t>
      </w:r>
      <w:r w:rsidR="00DF2D4E" w:rsidRPr="00DF2D4E">
        <w:rPr>
          <w:rFonts w:cs="Arial"/>
          <w:color w:val="000000" w:themeColor="text1"/>
          <w:sz w:val="22"/>
          <w:szCs w:val="22"/>
        </w:rPr>
        <w:t xml:space="preserve">index based on multiple </w:t>
      </w:r>
      <w:r w:rsidRPr="00DF2D4E">
        <w:rPr>
          <w:rFonts w:cs="Arial"/>
          <w:color w:val="000000" w:themeColor="text1"/>
          <w:sz w:val="22"/>
          <w:szCs w:val="22"/>
        </w:rPr>
        <w:t xml:space="preserve">indicators </w:t>
      </w:r>
      <w:r w:rsidR="00DF2D4E" w:rsidRPr="00DF2D4E">
        <w:rPr>
          <w:rFonts w:cs="Arial"/>
          <w:color w:val="000000" w:themeColor="text1"/>
          <w:sz w:val="22"/>
          <w:szCs w:val="22"/>
        </w:rPr>
        <w:t>relevant to water quality</w:t>
      </w:r>
      <w:r w:rsidR="008D49AB" w:rsidRPr="00DF2D4E">
        <w:rPr>
          <w:rFonts w:cs="Arial"/>
          <w:color w:val="000000" w:themeColor="text1"/>
          <w:sz w:val="22"/>
          <w:szCs w:val="22"/>
        </w:rPr>
        <w:t xml:space="preserve">. </w:t>
      </w:r>
      <w:r w:rsidR="007C0158" w:rsidRPr="00DF2D4E">
        <w:rPr>
          <w:rFonts w:cs="Arial"/>
          <w:color w:val="000000" w:themeColor="text1"/>
          <w:sz w:val="22"/>
          <w:szCs w:val="22"/>
        </w:rPr>
        <w:t>International</w:t>
      </w:r>
      <w:r w:rsidR="008D49AB" w:rsidRPr="00DF2D4E">
        <w:rPr>
          <w:rFonts w:cs="Arial"/>
          <w:color w:val="000000" w:themeColor="text1"/>
          <w:sz w:val="22"/>
          <w:szCs w:val="22"/>
        </w:rPr>
        <w:t xml:space="preserve"> Coral Reef Society, July 201</w:t>
      </w:r>
      <w:r w:rsidR="007C0158" w:rsidRPr="00DF2D4E">
        <w:rPr>
          <w:rFonts w:cs="Arial"/>
          <w:color w:val="000000" w:themeColor="text1"/>
          <w:sz w:val="22"/>
          <w:szCs w:val="22"/>
        </w:rPr>
        <w:t>6</w:t>
      </w:r>
    </w:p>
    <w:p w14:paraId="11EAB240" w14:textId="77777777" w:rsidR="008C5017" w:rsidRPr="00F439FB" w:rsidRDefault="008C5017">
      <w:pPr>
        <w:rPr>
          <w:color w:val="4F81BD" w:themeColor="accent1"/>
        </w:rPr>
      </w:pPr>
    </w:p>
    <w:sectPr w:rsidR="008C5017" w:rsidRPr="00F439FB" w:rsidSect="006608FC">
      <w:pgSz w:w="11907" w:h="16840" w:code="9"/>
      <w:pgMar w:top="1440" w:right="1134" w:bottom="1440" w:left="1134" w:header="709" w:footer="709" w:gutter="0"/>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641">
      <wne:acd wne:acdName="acd0"/>
    </wne:keymap>
  </wne:keymaps>
  <wne:toolbars>
    <wne:acdManifest>
      <wne:acdEntry wne:acdName="acd0"/>
    </wne:acdManifest>
  </wne:toolbars>
  <wne:acds>
    <wne:acd wne:argValue="AgBBAHAAcABlAG4AZABpAHgAIABmAGkAZwB1AHIAZQBzAA==" wne:acdName="acd0"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4294D3" w14:textId="77777777" w:rsidR="00592A7D" w:rsidRDefault="00592A7D" w:rsidP="008A1A24">
      <w:r>
        <w:separator/>
      </w:r>
    </w:p>
  </w:endnote>
  <w:endnote w:type="continuationSeparator" w:id="0">
    <w:p w14:paraId="3BBE5528" w14:textId="77777777" w:rsidR="00592A7D" w:rsidRDefault="00592A7D" w:rsidP="008A1A24">
      <w:r>
        <w:continuationSeparator/>
      </w:r>
    </w:p>
  </w:endnote>
  <w:endnote w:type="continuationNotice" w:id="1">
    <w:p w14:paraId="40814438" w14:textId="77777777" w:rsidR="002C7079" w:rsidRDefault="002C7079">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E00002FF" w:usb1="6AC7FDFB" w:usb2="00000012" w:usb3="00000000" w:csb0="0002009F" w:csb1="00000000"/>
  </w:font>
  <w:font w:name="Gill Sans MT">
    <w:panose1 w:val="020B05020201040202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 w:name="Optimum">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inion Pro">
    <w:charset w:val="00"/>
    <w:family w:val="auto"/>
    <w:pitch w:val="variable"/>
    <w:sig w:usb0="60000287" w:usb1="00000001" w:usb2="00000000" w:usb3="00000000" w:csb0="0000019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Myriad Pro">
    <w:altName w:val="Corbel"/>
    <w:panose1 w:val="00000000000000000000"/>
    <w:charset w:val="00"/>
    <w:family w:val="swiss"/>
    <w:notTrueType/>
    <w:pitch w:val="variable"/>
    <w:sig w:usb0="A00002AF" w:usb1="5000204B"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MT">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LMSansQuot8-Regular">
    <w:panose1 w:val="00000000000000000000"/>
    <w:charset w:val="00"/>
    <w:family w:val="auto"/>
    <w:notTrueType/>
    <w:pitch w:val="default"/>
    <w:sig w:usb0="00000003" w:usb1="00000000" w:usb2="00000000" w:usb3="00000000" w:csb0="00000001" w:csb1="00000000"/>
  </w:font>
  <w:font w:name="CMSSI10">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inionPro-Regular">
    <w:altName w:val="MS Mincho"/>
    <w:panose1 w:val="00000000000000000000"/>
    <w:charset w:val="80"/>
    <w:family w:val="roman"/>
    <w:notTrueType/>
    <w:pitch w:val="default"/>
    <w:sig w:usb0="00000001" w:usb1="08070000" w:usb2="00000010" w:usb3="00000000" w:csb0="00020000" w:csb1="00000000"/>
  </w:font>
  <w:font w:name="HelveticaNeue-Bold">
    <w:panose1 w:val="00000000000000000000"/>
    <w:charset w:val="00"/>
    <w:family w:val="swiss"/>
    <w:notTrueType/>
    <w:pitch w:val="default"/>
    <w:sig w:usb0="00000003" w:usb1="00000000" w:usb2="00000000" w:usb3="00000000" w:csb0="00000001" w:csb1="00000000"/>
  </w:font>
  <w:font w:name="Arial Narrow Bold">
    <w:panose1 w:val="020B0706020202030204"/>
    <w:charset w:val="00"/>
    <w:family w:val="auto"/>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EAB385" w14:textId="77777777" w:rsidR="00592A7D" w:rsidRDefault="00592A7D" w:rsidP="008C5017">
    <w:pPr>
      <w:pStyle w:val="Footer"/>
      <w:framePr w:wrap="around" w:vAnchor="text" w:hAnchor="margin" w:xAlign="center" w:y="1"/>
    </w:pPr>
    <w:r>
      <w:fldChar w:fldCharType="begin"/>
    </w:r>
    <w:r>
      <w:instrText xml:space="preserve">PAGE  </w:instrText>
    </w:r>
    <w:r>
      <w:fldChar w:fldCharType="end"/>
    </w:r>
  </w:p>
  <w:p w14:paraId="11EAB386" w14:textId="77777777" w:rsidR="00592A7D" w:rsidRDefault="00592A7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EAB387" w14:textId="77777777" w:rsidR="00592A7D" w:rsidRDefault="00592A7D" w:rsidP="008C5017">
    <w:pPr>
      <w:pStyle w:val="Footer"/>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EAB389" w14:textId="77777777" w:rsidR="00592A7D" w:rsidRDefault="00592A7D" w:rsidP="008C5017">
    <w:pPr>
      <w:pStyle w:val="Footer"/>
      <w:pBdr>
        <w:top w:val="single" w:sz="12" w:space="1" w:color="000099"/>
      </w:pBdr>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8</w:t>
    </w:r>
    <w:r>
      <w:rPr>
        <w:rStyle w:val="PageNumber"/>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EAB38F" w14:textId="77777777" w:rsidR="00592A7D" w:rsidRDefault="00592A7D" w:rsidP="008C5017">
    <w:pPr>
      <w:pStyle w:val="Footer"/>
      <w:framePr w:w="660" w:wrap="around" w:vAnchor="text" w:hAnchor="page" w:x="5345" w:y="45"/>
      <w:spacing w:before="60"/>
    </w:pPr>
    <w:r>
      <w:fldChar w:fldCharType="begin"/>
    </w:r>
    <w:r>
      <w:instrText xml:space="preserve">PAGE  </w:instrText>
    </w:r>
    <w:r>
      <w:fldChar w:fldCharType="separate"/>
    </w:r>
    <w:r w:rsidR="00EF4C08">
      <w:rPr>
        <w:noProof/>
      </w:rPr>
      <w:t>iv</w:t>
    </w:r>
    <w:r>
      <w:rPr>
        <w:noProof/>
      </w:rPr>
      <w:fldChar w:fldCharType="end"/>
    </w:r>
  </w:p>
  <w:p w14:paraId="11EAB390" w14:textId="77777777" w:rsidR="00592A7D" w:rsidRDefault="00592A7D" w:rsidP="008C5017">
    <w:pPr>
      <w:pStyle w:val="Footer"/>
      <w:pBdr>
        <w:top w:val="single" w:sz="18" w:space="1" w:color="0070C0"/>
      </w:pBdr>
      <w:tabs>
        <w:tab w:val="clear" w:pos="8306"/>
      </w:tabs>
      <w:ind w:right="4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EAB392" w14:textId="77777777" w:rsidR="00592A7D" w:rsidRDefault="00592A7D" w:rsidP="008C5017">
    <w:pPr>
      <w:pStyle w:val="Footer"/>
      <w:framePr w:w="660" w:wrap="around" w:vAnchor="text" w:hAnchor="page" w:x="5345" w:y="45"/>
      <w:spacing w:before="60"/>
    </w:pPr>
    <w:r>
      <w:fldChar w:fldCharType="begin"/>
    </w:r>
    <w:r>
      <w:instrText xml:space="preserve">PAGE  </w:instrText>
    </w:r>
    <w:r>
      <w:fldChar w:fldCharType="separate"/>
    </w:r>
    <w:r w:rsidR="00EF4C08">
      <w:rPr>
        <w:noProof/>
      </w:rPr>
      <w:t>15</w:t>
    </w:r>
    <w:r>
      <w:rPr>
        <w:noProof/>
      </w:rPr>
      <w:fldChar w:fldCharType="end"/>
    </w:r>
  </w:p>
  <w:p w14:paraId="11EAB393" w14:textId="77777777" w:rsidR="00592A7D" w:rsidRDefault="00592A7D" w:rsidP="008C5017">
    <w:pPr>
      <w:pStyle w:val="Footer"/>
      <w:pBdr>
        <w:top w:val="single" w:sz="18" w:space="1" w:color="0070C0"/>
      </w:pBdr>
      <w:tabs>
        <w:tab w:val="clear" w:pos="8306"/>
      </w:tabs>
      <w:ind w:right="4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EAB394" w14:textId="77777777" w:rsidR="00592A7D" w:rsidRDefault="00592A7D" w:rsidP="008C5017">
    <w:pPr>
      <w:pStyle w:val="Footer"/>
      <w:framePr w:w="660" w:wrap="around" w:vAnchor="text" w:hAnchor="page" w:x="5345" w:y="45"/>
      <w:spacing w:before="60"/>
    </w:pPr>
    <w:r>
      <w:fldChar w:fldCharType="begin"/>
    </w:r>
    <w:r>
      <w:instrText xml:space="preserve">PAGE  </w:instrText>
    </w:r>
    <w:r>
      <w:fldChar w:fldCharType="separate"/>
    </w:r>
    <w:r w:rsidR="00EF4C08">
      <w:rPr>
        <w:noProof/>
      </w:rPr>
      <w:t>134</w:t>
    </w:r>
    <w:r>
      <w:rPr>
        <w:noProof/>
      </w:rPr>
      <w:fldChar w:fldCharType="end"/>
    </w:r>
  </w:p>
  <w:p w14:paraId="11EAB395" w14:textId="77777777" w:rsidR="00592A7D" w:rsidRDefault="00592A7D" w:rsidP="008C5017">
    <w:pPr>
      <w:pStyle w:val="Footer"/>
      <w:pBdr>
        <w:top w:val="single" w:sz="18" w:space="1" w:color="0070C0"/>
      </w:pBdr>
      <w:tabs>
        <w:tab w:val="clear" w:pos="8306"/>
      </w:tabs>
      <w:ind w:right="47"/>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EAB396" w14:textId="77777777" w:rsidR="00592A7D" w:rsidRDefault="00592A7D" w:rsidP="008C501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1EAB397" w14:textId="77777777" w:rsidR="00592A7D" w:rsidRDefault="00592A7D">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0E4F8C" w14:textId="77777777" w:rsidR="00592A7D" w:rsidRDefault="00592A7D" w:rsidP="008A1A24">
      <w:r>
        <w:separator/>
      </w:r>
    </w:p>
  </w:footnote>
  <w:footnote w:type="continuationSeparator" w:id="0">
    <w:p w14:paraId="492DF310" w14:textId="77777777" w:rsidR="00592A7D" w:rsidRDefault="00592A7D" w:rsidP="008A1A24">
      <w:r>
        <w:continuationSeparator/>
      </w:r>
    </w:p>
  </w:footnote>
  <w:footnote w:type="continuationNotice" w:id="1">
    <w:p w14:paraId="78EE0D16" w14:textId="77777777" w:rsidR="002C7079" w:rsidRDefault="002C7079">
      <w:pPr>
        <w:spacing w:after="0"/>
      </w:pPr>
    </w:p>
  </w:footnote>
  <w:footnote w:id="2">
    <w:p w14:paraId="4E613676" w14:textId="69CD715B" w:rsidR="00592A7D" w:rsidRPr="001974D4" w:rsidRDefault="00592A7D" w:rsidP="00FF78CC">
      <w:pPr>
        <w:pStyle w:val="FootnoteText"/>
        <w:rPr>
          <w:lang w:val="en-AU"/>
        </w:rPr>
      </w:pPr>
      <w:r>
        <w:rPr>
          <w:rStyle w:val="FootnoteReference"/>
        </w:rPr>
        <w:footnoteRef/>
      </w:r>
      <w:r>
        <w:rPr>
          <w:lang w:val="en-AU"/>
        </w:rPr>
        <w:t xml:space="preserve">Australian Government crown-of-thorns starfish management programme data supplied by Great Barrier Reef Marine Park Authority, Eye on the Reef. </w:t>
      </w:r>
    </w:p>
  </w:footnote>
  <w:footnote w:id="3">
    <w:p w14:paraId="4C37A183" w14:textId="7D244A30" w:rsidR="00592A7D" w:rsidRPr="004C0333" w:rsidRDefault="00592A7D" w:rsidP="008623AE">
      <w:pPr>
        <w:pStyle w:val="FootnoteText"/>
        <w:rPr>
          <w:lang w:val="en-AU"/>
        </w:rPr>
      </w:pPr>
      <w:r>
        <w:rPr>
          <w:rStyle w:val="FootnoteReference"/>
        </w:rPr>
        <w:footnoteRef/>
      </w:r>
      <w:r>
        <w:t xml:space="preserve"> </w:t>
      </w:r>
      <w:r w:rsidRPr="004C20BB">
        <w:rPr>
          <w:i/>
        </w:rPr>
        <w:t>Marine water quality indices produced by the Australian Bureau of Meteorology as a contribution to eReefs - a collaboration between the Great Barrier Reef Foundation, Australian Government</w:t>
      </w:r>
      <w:r>
        <w:rPr>
          <w:i/>
        </w:rPr>
        <w:t>,</w:t>
      </w:r>
      <w:r w:rsidRPr="004C20BB">
        <w:rPr>
          <w:i/>
        </w:rPr>
        <w:t xml:space="preserve"> Bureau of Meteorology, Commonwealth Scientific and Industrial Research Organisation, Australian Institute of Marine Science</w:t>
      </w:r>
      <w:r>
        <w:rPr>
          <w:i/>
        </w:rPr>
        <w:t xml:space="preserve"> and the Queensland Government.</w:t>
      </w:r>
      <w:r w:rsidRPr="004C20BB">
        <w:rPr>
          <w:i/>
        </w:rPr>
        <w:t xml:space="preserve"> Data are acquired from NASA spacecraft</w:t>
      </w:r>
      <w:r>
        <w:rPr>
          <w:i/>
        </w:rPr>
        <w:t xml:space="preserve">. </w:t>
      </w:r>
      <w:hyperlink r:id="rId1" w:history="1">
        <w:r w:rsidRPr="00270738">
          <w:rPr>
            <w:rStyle w:val="Hyperlink"/>
            <w:i/>
          </w:rPr>
          <w:t>http://www.bom.gov.au/marinewaterquality/</w:t>
        </w:r>
      </w:hyperlink>
      <w:r>
        <w:rPr>
          <w:i/>
        </w:rPr>
        <w:t xml:space="preserve">. Although the confidence in individual estimates of Chl a in turbid inshore waters is low the time averaged conditions do describe gradient that correspond to differences in benthic communities. </w:t>
      </w:r>
    </w:p>
    <w:p w14:paraId="0D3BEACC" w14:textId="77777777" w:rsidR="00592A7D" w:rsidRPr="00DA65CF" w:rsidRDefault="00592A7D" w:rsidP="008623AE">
      <w:pPr>
        <w:pStyle w:val="FootnoteText"/>
        <w:rPr>
          <w:lang w:val="en-AU"/>
        </w:rPr>
      </w:pPr>
    </w:p>
  </w:footnote>
  <w:footnote w:id="4">
    <w:p w14:paraId="728E73DF" w14:textId="743F0D7E" w:rsidR="00592A7D" w:rsidRPr="005B52B1" w:rsidRDefault="00592A7D">
      <w:pPr>
        <w:pStyle w:val="FootnoteText"/>
        <w:rPr>
          <w:lang w:val="en-AU"/>
        </w:rPr>
      </w:pPr>
      <w:r>
        <w:rPr>
          <w:rStyle w:val="FootnoteReference"/>
        </w:rPr>
        <w:footnoteRef/>
      </w:r>
      <w:r>
        <w:t xml:space="preserve"> </w:t>
      </w:r>
      <w:r w:rsidRPr="000F6A99">
        <w:t xml:space="preserve">ReefTemp Next Generation was developed through the Centre for Australian Weather and Climate Research (CAWCR) – a partnership between CSIRO and the Bureau of Meteorology (Garde </w:t>
      </w:r>
      <w:r w:rsidRPr="000F6A99">
        <w:rPr>
          <w:i/>
        </w:rPr>
        <w:t>et al.</w:t>
      </w:r>
      <w:r w:rsidRPr="000F6A99">
        <w:t xml:space="preserve"> 2014).</w:t>
      </w:r>
    </w:p>
  </w:footnote>
  <w:footnote w:id="5">
    <w:p w14:paraId="78757E7F" w14:textId="77777777" w:rsidR="00592A7D" w:rsidRPr="00F41217" w:rsidRDefault="00592A7D" w:rsidP="00F41217">
      <w:pPr>
        <w:pStyle w:val="FootnoteText"/>
        <w:rPr>
          <w:lang w:val="en-AU"/>
        </w:rPr>
      </w:pPr>
      <w:r>
        <w:rPr>
          <w:rStyle w:val="FootnoteReference"/>
        </w:rPr>
        <w:footnoteRef/>
      </w:r>
      <w:r>
        <w:t xml:space="preserve"> </w:t>
      </w:r>
      <w:r>
        <w:rPr>
          <w:lang w:val="en-AU"/>
        </w:rPr>
        <w:t>Australian Government crown-of-thorns starfish management programme data supplied by Great Barrier Reef Marine Park Authority, Eye on the Reef.</w:t>
      </w:r>
    </w:p>
    <w:p w14:paraId="4EBF9A2D" w14:textId="75848880" w:rsidR="00592A7D" w:rsidRPr="003066B1" w:rsidRDefault="00592A7D">
      <w:pPr>
        <w:pStyle w:val="FootnoteText"/>
        <w:rPr>
          <w:lang w:val="en-AU"/>
        </w:rPr>
      </w:pPr>
    </w:p>
  </w:footnote>
  <w:footnote w:id="6">
    <w:p w14:paraId="2C7F38A6" w14:textId="13ACFAC3" w:rsidR="00592A7D" w:rsidRPr="00F41217" w:rsidRDefault="00592A7D">
      <w:pPr>
        <w:pStyle w:val="FootnoteText"/>
        <w:rPr>
          <w:lang w:val="en-AU"/>
        </w:rPr>
      </w:pPr>
      <w:r>
        <w:rPr>
          <w:rStyle w:val="FootnoteReference"/>
        </w:rPr>
        <w:footnoteRef/>
      </w:r>
      <w:r>
        <w:t xml:space="preserve"> </w:t>
      </w:r>
      <w:r>
        <w:rPr>
          <w:lang w:val="en-AU"/>
        </w:rPr>
        <w:t>Australian Government Crown-Of-Thorns Starfish Management Programme data supplied by Great Barrier Reef Marine Park Authority, Eye on the Reef.</w:t>
      </w:r>
    </w:p>
  </w:footnote>
  <w:footnote w:id="7">
    <w:p w14:paraId="78C47B7E" w14:textId="45C6AB56" w:rsidR="00592A7D" w:rsidRPr="00F41217" w:rsidRDefault="00592A7D" w:rsidP="00F41217">
      <w:pPr>
        <w:pStyle w:val="FootnoteText"/>
        <w:rPr>
          <w:lang w:val="en-AU"/>
        </w:rPr>
      </w:pPr>
      <w:r>
        <w:rPr>
          <w:rStyle w:val="FootnoteReference"/>
        </w:rPr>
        <w:footnoteRef/>
      </w:r>
      <w:r>
        <w:t xml:space="preserve"> </w:t>
      </w:r>
      <w:r>
        <w:rPr>
          <w:lang w:val="en-AU"/>
        </w:rPr>
        <w:t>Australian Government Crown-Of-Thorns Starfish Management Programme data supplied by Great Barrier Reef Marine Park Authority, Eye on the Reef.</w:t>
      </w:r>
    </w:p>
    <w:p w14:paraId="69F220B4" w14:textId="374BFA0C" w:rsidR="00592A7D" w:rsidRPr="00F41217" w:rsidRDefault="00592A7D">
      <w:pPr>
        <w:pStyle w:val="FootnoteText"/>
        <w:rPr>
          <w:lang w:val="en-AU"/>
        </w:rPr>
      </w:pPr>
    </w:p>
  </w:footnote>
  <w:footnote w:id="8">
    <w:p w14:paraId="786AC11B" w14:textId="77777777" w:rsidR="00592A7D" w:rsidRPr="00F96ACA" w:rsidRDefault="00592A7D" w:rsidP="00A462A9">
      <w:pPr>
        <w:pStyle w:val="Reportrefs"/>
        <w:spacing w:after="120"/>
        <w:ind w:left="284" w:hanging="284"/>
        <w:rPr>
          <w:rFonts w:cs="Arial"/>
          <w:color w:val="0070C0"/>
          <w:sz w:val="22"/>
          <w:szCs w:val="22"/>
          <w:lang w:eastAsia="en-AU"/>
        </w:rPr>
      </w:pPr>
      <w:r>
        <w:rPr>
          <w:rStyle w:val="FootnoteReference"/>
        </w:rPr>
        <w:footnoteRef/>
      </w:r>
      <w:r>
        <w:t xml:space="preserve"> </w:t>
      </w:r>
      <w:r w:rsidRPr="004F3D40">
        <w:rPr>
          <w:rFonts w:cs="Arial"/>
          <w:sz w:val="20"/>
          <w:lang w:eastAsia="en-AU"/>
        </w:rPr>
        <w:t xml:space="preserve">Connie 2.0, CSIRO Connectivity Interface, </w:t>
      </w:r>
      <w:hyperlink r:id="rId2" w:history="1">
        <w:r>
          <w:rPr>
            <w:rStyle w:val="Hyperlink"/>
            <w:rFonts w:eastAsia="SimSun" w:cs="Arial"/>
            <w:color w:val="0070C0"/>
            <w:sz w:val="20"/>
            <w:lang w:eastAsia="en-AU"/>
          </w:rPr>
          <w:t>CSIRO connie2</w:t>
        </w:r>
      </w:hyperlink>
    </w:p>
  </w:footnote>
  <w:footnote w:id="9">
    <w:p w14:paraId="0486CEB2" w14:textId="77777777" w:rsidR="00592A7D" w:rsidRPr="004C0333" w:rsidRDefault="00592A7D" w:rsidP="00502A11">
      <w:pPr>
        <w:pStyle w:val="FootnoteText"/>
        <w:rPr>
          <w:lang w:val="en-AU"/>
        </w:rPr>
      </w:pPr>
      <w:r>
        <w:rPr>
          <w:rStyle w:val="FootnoteReference"/>
        </w:rPr>
        <w:footnoteRef/>
      </w:r>
      <w:r w:rsidRPr="004C20BB">
        <w:rPr>
          <w:i/>
        </w:rPr>
        <w:t>Marine water quality indices produced by the Australian Bureau of Meteorology as a contribution to eReefs - a collaboration between the Great Barrier Reef Foundation, Australian Government</w:t>
      </w:r>
      <w:r>
        <w:rPr>
          <w:i/>
        </w:rPr>
        <w:t>,</w:t>
      </w:r>
      <w:r w:rsidRPr="004C20BB">
        <w:rPr>
          <w:i/>
        </w:rPr>
        <w:t xml:space="preserve"> Bureau of Meteorology, Commonwealth Scientific and Industrial Research Organisation, Australian Institute of Marine Science</w:t>
      </w:r>
      <w:r>
        <w:rPr>
          <w:i/>
        </w:rPr>
        <w:t xml:space="preserve"> and the Queensland Government.</w:t>
      </w:r>
      <w:r w:rsidRPr="004C20BB">
        <w:rPr>
          <w:i/>
        </w:rPr>
        <w:t xml:space="preserve"> Data are acquired from NASA spacecraft</w:t>
      </w:r>
      <w:r>
        <w:rPr>
          <w:i/>
        </w:rPr>
        <w:t xml:space="preserve">. </w:t>
      </w:r>
      <w:r w:rsidRPr="0004665D">
        <w:rPr>
          <w:i/>
        </w:rPr>
        <w:t>http://www.bom.gov.au/marinewaterquality/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EAB384" w14:textId="77777777" w:rsidR="00592A7D" w:rsidRDefault="00592A7D" w:rsidP="008C5017">
    <w:pPr>
      <w:tabs>
        <w:tab w:val="left" w:pos="975"/>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EAB388" w14:textId="77777777" w:rsidR="00592A7D" w:rsidRDefault="00592A7D">
    <w:pPr>
      <w:pBdr>
        <w:bottom w:val="single" w:sz="6" w:space="1"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EAB38A" w14:textId="77777777" w:rsidR="00592A7D" w:rsidRDefault="00592A7D"/>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EAB38B" w14:textId="4937A9E8" w:rsidR="00592A7D" w:rsidRPr="00C15C2E" w:rsidRDefault="00592A7D" w:rsidP="008C5017">
    <w:pPr>
      <w:pBdr>
        <w:bottom w:val="single" w:sz="12" w:space="1" w:color="0070C0"/>
      </w:pBdr>
      <w:rPr>
        <w:rFonts w:cs="Arial"/>
        <w:sz w:val="18"/>
        <w:lang w:val="en-AU"/>
      </w:rPr>
    </w:pPr>
    <w:r>
      <w:rPr>
        <w:rFonts w:cs="Arial"/>
        <w:sz w:val="18"/>
        <w:lang w:val="en-AU"/>
      </w:rPr>
      <w:t>MMP</w:t>
    </w:r>
    <w:r w:rsidRPr="00C15C2E">
      <w:rPr>
        <w:rFonts w:cs="Arial"/>
        <w:sz w:val="18"/>
        <w:lang w:val="en-AU"/>
      </w:rPr>
      <w:tab/>
    </w:r>
    <w:r>
      <w:rPr>
        <w:rFonts w:cs="Arial"/>
        <w:sz w:val="18"/>
        <w:lang w:val="en-AU"/>
      </w:rPr>
      <w:tab/>
      <w:t xml:space="preserve">Annual Report for inshore </w:t>
    </w:r>
    <w:r w:rsidRPr="00C15C2E">
      <w:rPr>
        <w:rFonts w:cs="Arial"/>
        <w:sz w:val="18"/>
        <w:lang w:val="en-AU"/>
      </w:rPr>
      <w:t>coral reef monitoring</w:t>
    </w:r>
    <w:r>
      <w:rPr>
        <w:rFonts w:cs="Arial"/>
        <w:sz w:val="18"/>
        <w:lang w:val="en-AU"/>
      </w:rPr>
      <w:t xml:space="preserve"> 20</w:t>
    </w:r>
    <w:r w:rsidRPr="00C15C2E">
      <w:rPr>
        <w:rFonts w:cs="Arial"/>
        <w:sz w:val="18"/>
        <w:lang w:val="en-AU"/>
      </w:rPr>
      <w:t>1</w:t>
    </w:r>
    <w:r>
      <w:rPr>
        <w:rFonts w:cs="Arial"/>
        <w:sz w:val="18"/>
        <w:lang w:val="en-AU"/>
      </w:rPr>
      <w:t>6</w:t>
    </w:r>
  </w:p>
  <w:p w14:paraId="11EAB38C" w14:textId="77777777" w:rsidR="00592A7D" w:rsidRPr="00F17C15" w:rsidRDefault="00592A7D" w:rsidP="008C5017">
    <w:pPr>
      <w:pStyle w:val="Header"/>
      <w:pBdr>
        <w:bottom w:val="none" w:sz="0" w:space="0" w:color="auto"/>
      </w:pBdr>
      <w:rPr>
        <w:lang w:val="en-AU"/>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EAB38D" w14:textId="77777777" w:rsidR="00592A7D" w:rsidRDefault="00592A7D"/>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EAB38E" w14:textId="77777777" w:rsidR="00592A7D" w:rsidRDefault="00592A7D"/>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EAB391" w14:textId="77777777" w:rsidR="00592A7D" w:rsidRDefault="00592A7D"/>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EAB398" w14:textId="77777777" w:rsidR="00592A7D" w:rsidRPr="00262F5E" w:rsidRDefault="00592A7D" w:rsidP="008C5017">
    <w:pPr>
      <w:pBdr>
        <w:bottom w:val="single" w:sz="12" w:space="1" w:color="0070C0"/>
      </w:pBdr>
      <w:rPr>
        <w:sz w:val="20"/>
        <w:lang w:val="en-AU"/>
      </w:rPr>
    </w:pPr>
    <w:r w:rsidRPr="00262F5E">
      <w:rPr>
        <w:sz w:val="20"/>
        <w:lang w:val="en-AU"/>
      </w:rPr>
      <w:t>Reef Rescue Marine Monitoring Program</w:t>
    </w:r>
    <w:r w:rsidRPr="00262F5E">
      <w:rPr>
        <w:sz w:val="20"/>
        <w:lang w:val="en-AU"/>
      </w:rPr>
      <w:tab/>
    </w:r>
    <w:r>
      <w:rPr>
        <w:sz w:val="20"/>
        <w:lang w:val="en-AU"/>
      </w:rPr>
      <w:tab/>
    </w:r>
    <w:r w:rsidRPr="00262F5E">
      <w:rPr>
        <w:sz w:val="20"/>
        <w:lang w:val="en-AU"/>
      </w:rPr>
      <w:t>Inshore reef monitoring - Final Report 201</w:t>
    </w:r>
    <w:r>
      <w:rPr>
        <w:sz w:val="20"/>
        <w:lang w:val="en-AU"/>
      </w:rPr>
      <w:t>1</w:t>
    </w:r>
  </w:p>
  <w:p w14:paraId="11EAB399" w14:textId="77777777" w:rsidR="00592A7D" w:rsidRDefault="00592A7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654225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699CE45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5DD66196"/>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FBB27F0E"/>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F86AAFFA"/>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0669988"/>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47E62E2"/>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0546B15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88021F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1500CE1"/>
    <w:multiLevelType w:val="hybridMultilevel"/>
    <w:tmpl w:val="E2E03784"/>
    <w:lvl w:ilvl="0" w:tplc="33D2679E">
      <w:start w:val="1"/>
      <w:numFmt w:val="bullet"/>
      <w:lvlText w:val=""/>
      <w:lvlJc w:val="left"/>
      <w:pPr>
        <w:tabs>
          <w:tab w:val="num" w:pos="568"/>
        </w:tabs>
        <w:ind w:left="568" w:hanging="284"/>
      </w:pPr>
      <w:rPr>
        <w:rFonts w:ascii="Symbol" w:hAnsi="Symbol" w:hint="default"/>
        <w:color w:val="auto"/>
      </w:rPr>
    </w:lvl>
    <w:lvl w:ilvl="1" w:tplc="0C090003" w:tentative="1">
      <w:start w:val="1"/>
      <w:numFmt w:val="bullet"/>
      <w:lvlText w:val="o"/>
      <w:lvlJc w:val="left"/>
      <w:pPr>
        <w:tabs>
          <w:tab w:val="num" w:pos="1724"/>
        </w:tabs>
        <w:ind w:left="1724" w:hanging="360"/>
      </w:pPr>
      <w:rPr>
        <w:rFonts w:ascii="Courier New" w:hAnsi="Courier New" w:hint="default"/>
      </w:rPr>
    </w:lvl>
    <w:lvl w:ilvl="2" w:tplc="0C090005" w:tentative="1">
      <w:start w:val="1"/>
      <w:numFmt w:val="bullet"/>
      <w:lvlText w:val=""/>
      <w:lvlJc w:val="left"/>
      <w:pPr>
        <w:tabs>
          <w:tab w:val="num" w:pos="2444"/>
        </w:tabs>
        <w:ind w:left="2444" w:hanging="360"/>
      </w:pPr>
      <w:rPr>
        <w:rFonts w:ascii="Wingdings" w:hAnsi="Wingdings" w:hint="default"/>
      </w:rPr>
    </w:lvl>
    <w:lvl w:ilvl="3" w:tplc="0C090001" w:tentative="1">
      <w:start w:val="1"/>
      <w:numFmt w:val="bullet"/>
      <w:lvlText w:val=""/>
      <w:lvlJc w:val="left"/>
      <w:pPr>
        <w:tabs>
          <w:tab w:val="num" w:pos="3164"/>
        </w:tabs>
        <w:ind w:left="3164" w:hanging="360"/>
      </w:pPr>
      <w:rPr>
        <w:rFonts w:ascii="Symbol" w:hAnsi="Symbol" w:hint="default"/>
      </w:rPr>
    </w:lvl>
    <w:lvl w:ilvl="4" w:tplc="0C090003" w:tentative="1">
      <w:start w:val="1"/>
      <w:numFmt w:val="bullet"/>
      <w:lvlText w:val="o"/>
      <w:lvlJc w:val="left"/>
      <w:pPr>
        <w:tabs>
          <w:tab w:val="num" w:pos="3884"/>
        </w:tabs>
        <w:ind w:left="3884" w:hanging="360"/>
      </w:pPr>
      <w:rPr>
        <w:rFonts w:ascii="Courier New" w:hAnsi="Courier New" w:hint="default"/>
      </w:rPr>
    </w:lvl>
    <w:lvl w:ilvl="5" w:tplc="0C090005" w:tentative="1">
      <w:start w:val="1"/>
      <w:numFmt w:val="bullet"/>
      <w:lvlText w:val=""/>
      <w:lvlJc w:val="left"/>
      <w:pPr>
        <w:tabs>
          <w:tab w:val="num" w:pos="4604"/>
        </w:tabs>
        <w:ind w:left="4604" w:hanging="360"/>
      </w:pPr>
      <w:rPr>
        <w:rFonts w:ascii="Wingdings" w:hAnsi="Wingdings" w:hint="default"/>
      </w:rPr>
    </w:lvl>
    <w:lvl w:ilvl="6" w:tplc="0C090001" w:tentative="1">
      <w:start w:val="1"/>
      <w:numFmt w:val="bullet"/>
      <w:lvlText w:val=""/>
      <w:lvlJc w:val="left"/>
      <w:pPr>
        <w:tabs>
          <w:tab w:val="num" w:pos="5324"/>
        </w:tabs>
        <w:ind w:left="5324" w:hanging="360"/>
      </w:pPr>
      <w:rPr>
        <w:rFonts w:ascii="Symbol" w:hAnsi="Symbol" w:hint="default"/>
      </w:rPr>
    </w:lvl>
    <w:lvl w:ilvl="7" w:tplc="0C090003" w:tentative="1">
      <w:start w:val="1"/>
      <w:numFmt w:val="bullet"/>
      <w:lvlText w:val="o"/>
      <w:lvlJc w:val="left"/>
      <w:pPr>
        <w:tabs>
          <w:tab w:val="num" w:pos="6044"/>
        </w:tabs>
        <w:ind w:left="6044" w:hanging="360"/>
      </w:pPr>
      <w:rPr>
        <w:rFonts w:ascii="Courier New" w:hAnsi="Courier New" w:hint="default"/>
      </w:rPr>
    </w:lvl>
    <w:lvl w:ilvl="8" w:tplc="0C090005" w:tentative="1">
      <w:start w:val="1"/>
      <w:numFmt w:val="bullet"/>
      <w:lvlText w:val=""/>
      <w:lvlJc w:val="left"/>
      <w:pPr>
        <w:tabs>
          <w:tab w:val="num" w:pos="6764"/>
        </w:tabs>
        <w:ind w:left="6764" w:hanging="360"/>
      </w:pPr>
      <w:rPr>
        <w:rFonts w:ascii="Wingdings" w:hAnsi="Wingdings" w:hint="default"/>
      </w:rPr>
    </w:lvl>
  </w:abstractNum>
  <w:abstractNum w:abstractNumId="10" w15:restartNumberingAfterBreak="0">
    <w:nsid w:val="065F2D5F"/>
    <w:multiLevelType w:val="hybridMultilevel"/>
    <w:tmpl w:val="9438A8DE"/>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11" w15:restartNumberingAfterBreak="0">
    <w:nsid w:val="07D0643D"/>
    <w:multiLevelType w:val="hybridMultilevel"/>
    <w:tmpl w:val="5E2665BC"/>
    <w:lvl w:ilvl="0" w:tplc="498049FC">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08CE6A84"/>
    <w:multiLevelType w:val="hybridMultilevel"/>
    <w:tmpl w:val="45484CE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0D9240C5"/>
    <w:multiLevelType w:val="hybridMultilevel"/>
    <w:tmpl w:val="1C00ADAA"/>
    <w:lvl w:ilvl="0" w:tplc="F3AEF0D2">
      <w:start w:val="1"/>
      <w:numFmt w:val="lowerLetter"/>
      <w:lvlText w:val="%1)"/>
      <w:lvlJc w:val="left"/>
      <w:pPr>
        <w:ind w:left="720" w:hanging="360"/>
      </w:pPr>
      <w:rPr>
        <w:rFonts w:hint="default"/>
        <w:color w:val="000000"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0F8462E9"/>
    <w:multiLevelType w:val="hybridMultilevel"/>
    <w:tmpl w:val="AC40B228"/>
    <w:lvl w:ilvl="0" w:tplc="65D4107C">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102804C8"/>
    <w:multiLevelType w:val="multilevel"/>
    <w:tmpl w:val="FCB0A47A"/>
    <w:lvl w:ilvl="0">
      <w:start w:val="1"/>
      <w:numFmt w:val="decimal"/>
      <w:lvlText w:val="%1."/>
      <w:lvlJc w:val="left"/>
      <w:pPr>
        <w:ind w:left="360" w:hanging="360"/>
      </w:p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6" w15:restartNumberingAfterBreak="0">
    <w:nsid w:val="107F0FF6"/>
    <w:multiLevelType w:val="hybridMultilevel"/>
    <w:tmpl w:val="B038FE56"/>
    <w:lvl w:ilvl="0" w:tplc="EC643D18">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1C7C022C"/>
    <w:multiLevelType w:val="hybridMultilevel"/>
    <w:tmpl w:val="D4EAAEBC"/>
    <w:lvl w:ilvl="0" w:tplc="34D06A2E">
      <w:start w:val="1"/>
      <w:numFmt w:val="decimal"/>
      <w:lvlText w:val="%1."/>
      <w:lvlJc w:val="left"/>
      <w:pPr>
        <w:ind w:left="912" w:hanging="552"/>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210F66E8"/>
    <w:multiLevelType w:val="hybridMultilevel"/>
    <w:tmpl w:val="A5AE9C24"/>
    <w:lvl w:ilvl="0" w:tplc="0C09000F">
      <w:start w:val="1"/>
      <w:numFmt w:val="decimal"/>
      <w:lvlText w:val="%1."/>
      <w:lvlJc w:val="left"/>
      <w:pPr>
        <w:ind w:left="644"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2C7E1267"/>
    <w:multiLevelType w:val="hybridMultilevel"/>
    <w:tmpl w:val="3BBE4DE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304E6F38"/>
    <w:multiLevelType w:val="hybridMultilevel"/>
    <w:tmpl w:val="5BBA40EC"/>
    <w:lvl w:ilvl="0" w:tplc="14FEB962">
      <w:start w:val="1"/>
      <w:numFmt w:val="bullet"/>
      <w:pStyle w:val="CommentText"/>
      <w:lvlText w:val=""/>
      <w:lvlJc w:val="left"/>
      <w:pPr>
        <w:tabs>
          <w:tab w:val="num" w:pos="432"/>
        </w:tabs>
        <w:ind w:left="432" w:hanging="432"/>
      </w:pPr>
      <w:rPr>
        <w:rFonts w:ascii="Wingdings 2" w:hAnsi="Wingdings 2" w:hint="default"/>
        <w:color w:val="808080"/>
        <w:sz w:val="20"/>
      </w:rPr>
    </w:lvl>
    <w:lvl w:ilvl="1" w:tplc="0C090003">
      <w:start w:val="1"/>
      <w:numFmt w:val="bullet"/>
      <w:lvlText w:val="o"/>
      <w:lvlJc w:val="left"/>
      <w:pPr>
        <w:tabs>
          <w:tab w:val="num" w:pos="1495"/>
        </w:tabs>
        <w:ind w:left="1495"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3B56B8E"/>
    <w:multiLevelType w:val="hybridMultilevel"/>
    <w:tmpl w:val="287EBDB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33C53C0B"/>
    <w:multiLevelType w:val="hybridMultilevel"/>
    <w:tmpl w:val="4782A1A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3" w15:restartNumberingAfterBreak="0">
    <w:nsid w:val="34CA552B"/>
    <w:multiLevelType w:val="hybridMultilevel"/>
    <w:tmpl w:val="32544C5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3A1750D3"/>
    <w:multiLevelType w:val="hybridMultilevel"/>
    <w:tmpl w:val="CA2A2B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3FB301A3"/>
    <w:multiLevelType w:val="multilevel"/>
    <w:tmpl w:val="5A583B8C"/>
    <w:lvl w:ilvl="0">
      <w:start w:val="1"/>
      <w:numFmt w:val="decimal"/>
      <w:lvlText w:val="%1"/>
      <w:lvlJc w:val="left"/>
      <w:pPr>
        <w:ind w:left="360" w:hanging="360"/>
      </w:pPr>
      <w:rPr>
        <w:rFonts w:hint="default"/>
      </w:rPr>
    </w:lvl>
    <w:lvl w:ilvl="1">
      <w:start w:val="2"/>
      <w:numFmt w:val="decimal"/>
      <w:isLgl/>
      <w:lvlText w:val="%1.%2"/>
      <w:lvlJc w:val="left"/>
      <w:pPr>
        <w:ind w:left="885" w:hanging="52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400001BF"/>
    <w:multiLevelType w:val="hybridMultilevel"/>
    <w:tmpl w:val="63588A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400F44B2"/>
    <w:multiLevelType w:val="hybridMultilevel"/>
    <w:tmpl w:val="7C1CBDF0"/>
    <w:lvl w:ilvl="0" w:tplc="4E8A7D32">
      <w:start w:val="9"/>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15:restartNumberingAfterBreak="0">
    <w:nsid w:val="41040146"/>
    <w:multiLevelType w:val="hybridMultilevel"/>
    <w:tmpl w:val="A5AE9C24"/>
    <w:lvl w:ilvl="0" w:tplc="0C09000F">
      <w:start w:val="1"/>
      <w:numFmt w:val="decimal"/>
      <w:lvlText w:val="%1."/>
      <w:lvlJc w:val="left"/>
      <w:pPr>
        <w:ind w:left="644"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475E3208"/>
    <w:multiLevelType w:val="hybridMultilevel"/>
    <w:tmpl w:val="DBC0E3E4"/>
    <w:lvl w:ilvl="0" w:tplc="B9E41108">
      <w:start w:val="7"/>
      <w:numFmt w:val="decimal"/>
      <w:lvlText w:val="%1."/>
      <w:lvlJc w:val="left"/>
      <w:pPr>
        <w:ind w:left="644" w:hanging="360"/>
      </w:pPr>
      <w:rPr>
        <w:rFonts w:hint="default"/>
      </w:rPr>
    </w:lvl>
    <w:lvl w:ilvl="1" w:tplc="0C090019" w:tentative="1">
      <w:start w:val="1"/>
      <w:numFmt w:val="lowerLetter"/>
      <w:lvlText w:val="%2."/>
      <w:lvlJc w:val="left"/>
      <w:pPr>
        <w:ind w:left="1364" w:hanging="360"/>
      </w:pPr>
    </w:lvl>
    <w:lvl w:ilvl="2" w:tplc="0C09001B" w:tentative="1">
      <w:start w:val="1"/>
      <w:numFmt w:val="lowerRoman"/>
      <w:lvlText w:val="%3."/>
      <w:lvlJc w:val="right"/>
      <w:pPr>
        <w:ind w:left="2084" w:hanging="180"/>
      </w:pPr>
    </w:lvl>
    <w:lvl w:ilvl="3" w:tplc="0C09000F" w:tentative="1">
      <w:start w:val="1"/>
      <w:numFmt w:val="decimal"/>
      <w:lvlText w:val="%4."/>
      <w:lvlJc w:val="left"/>
      <w:pPr>
        <w:ind w:left="2804" w:hanging="360"/>
      </w:pPr>
    </w:lvl>
    <w:lvl w:ilvl="4" w:tplc="0C090019" w:tentative="1">
      <w:start w:val="1"/>
      <w:numFmt w:val="lowerLetter"/>
      <w:lvlText w:val="%5."/>
      <w:lvlJc w:val="left"/>
      <w:pPr>
        <w:ind w:left="3524" w:hanging="360"/>
      </w:pPr>
    </w:lvl>
    <w:lvl w:ilvl="5" w:tplc="0C09001B" w:tentative="1">
      <w:start w:val="1"/>
      <w:numFmt w:val="lowerRoman"/>
      <w:lvlText w:val="%6."/>
      <w:lvlJc w:val="right"/>
      <w:pPr>
        <w:ind w:left="4244" w:hanging="180"/>
      </w:pPr>
    </w:lvl>
    <w:lvl w:ilvl="6" w:tplc="0C09000F" w:tentative="1">
      <w:start w:val="1"/>
      <w:numFmt w:val="decimal"/>
      <w:lvlText w:val="%7."/>
      <w:lvlJc w:val="left"/>
      <w:pPr>
        <w:ind w:left="4964" w:hanging="360"/>
      </w:pPr>
    </w:lvl>
    <w:lvl w:ilvl="7" w:tplc="0C090019" w:tentative="1">
      <w:start w:val="1"/>
      <w:numFmt w:val="lowerLetter"/>
      <w:lvlText w:val="%8."/>
      <w:lvlJc w:val="left"/>
      <w:pPr>
        <w:ind w:left="5684" w:hanging="360"/>
      </w:pPr>
    </w:lvl>
    <w:lvl w:ilvl="8" w:tplc="0C09001B" w:tentative="1">
      <w:start w:val="1"/>
      <w:numFmt w:val="lowerRoman"/>
      <w:lvlText w:val="%9."/>
      <w:lvlJc w:val="right"/>
      <w:pPr>
        <w:ind w:left="6404" w:hanging="180"/>
      </w:pPr>
    </w:lvl>
  </w:abstractNum>
  <w:abstractNum w:abstractNumId="30" w15:restartNumberingAfterBreak="0">
    <w:nsid w:val="49922A11"/>
    <w:multiLevelType w:val="hybridMultilevel"/>
    <w:tmpl w:val="2C9CEA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4AD630A1"/>
    <w:multiLevelType w:val="hybridMultilevel"/>
    <w:tmpl w:val="989644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4EA66BCA"/>
    <w:multiLevelType w:val="hybridMultilevel"/>
    <w:tmpl w:val="9C62036E"/>
    <w:lvl w:ilvl="0" w:tplc="8004B148">
      <w:start w:val="1"/>
      <w:numFmt w:val="lowerRoman"/>
      <w:lvlText w:val="%1."/>
      <w:lvlJc w:val="left"/>
      <w:pPr>
        <w:ind w:left="1440" w:hanging="72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33" w15:restartNumberingAfterBreak="0">
    <w:nsid w:val="551B34D6"/>
    <w:multiLevelType w:val="hybridMultilevel"/>
    <w:tmpl w:val="13A4B944"/>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34" w15:restartNumberingAfterBreak="0">
    <w:nsid w:val="6251794B"/>
    <w:multiLevelType w:val="hybridMultilevel"/>
    <w:tmpl w:val="353A3BEE"/>
    <w:lvl w:ilvl="0" w:tplc="A6905AA8">
      <w:start w:val="10"/>
      <w:numFmt w:val="decimal"/>
      <w:lvlText w:val="%1"/>
      <w:lvlJc w:val="left"/>
      <w:pPr>
        <w:ind w:left="785" w:hanging="360"/>
      </w:pPr>
      <w:rPr>
        <w:rFonts w:hint="default"/>
      </w:rPr>
    </w:lvl>
    <w:lvl w:ilvl="1" w:tplc="0C090019" w:tentative="1">
      <w:start w:val="1"/>
      <w:numFmt w:val="lowerLetter"/>
      <w:lvlText w:val="%2."/>
      <w:lvlJc w:val="left"/>
      <w:pPr>
        <w:ind w:left="1505" w:hanging="360"/>
      </w:pPr>
    </w:lvl>
    <w:lvl w:ilvl="2" w:tplc="0C09001B" w:tentative="1">
      <w:start w:val="1"/>
      <w:numFmt w:val="lowerRoman"/>
      <w:lvlText w:val="%3."/>
      <w:lvlJc w:val="right"/>
      <w:pPr>
        <w:ind w:left="2225" w:hanging="180"/>
      </w:pPr>
    </w:lvl>
    <w:lvl w:ilvl="3" w:tplc="0C09000F" w:tentative="1">
      <w:start w:val="1"/>
      <w:numFmt w:val="decimal"/>
      <w:lvlText w:val="%4."/>
      <w:lvlJc w:val="left"/>
      <w:pPr>
        <w:ind w:left="2945" w:hanging="360"/>
      </w:pPr>
    </w:lvl>
    <w:lvl w:ilvl="4" w:tplc="0C090019" w:tentative="1">
      <w:start w:val="1"/>
      <w:numFmt w:val="lowerLetter"/>
      <w:lvlText w:val="%5."/>
      <w:lvlJc w:val="left"/>
      <w:pPr>
        <w:ind w:left="3665" w:hanging="360"/>
      </w:pPr>
    </w:lvl>
    <w:lvl w:ilvl="5" w:tplc="0C09001B" w:tentative="1">
      <w:start w:val="1"/>
      <w:numFmt w:val="lowerRoman"/>
      <w:lvlText w:val="%6."/>
      <w:lvlJc w:val="right"/>
      <w:pPr>
        <w:ind w:left="4385" w:hanging="180"/>
      </w:pPr>
    </w:lvl>
    <w:lvl w:ilvl="6" w:tplc="0C09000F" w:tentative="1">
      <w:start w:val="1"/>
      <w:numFmt w:val="decimal"/>
      <w:lvlText w:val="%7."/>
      <w:lvlJc w:val="left"/>
      <w:pPr>
        <w:ind w:left="5105" w:hanging="360"/>
      </w:pPr>
    </w:lvl>
    <w:lvl w:ilvl="7" w:tplc="0C090019" w:tentative="1">
      <w:start w:val="1"/>
      <w:numFmt w:val="lowerLetter"/>
      <w:lvlText w:val="%8."/>
      <w:lvlJc w:val="left"/>
      <w:pPr>
        <w:ind w:left="5825" w:hanging="360"/>
      </w:pPr>
    </w:lvl>
    <w:lvl w:ilvl="8" w:tplc="0C09001B" w:tentative="1">
      <w:start w:val="1"/>
      <w:numFmt w:val="lowerRoman"/>
      <w:lvlText w:val="%9."/>
      <w:lvlJc w:val="right"/>
      <w:pPr>
        <w:ind w:left="6545" w:hanging="180"/>
      </w:pPr>
    </w:lvl>
  </w:abstractNum>
  <w:abstractNum w:abstractNumId="35" w15:restartNumberingAfterBreak="0">
    <w:nsid w:val="659F5D01"/>
    <w:multiLevelType w:val="hybridMultilevel"/>
    <w:tmpl w:val="55AE856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6CC874CA"/>
    <w:multiLevelType w:val="hybridMultilevel"/>
    <w:tmpl w:val="8A1821CE"/>
    <w:lvl w:ilvl="0" w:tplc="937A33B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7" w15:restartNumberingAfterBreak="0">
    <w:nsid w:val="70B10FC6"/>
    <w:multiLevelType w:val="hybridMultilevel"/>
    <w:tmpl w:val="709C98AC"/>
    <w:lvl w:ilvl="0" w:tplc="AE129CEA">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8" w15:restartNumberingAfterBreak="0">
    <w:nsid w:val="7B4E2C9B"/>
    <w:multiLevelType w:val="hybridMultilevel"/>
    <w:tmpl w:val="38B25D90"/>
    <w:lvl w:ilvl="0" w:tplc="B9AA6640">
      <w:start w:val="1"/>
      <w:numFmt w:val="lowerLetter"/>
      <w:lvlText w:val="%1)"/>
      <w:lvlJc w:val="left"/>
      <w:pPr>
        <w:ind w:left="450" w:hanging="360"/>
      </w:pPr>
      <w:rPr>
        <w:rFonts w:hint="default"/>
      </w:rPr>
    </w:lvl>
    <w:lvl w:ilvl="1" w:tplc="0C090019" w:tentative="1">
      <w:start w:val="1"/>
      <w:numFmt w:val="lowerLetter"/>
      <w:lvlText w:val="%2."/>
      <w:lvlJc w:val="left"/>
      <w:pPr>
        <w:ind w:left="1170" w:hanging="360"/>
      </w:pPr>
    </w:lvl>
    <w:lvl w:ilvl="2" w:tplc="0C09001B" w:tentative="1">
      <w:start w:val="1"/>
      <w:numFmt w:val="lowerRoman"/>
      <w:lvlText w:val="%3."/>
      <w:lvlJc w:val="right"/>
      <w:pPr>
        <w:ind w:left="1890" w:hanging="180"/>
      </w:pPr>
    </w:lvl>
    <w:lvl w:ilvl="3" w:tplc="0C09000F" w:tentative="1">
      <w:start w:val="1"/>
      <w:numFmt w:val="decimal"/>
      <w:lvlText w:val="%4."/>
      <w:lvlJc w:val="left"/>
      <w:pPr>
        <w:ind w:left="2610" w:hanging="360"/>
      </w:pPr>
    </w:lvl>
    <w:lvl w:ilvl="4" w:tplc="0C090019" w:tentative="1">
      <w:start w:val="1"/>
      <w:numFmt w:val="lowerLetter"/>
      <w:lvlText w:val="%5."/>
      <w:lvlJc w:val="left"/>
      <w:pPr>
        <w:ind w:left="3330" w:hanging="360"/>
      </w:pPr>
    </w:lvl>
    <w:lvl w:ilvl="5" w:tplc="0C09001B" w:tentative="1">
      <w:start w:val="1"/>
      <w:numFmt w:val="lowerRoman"/>
      <w:lvlText w:val="%6."/>
      <w:lvlJc w:val="right"/>
      <w:pPr>
        <w:ind w:left="4050" w:hanging="180"/>
      </w:pPr>
    </w:lvl>
    <w:lvl w:ilvl="6" w:tplc="0C09000F" w:tentative="1">
      <w:start w:val="1"/>
      <w:numFmt w:val="decimal"/>
      <w:lvlText w:val="%7."/>
      <w:lvlJc w:val="left"/>
      <w:pPr>
        <w:ind w:left="4770" w:hanging="360"/>
      </w:pPr>
    </w:lvl>
    <w:lvl w:ilvl="7" w:tplc="0C090019" w:tentative="1">
      <w:start w:val="1"/>
      <w:numFmt w:val="lowerLetter"/>
      <w:lvlText w:val="%8."/>
      <w:lvlJc w:val="left"/>
      <w:pPr>
        <w:ind w:left="5490" w:hanging="360"/>
      </w:pPr>
    </w:lvl>
    <w:lvl w:ilvl="8" w:tplc="0C09001B" w:tentative="1">
      <w:start w:val="1"/>
      <w:numFmt w:val="lowerRoman"/>
      <w:lvlText w:val="%9."/>
      <w:lvlJc w:val="right"/>
      <w:pPr>
        <w:ind w:left="6210" w:hanging="180"/>
      </w:pPr>
    </w:lvl>
  </w:abstractNum>
  <w:abstractNum w:abstractNumId="39" w15:restartNumberingAfterBreak="0">
    <w:nsid w:val="7CBC7FA7"/>
    <w:multiLevelType w:val="hybridMultilevel"/>
    <w:tmpl w:val="0BAC4A5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0" w15:restartNumberingAfterBreak="0">
    <w:nsid w:val="7F5373F4"/>
    <w:multiLevelType w:val="multilevel"/>
    <w:tmpl w:val="E0D854B8"/>
    <w:lvl w:ilvl="0">
      <w:start w:val="1"/>
      <w:numFmt w:val="decimal"/>
      <w:lvlText w:val="%1."/>
      <w:lvlJc w:val="left"/>
      <w:pPr>
        <w:tabs>
          <w:tab w:val="num" w:pos="360"/>
        </w:tabs>
        <w:ind w:left="360" w:hanging="360"/>
      </w:pPr>
      <w:rPr>
        <w:rFonts w:cs="Times New Roman" w:hint="default"/>
      </w:rPr>
    </w:lvl>
    <w:lvl w:ilvl="1">
      <w:start w:val="3"/>
      <w:numFmt w:val="decimal"/>
      <w:isLgl/>
      <w:lvlText w:val="%1.%2"/>
      <w:lvlJc w:val="left"/>
      <w:pPr>
        <w:ind w:left="720" w:hanging="72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1" w15:restartNumberingAfterBreak="0">
    <w:nsid w:val="7F622C0A"/>
    <w:multiLevelType w:val="multilevel"/>
    <w:tmpl w:val="1BB43944"/>
    <w:lvl w:ilvl="0">
      <w:start w:val="4"/>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0"/>
  </w:num>
  <w:num w:numId="2">
    <w:abstractNumId w:val="19"/>
  </w:num>
  <w:num w:numId="3">
    <w:abstractNumId w:val="9"/>
  </w:num>
  <w:num w:numId="4">
    <w:abstractNumId w:val="8"/>
  </w:num>
  <w:num w:numId="5">
    <w:abstractNumId w:val="6"/>
  </w:num>
  <w:num w:numId="6">
    <w:abstractNumId w:val="5"/>
  </w:num>
  <w:num w:numId="7">
    <w:abstractNumId w:val="4"/>
  </w:num>
  <w:num w:numId="8">
    <w:abstractNumId w:val="7"/>
  </w:num>
  <w:num w:numId="9">
    <w:abstractNumId w:val="3"/>
  </w:num>
  <w:num w:numId="10">
    <w:abstractNumId w:val="2"/>
  </w:num>
  <w:num w:numId="11">
    <w:abstractNumId w:val="1"/>
  </w:num>
  <w:num w:numId="12">
    <w:abstractNumId w:val="0"/>
  </w:num>
  <w:num w:numId="13">
    <w:abstractNumId w:val="17"/>
  </w:num>
  <w:num w:numId="14">
    <w:abstractNumId w:val="10"/>
  </w:num>
  <w:num w:numId="15">
    <w:abstractNumId w:val="30"/>
  </w:num>
  <w:num w:numId="16">
    <w:abstractNumId w:val="40"/>
  </w:num>
  <w:num w:numId="17">
    <w:abstractNumId w:val="40"/>
  </w:num>
  <w:num w:numId="18">
    <w:abstractNumId w:val="40"/>
    <w:lvlOverride w:ilvl="0">
      <w:startOverride w:val="8"/>
    </w:lvlOverride>
    <w:lvlOverride w:ilvl="1">
      <w:startOverride w:val="3"/>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num>
  <w:num w:numId="20">
    <w:abstractNumId w:val="15"/>
  </w:num>
  <w:num w:numId="21">
    <w:abstractNumId w:val="13"/>
  </w:num>
  <w:num w:numId="22">
    <w:abstractNumId w:val="36"/>
  </w:num>
  <w:num w:numId="23">
    <w:abstractNumId w:val="26"/>
  </w:num>
  <w:num w:numId="24">
    <w:abstractNumId w:val="22"/>
  </w:num>
  <w:num w:numId="25">
    <w:abstractNumId w:val="12"/>
  </w:num>
  <w:num w:numId="26">
    <w:abstractNumId w:val="33"/>
  </w:num>
  <w:num w:numId="27">
    <w:abstractNumId w:val="21"/>
  </w:num>
  <w:num w:numId="28">
    <w:abstractNumId w:val="23"/>
  </w:num>
  <w:num w:numId="29">
    <w:abstractNumId w:val="37"/>
  </w:num>
  <w:num w:numId="30">
    <w:abstractNumId w:val="29"/>
  </w:num>
  <w:num w:numId="31">
    <w:abstractNumId w:val="40"/>
    <w:lvlOverride w:ilvl="0">
      <w:startOverride w:val="5"/>
    </w:lvlOverride>
    <w:lvlOverride w:ilvl="1">
      <w:startOverride w:val="7"/>
    </w:lvlOverride>
  </w:num>
  <w:num w:numId="32">
    <w:abstractNumId w:val="40"/>
    <w:lvlOverride w:ilvl="0">
      <w:startOverride w:val="5"/>
    </w:lvlOverride>
    <w:lvlOverride w:ilvl="1">
      <w:startOverride w:val="7"/>
    </w:lvlOverride>
  </w:num>
  <w:num w:numId="33">
    <w:abstractNumId w:val="40"/>
    <w:lvlOverride w:ilvl="0">
      <w:startOverride w:val="5"/>
    </w:lvlOverride>
    <w:lvlOverride w:ilvl="1">
      <w:startOverride w:val="6"/>
    </w:lvlOverride>
  </w:num>
  <w:num w:numId="34">
    <w:abstractNumId w:val="40"/>
    <w:lvlOverride w:ilvl="0">
      <w:startOverride w:val="5"/>
    </w:lvlOverride>
    <w:lvlOverride w:ilvl="1">
      <w:startOverride w:val="7"/>
    </w:lvlOverride>
  </w:num>
  <w:num w:numId="35">
    <w:abstractNumId w:val="40"/>
    <w:lvlOverride w:ilvl="0">
      <w:startOverride w:val="7"/>
    </w:lvlOverride>
  </w:num>
  <w:num w:numId="36">
    <w:abstractNumId w:val="28"/>
  </w:num>
  <w:num w:numId="37">
    <w:abstractNumId w:val="18"/>
  </w:num>
  <w:num w:numId="38">
    <w:abstractNumId w:val="41"/>
  </w:num>
  <w:num w:numId="39">
    <w:abstractNumId w:val="11"/>
  </w:num>
  <w:num w:numId="40">
    <w:abstractNumId w:val="27"/>
  </w:num>
  <w:num w:numId="41">
    <w:abstractNumId w:val="16"/>
  </w:num>
  <w:num w:numId="42">
    <w:abstractNumId w:val="25"/>
  </w:num>
  <w:num w:numId="43">
    <w:abstractNumId w:val="34"/>
  </w:num>
  <w:num w:numId="44">
    <w:abstractNumId w:val="35"/>
  </w:num>
  <w:num w:numId="45">
    <w:abstractNumId w:val="32"/>
  </w:num>
  <w:num w:numId="46">
    <w:abstractNumId w:val="31"/>
  </w:num>
  <w:num w:numId="47">
    <w:abstractNumId w:val="24"/>
  </w:num>
  <w:num w:numId="48">
    <w:abstractNumId w:val="39"/>
  </w:num>
  <w:num w:numId="49">
    <w:abstractNumId w:val="1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removePersonalInformation/>
  <w:removeDateAndTime/>
  <w:hideSpellingErrors/>
  <w:hideGrammaticalErrors/>
  <w:stylePaneFormatFilter w:val="1321" w:allStyles="1" w:customStyles="0" w:latentStyles="0" w:stylesInUse="0" w:headingStyles="1" w:numberingStyles="0" w:tableStyles="0" w:directFormattingOnRuns="1" w:directFormattingOnParagraphs="1" w:directFormattingOnNumbering="0" w:directFormattingOnTables="0" w:clearFormatting="1" w:top3HeadingStyles="0" w:visibleStyles="0" w:alternateStyleNames="0"/>
  <w:stylePaneSortMethod w:val="0004"/>
  <w:defaultTabStop w:val="720"/>
  <w:characterSpacingControl w:val="doNotCompress"/>
  <w:hdrShapeDefaults>
    <o:shapedefaults v:ext="edit" spidmax="14337"/>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A24"/>
    <w:rsid w:val="00000F96"/>
    <w:rsid w:val="00001113"/>
    <w:rsid w:val="00001850"/>
    <w:rsid w:val="00001956"/>
    <w:rsid w:val="00001B54"/>
    <w:rsid w:val="00002DE9"/>
    <w:rsid w:val="000032B7"/>
    <w:rsid w:val="00005EE4"/>
    <w:rsid w:val="000064C6"/>
    <w:rsid w:val="0000691A"/>
    <w:rsid w:val="000114F1"/>
    <w:rsid w:val="00011813"/>
    <w:rsid w:val="0001199E"/>
    <w:rsid w:val="000119B3"/>
    <w:rsid w:val="00011FFD"/>
    <w:rsid w:val="00012CD2"/>
    <w:rsid w:val="0001401C"/>
    <w:rsid w:val="00014DCC"/>
    <w:rsid w:val="00015475"/>
    <w:rsid w:val="00015CB5"/>
    <w:rsid w:val="0001634C"/>
    <w:rsid w:val="00016545"/>
    <w:rsid w:val="0001659C"/>
    <w:rsid w:val="00016CD2"/>
    <w:rsid w:val="0001742D"/>
    <w:rsid w:val="000176B0"/>
    <w:rsid w:val="000205B0"/>
    <w:rsid w:val="00023B99"/>
    <w:rsid w:val="000260D6"/>
    <w:rsid w:val="000262C7"/>
    <w:rsid w:val="00026729"/>
    <w:rsid w:val="00026F17"/>
    <w:rsid w:val="00026F73"/>
    <w:rsid w:val="0003000F"/>
    <w:rsid w:val="0003155D"/>
    <w:rsid w:val="00032785"/>
    <w:rsid w:val="00033CE3"/>
    <w:rsid w:val="000350F4"/>
    <w:rsid w:val="000355B6"/>
    <w:rsid w:val="000365CC"/>
    <w:rsid w:val="000366D3"/>
    <w:rsid w:val="00040878"/>
    <w:rsid w:val="00042894"/>
    <w:rsid w:val="000449B0"/>
    <w:rsid w:val="00044E50"/>
    <w:rsid w:val="000450E7"/>
    <w:rsid w:val="000450F4"/>
    <w:rsid w:val="0004538B"/>
    <w:rsid w:val="00045814"/>
    <w:rsid w:val="000462E4"/>
    <w:rsid w:val="0004665D"/>
    <w:rsid w:val="000503AA"/>
    <w:rsid w:val="00050A54"/>
    <w:rsid w:val="00051C52"/>
    <w:rsid w:val="00052100"/>
    <w:rsid w:val="00052402"/>
    <w:rsid w:val="00052B5C"/>
    <w:rsid w:val="00056F6C"/>
    <w:rsid w:val="000604E3"/>
    <w:rsid w:val="00060CD2"/>
    <w:rsid w:val="000610B6"/>
    <w:rsid w:val="0006421A"/>
    <w:rsid w:val="00064605"/>
    <w:rsid w:val="00064D5B"/>
    <w:rsid w:val="0006571C"/>
    <w:rsid w:val="00065B97"/>
    <w:rsid w:val="00065C74"/>
    <w:rsid w:val="00070F75"/>
    <w:rsid w:val="00072F4D"/>
    <w:rsid w:val="00073257"/>
    <w:rsid w:val="00074884"/>
    <w:rsid w:val="00074B4A"/>
    <w:rsid w:val="00075887"/>
    <w:rsid w:val="0007644B"/>
    <w:rsid w:val="00076BF0"/>
    <w:rsid w:val="00077039"/>
    <w:rsid w:val="00077C66"/>
    <w:rsid w:val="00080723"/>
    <w:rsid w:val="00082358"/>
    <w:rsid w:val="000826D3"/>
    <w:rsid w:val="0008295B"/>
    <w:rsid w:val="00084053"/>
    <w:rsid w:val="00084218"/>
    <w:rsid w:val="00084CC6"/>
    <w:rsid w:val="00084D09"/>
    <w:rsid w:val="00084D7B"/>
    <w:rsid w:val="00084E4E"/>
    <w:rsid w:val="00085A53"/>
    <w:rsid w:val="00085F46"/>
    <w:rsid w:val="0008674E"/>
    <w:rsid w:val="00086ADB"/>
    <w:rsid w:val="0008768B"/>
    <w:rsid w:val="00090035"/>
    <w:rsid w:val="0009044B"/>
    <w:rsid w:val="00090BCC"/>
    <w:rsid w:val="00090C49"/>
    <w:rsid w:val="00094507"/>
    <w:rsid w:val="00094EF6"/>
    <w:rsid w:val="000954E2"/>
    <w:rsid w:val="000963B0"/>
    <w:rsid w:val="00096694"/>
    <w:rsid w:val="00096767"/>
    <w:rsid w:val="00096B73"/>
    <w:rsid w:val="00096D9A"/>
    <w:rsid w:val="00097F55"/>
    <w:rsid w:val="000A07D2"/>
    <w:rsid w:val="000A0CE6"/>
    <w:rsid w:val="000A1FF6"/>
    <w:rsid w:val="000A2218"/>
    <w:rsid w:val="000A241F"/>
    <w:rsid w:val="000A2C55"/>
    <w:rsid w:val="000A3DCB"/>
    <w:rsid w:val="000A4629"/>
    <w:rsid w:val="000A5211"/>
    <w:rsid w:val="000A6F9A"/>
    <w:rsid w:val="000A7571"/>
    <w:rsid w:val="000B052D"/>
    <w:rsid w:val="000B1196"/>
    <w:rsid w:val="000B196D"/>
    <w:rsid w:val="000B2FC5"/>
    <w:rsid w:val="000B32D5"/>
    <w:rsid w:val="000B3897"/>
    <w:rsid w:val="000B3BDF"/>
    <w:rsid w:val="000B42CD"/>
    <w:rsid w:val="000B5CDC"/>
    <w:rsid w:val="000B75FF"/>
    <w:rsid w:val="000C099F"/>
    <w:rsid w:val="000C1EF8"/>
    <w:rsid w:val="000C31DB"/>
    <w:rsid w:val="000C6376"/>
    <w:rsid w:val="000C6FB1"/>
    <w:rsid w:val="000C6FCB"/>
    <w:rsid w:val="000C7063"/>
    <w:rsid w:val="000D07AE"/>
    <w:rsid w:val="000D1395"/>
    <w:rsid w:val="000D268E"/>
    <w:rsid w:val="000D2DB2"/>
    <w:rsid w:val="000D5D89"/>
    <w:rsid w:val="000E09B7"/>
    <w:rsid w:val="000E128F"/>
    <w:rsid w:val="000E4124"/>
    <w:rsid w:val="000E470B"/>
    <w:rsid w:val="000E4B7F"/>
    <w:rsid w:val="000E5535"/>
    <w:rsid w:val="000E691C"/>
    <w:rsid w:val="000E6D75"/>
    <w:rsid w:val="000F017A"/>
    <w:rsid w:val="000F058F"/>
    <w:rsid w:val="000F2244"/>
    <w:rsid w:val="000F2D5C"/>
    <w:rsid w:val="000F32D1"/>
    <w:rsid w:val="000F37A2"/>
    <w:rsid w:val="000F4228"/>
    <w:rsid w:val="000F672F"/>
    <w:rsid w:val="000F6937"/>
    <w:rsid w:val="000F6A99"/>
    <w:rsid w:val="000F7248"/>
    <w:rsid w:val="001002B8"/>
    <w:rsid w:val="00100FA0"/>
    <w:rsid w:val="00102080"/>
    <w:rsid w:val="001023C1"/>
    <w:rsid w:val="001038D9"/>
    <w:rsid w:val="00103C68"/>
    <w:rsid w:val="00104348"/>
    <w:rsid w:val="001047B3"/>
    <w:rsid w:val="00105809"/>
    <w:rsid w:val="00106022"/>
    <w:rsid w:val="0010715D"/>
    <w:rsid w:val="0011079D"/>
    <w:rsid w:val="001111CB"/>
    <w:rsid w:val="00112F6D"/>
    <w:rsid w:val="001144D1"/>
    <w:rsid w:val="00114623"/>
    <w:rsid w:val="0011527C"/>
    <w:rsid w:val="001155D8"/>
    <w:rsid w:val="001155D9"/>
    <w:rsid w:val="001164A6"/>
    <w:rsid w:val="00116F15"/>
    <w:rsid w:val="00117212"/>
    <w:rsid w:val="001179EE"/>
    <w:rsid w:val="00120876"/>
    <w:rsid w:val="00121FC3"/>
    <w:rsid w:val="001225BF"/>
    <w:rsid w:val="00123054"/>
    <w:rsid w:val="0012336D"/>
    <w:rsid w:val="00124525"/>
    <w:rsid w:val="001249B7"/>
    <w:rsid w:val="0012519A"/>
    <w:rsid w:val="001252BF"/>
    <w:rsid w:val="00126823"/>
    <w:rsid w:val="00127227"/>
    <w:rsid w:val="001272F2"/>
    <w:rsid w:val="00130251"/>
    <w:rsid w:val="0013040A"/>
    <w:rsid w:val="00131A86"/>
    <w:rsid w:val="00131E09"/>
    <w:rsid w:val="00132B90"/>
    <w:rsid w:val="00133617"/>
    <w:rsid w:val="00134C47"/>
    <w:rsid w:val="00134DDC"/>
    <w:rsid w:val="00135744"/>
    <w:rsid w:val="00142208"/>
    <w:rsid w:val="00142CDF"/>
    <w:rsid w:val="00143EC4"/>
    <w:rsid w:val="00144530"/>
    <w:rsid w:val="00144AA0"/>
    <w:rsid w:val="00150AFF"/>
    <w:rsid w:val="0015101E"/>
    <w:rsid w:val="00153351"/>
    <w:rsid w:val="0015403F"/>
    <w:rsid w:val="001541DE"/>
    <w:rsid w:val="00154C05"/>
    <w:rsid w:val="00155D71"/>
    <w:rsid w:val="001563B3"/>
    <w:rsid w:val="00156924"/>
    <w:rsid w:val="00156D38"/>
    <w:rsid w:val="00160AD5"/>
    <w:rsid w:val="00162AE6"/>
    <w:rsid w:val="00163853"/>
    <w:rsid w:val="00163EA9"/>
    <w:rsid w:val="00164822"/>
    <w:rsid w:val="001648C9"/>
    <w:rsid w:val="001661BB"/>
    <w:rsid w:val="00166387"/>
    <w:rsid w:val="00166E20"/>
    <w:rsid w:val="0016743B"/>
    <w:rsid w:val="001700D7"/>
    <w:rsid w:val="0017016E"/>
    <w:rsid w:val="001709A5"/>
    <w:rsid w:val="00170A3E"/>
    <w:rsid w:val="00171B57"/>
    <w:rsid w:val="00171E29"/>
    <w:rsid w:val="001729EF"/>
    <w:rsid w:val="00172C37"/>
    <w:rsid w:val="001739D3"/>
    <w:rsid w:val="00173C63"/>
    <w:rsid w:val="00176472"/>
    <w:rsid w:val="001777C3"/>
    <w:rsid w:val="001778B8"/>
    <w:rsid w:val="00180396"/>
    <w:rsid w:val="00180836"/>
    <w:rsid w:val="00180958"/>
    <w:rsid w:val="00180AE2"/>
    <w:rsid w:val="00181273"/>
    <w:rsid w:val="001821BD"/>
    <w:rsid w:val="001827FA"/>
    <w:rsid w:val="001835F2"/>
    <w:rsid w:val="00183BB7"/>
    <w:rsid w:val="00183D90"/>
    <w:rsid w:val="0018476A"/>
    <w:rsid w:val="00184C63"/>
    <w:rsid w:val="00186731"/>
    <w:rsid w:val="0018708E"/>
    <w:rsid w:val="00187552"/>
    <w:rsid w:val="00190BCA"/>
    <w:rsid w:val="00190FE6"/>
    <w:rsid w:val="00190FFF"/>
    <w:rsid w:val="00192499"/>
    <w:rsid w:val="00192EB6"/>
    <w:rsid w:val="001942C4"/>
    <w:rsid w:val="0019561C"/>
    <w:rsid w:val="001959E3"/>
    <w:rsid w:val="00196948"/>
    <w:rsid w:val="001974D4"/>
    <w:rsid w:val="00197CBC"/>
    <w:rsid w:val="00197EF9"/>
    <w:rsid w:val="001A0493"/>
    <w:rsid w:val="001A3301"/>
    <w:rsid w:val="001A3582"/>
    <w:rsid w:val="001A39DC"/>
    <w:rsid w:val="001A3EB7"/>
    <w:rsid w:val="001A4258"/>
    <w:rsid w:val="001A4DA7"/>
    <w:rsid w:val="001A6665"/>
    <w:rsid w:val="001A6D4F"/>
    <w:rsid w:val="001A7002"/>
    <w:rsid w:val="001B1317"/>
    <w:rsid w:val="001B4129"/>
    <w:rsid w:val="001B4DEA"/>
    <w:rsid w:val="001B4F6D"/>
    <w:rsid w:val="001B54F0"/>
    <w:rsid w:val="001B59A4"/>
    <w:rsid w:val="001B5AFA"/>
    <w:rsid w:val="001B5FC9"/>
    <w:rsid w:val="001C07FC"/>
    <w:rsid w:val="001C15C7"/>
    <w:rsid w:val="001C2394"/>
    <w:rsid w:val="001C267C"/>
    <w:rsid w:val="001C28D6"/>
    <w:rsid w:val="001C36F4"/>
    <w:rsid w:val="001C3EFB"/>
    <w:rsid w:val="001C3FA7"/>
    <w:rsid w:val="001C433F"/>
    <w:rsid w:val="001C5B8A"/>
    <w:rsid w:val="001C6416"/>
    <w:rsid w:val="001D1541"/>
    <w:rsid w:val="001D23F9"/>
    <w:rsid w:val="001D3B25"/>
    <w:rsid w:val="001D4ACE"/>
    <w:rsid w:val="001D4EC5"/>
    <w:rsid w:val="001D5EAA"/>
    <w:rsid w:val="001D5F77"/>
    <w:rsid w:val="001D6D7F"/>
    <w:rsid w:val="001D7938"/>
    <w:rsid w:val="001D7DD8"/>
    <w:rsid w:val="001E031F"/>
    <w:rsid w:val="001E0646"/>
    <w:rsid w:val="001E1E73"/>
    <w:rsid w:val="001E2D93"/>
    <w:rsid w:val="001E3350"/>
    <w:rsid w:val="001E533F"/>
    <w:rsid w:val="001E632F"/>
    <w:rsid w:val="001E684A"/>
    <w:rsid w:val="001E7922"/>
    <w:rsid w:val="001F058D"/>
    <w:rsid w:val="001F1617"/>
    <w:rsid w:val="001F23E2"/>
    <w:rsid w:val="001F2F84"/>
    <w:rsid w:val="001F56E2"/>
    <w:rsid w:val="001F6F06"/>
    <w:rsid w:val="001F75A1"/>
    <w:rsid w:val="00201596"/>
    <w:rsid w:val="0020249C"/>
    <w:rsid w:val="002030AF"/>
    <w:rsid w:val="002032CF"/>
    <w:rsid w:val="002040C2"/>
    <w:rsid w:val="00205119"/>
    <w:rsid w:val="00205CDC"/>
    <w:rsid w:val="0021071D"/>
    <w:rsid w:val="00210728"/>
    <w:rsid w:val="00210C17"/>
    <w:rsid w:val="002110EF"/>
    <w:rsid w:val="00212214"/>
    <w:rsid w:val="00212276"/>
    <w:rsid w:val="00212C0B"/>
    <w:rsid w:val="00214164"/>
    <w:rsid w:val="002152C8"/>
    <w:rsid w:val="002168E2"/>
    <w:rsid w:val="00216DB8"/>
    <w:rsid w:val="00216E77"/>
    <w:rsid w:val="00217133"/>
    <w:rsid w:val="00220143"/>
    <w:rsid w:val="00220401"/>
    <w:rsid w:val="0022105A"/>
    <w:rsid w:val="00222E24"/>
    <w:rsid w:val="002241BC"/>
    <w:rsid w:val="00226BCC"/>
    <w:rsid w:val="002275AD"/>
    <w:rsid w:val="00230FDD"/>
    <w:rsid w:val="00231675"/>
    <w:rsid w:val="00231BB8"/>
    <w:rsid w:val="00231E22"/>
    <w:rsid w:val="00231F9C"/>
    <w:rsid w:val="0023296B"/>
    <w:rsid w:val="002334E5"/>
    <w:rsid w:val="00234C49"/>
    <w:rsid w:val="00234F71"/>
    <w:rsid w:val="002358BA"/>
    <w:rsid w:val="00235B93"/>
    <w:rsid w:val="00236880"/>
    <w:rsid w:val="00240759"/>
    <w:rsid w:val="00241E2E"/>
    <w:rsid w:val="002422E9"/>
    <w:rsid w:val="002458FB"/>
    <w:rsid w:val="0024684D"/>
    <w:rsid w:val="002471EE"/>
    <w:rsid w:val="002504B2"/>
    <w:rsid w:val="00250ACA"/>
    <w:rsid w:val="00250FFF"/>
    <w:rsid w:val="0025100A"/>
    <w:rsid w:val="002510D8"/>
    <w:rsid w:val="00252717"/>
    <w:rsid w:val="00252B08"/>
    <w:rsid w:val="00253045"/>
    <w:rsid w:val="002533C1"/>
    <w:rsid w:val="0025408E"/>
    <w:rsid w:val="00254101"/>
    <w:rsid w:val="0025415C"/>
    <w:rsid w:val="00254629"/>
    <w:rsid w:val="00255B7A"/>
    <w:rsid w:val="0025734D"/>
    <w:rsid w:val="0026052F"/>
    <w:rsid w:val="00260BBC"/>
    <w:rsid w:val="00260EFC"/>
    <w:rsid w:val="0026439F"/>
    <w:rsid w:val="00264512"/>
    <w:rsid w:val="002652E9"/>
    <w:rsid w:val="00265EF9"/>
    <w:rsid w:val="00266A7F"/>
    <w:rsid w:val="00267FB5"/>
    <w:rsid w:val="00270738"/>
    <w:rsid w:val="002723C7"/>
    <w:rsid w:val="00273117"/>
    <w:rsid w:val="00274BB1"/>
    <w:rsid w:val="002763D3"/>
    <w:rsid w:val="00276D8B"/>
    <w:rsid w:val="00277C4C"/>
    <w:rsid w:val="00277CE5"/>
    <w:rsid w:val="00281F0A"/>
    <w:rsid w:val="00282BB0"/>
    <w:rsid w:val="00282C21"/>
    <w:rsid w:val="002834D0"/>
    <w:rsid w:val="002841E6"/>
    <w:rsid w:val="00284495"/>
    <w:rsid w:val="00284F17"/>
    <w:rsid w:val="002877C4"/>
    <w:rsid w:val="00290338"/>
    <w:rsid w:val="00291606"/>
    <w:rsid w:val="002928A4"/>
    <w:rsid w:val="00292FAD"/>
    <w:rsid w:val="002931B2"/>
    <w:rsid w:val="00293775"/>
    <w:rsid w:val="0029405E"/>
    <w:rsid w:val="00294283"/>
    <w:rsid w:val="0029545B"/>
    <w:rsid w:val="0029591A"/>
    <w:rsid w:val="00295F29"/>
    <w:rsid w:val="00296011"/>
    <w:rsid w:val="002A0417"/>
    <w:rsid w:val="002A109D"/>
    <w:rsid w:val="002A1781"/>
    <w:rsid w:val="002A2075"/>
    <w:rsid w:val="002A28EE"/>
    <w:rsid w:val="002A32AE"/>
    <w:rsid w:val="002A3B0E"/>
    <w:rsid w:val="002A5249"/>
    <w:rsid w:val="002A52CA"/>
    <w:rsid w:val="002A57AF"/>
    <w:rsid w:val="002A6792"/>
    <w:rsid w:val="002A7C72"/>
    <w:rsid w:val="002A7E4F"/>
    <w:rsid w:val="002B057C"/>
    <w:rsid w:val="002B0E00"/>
    <w:rsid w:val="002B15FA"/>
    <w:rsid w:val="002B194A"/>
    <w:rsid w:val="002B27C9"/>
    <w:rsid w:val="002B3F84"/>
    <w:rsid w:val="002B4086"/>
    <w:rsid w:val="002B46AB"/>
    <w:rsid w:val="002B47A5"/>
    <w:rsid w:val="002B59EE"/>
    <w:rsid w:val="002B6DF5"/>
    <w:rsid w:val="002C0751"/>
    <w:rsid w:val="002C1D9C"/>
    <w:rsid w:val="002C27E4"/>
    <w:rsid w:val="002C2F1B"/>
    <w:rsid w:val="002C318B"/>
    <w:rsid w:val="002C34C2"/>
    <w:rsid w:val="002C4122"/>
    <w:rsid w:val="002C428F"/>
    <w:rsid w:val="002C4F59"/>
    <w:rsid w:val="002C53DC"/>
    <w:rsid w:val="002C5422"/>
    <w:rsid w:val="002C56B6"/>
    <w:rsid w:val="002C5D29"/>
    <w:rsid w:val="002C5ECA"/>
    <w:rsid w:val="002C6C3C"/>
    <w:rsid w:val="002C7079"/>
    <w:rsid w:val="002D01F3"/>
    <w:rsid w:val="002D1D34"/>
    <w:rsid w:val="002D4B05"/>
    <w:rsid w:val="002D59B2"/>
    <w:rsid w:val="002D6E82"/>
    <w:rsid w:val="002D6EBC"/>
    <w:rsid w:val="002D755D"/>
    <w:rsid w:val="002E06FF"/>
    <w:rsid w:val="002E20D5"/>
    <w:rsid w:val="002E214E"/>
    <w:rsid w:val="002E42E5"/>
    <w:rsid w:val="002E4509"/>
    <w:rsid w:val="002E5895"/>
    <w:rsid w:val="002E5E8F"/>
    <w:rsid w:val="002E6A21"/>
    <w:rsid w:val="002E72B3"/>
    <w:rsid w:val="002F0B79"/>
    <w:rsid w:val="002F0DEB"/>
    <w:rsid w:val="002F110A"/>
    <w:rsid w:val="002F15D9"/>
    <w:rsid w:val="002F16A2"/>
    <w:rsid w:val="002F190D"/>
    <w:rsid w:val="002F1DAF"/>
    <w:rsid w:val="002F24B6"/>
    <w:rsid w:val="002F28C0"/>
    <w:rsid w:val="002F29E3"/>
    <w:rsid w:val="002F2DA5"/>
    <w:rsid w:val="002F4336"/>
    <w:rsid w:val="002F6E5A"/>
    <w:rsid w:val="00301695"/>
    <w:rsid w:val="003023CE"/>
    <w:rsid w:val="00302966"/>
    <w:rsid w:val="00303138"/>
    <w:rsid w:val="003032B3"/>
    <w:rsid w:val="0030441B"/>
    <w:rsid w:val="003045D3"/>
    <w:rsid w:val="0030466B"/>
    <w:rsid w:val="00304BBF"/>
    <w:rsid w:val="003053B5"/>
    <w:rsid w:val="00305EC7"/>
    <w:rsid w:val="003066B1"/>
    <w:rsid w:val="00306AE1"/>
    <w:rsid w:val="00306FFA"/>
    <w:rsid w:val="0031139F"/>
    <w:rsid w:val="00313248"/>
    <w:rsid w:val="00314B4E"/>
    <w:rsid w:val="00315285"/>
    <w:rsid w:val="0031596A"/>
    <w:rsid w:val="00315B22"/>
    <w:rsid w:val="0031680C"/>
    <w:rsid w:val="00317C06"/>
    <w:rsid w:val="0032060C"/>
    <w:rsid w:val="003230DA"/>
    <w:rsid w:val="00323A24"/>
    <w:rsid w:val="00324FB6"/>
    <w:rsid w:val="003261B6"/>
    <w:rsid w:val="003273C9"/>
    <w:rsid w:val="00327673"/>
    <w:rsid w:val="00327E0F"/>
    <w:rsid w:val="0033078B"/>
    <w:rsid w:val="00330C7D"/>
    <w:rsid w:val="00332360"/>
    <w:rsid w:val="0033239F"/>
    <w:rsid w:val="0033244F"/>
    <w:rsid w:val="00332956"/>
    <w:rsid w:val="00332B32"/>
    <w:rsid w:val="0033301C"/>
    <w:rsid w:val="00334128"/>
    <w:rsid w:val="00334C06"/>
    <w:rsid w:val="00335CBC"/>
    <w:rsid w:val="0033623A"/>
    <w:rsid w:val="00337176"/>
    <w:rsid w:val="00340F78"/>
    <w:rsid w:val="00342701"/>
    <w:rsid w:val="00342FF7"/>
    <w:rsid w:val="00345189"/>
    <w:rsid w:val="00345FC7"/>
    <w:rsid w:val="00346B37"/>
    <w:rsid w:val="00346CBA"/>
    <w:rsid w:val="00346F8F"/>
    <w:rsid w:val="00350739"/>
    <w:rsid w:val="00352B5B"/>
    <w:rsid w:val="00353AA5"/>
    <w:rsid w:val="003544F2"/>
    <w:rsid w:val="00355016"/>
    <w:rsid w:val="00355DCE"/>
    <w:rsid w:val="00357FC4"/>
    <w:rsid w:val="00361331"/>
    <w:rsid w:val="003619B4"/>
    <w:rsid w:val="0036265A"/>
    <w:rsid w:val="00363022"/>
    <w:rsid w:val="003652F8"/>
    <w:rsid w:val="00367AB9"/>
    <w:rsid w:val="003708B0"/>
    <w:rsid w:val="00370EEF"/>
    <w:rsid w:val="003712FA"/>
    <w:rsid w:val="00372109"/>
    <w:rsid w:val="00372F57"/>
    <w:rsid w:val="00374EFB"/>
    <w:rsid w:val="003751DE"/>
    <w:rsid w:val="00376132"/>
    <w:rsid w:val="00377445"/>
    <w:rsid w:val="00381647"/>
    <w:rsid w:val="00381F62"/>
    <w:rsid w:val="00383ED2"/>
    <w:rsid w:val="0038439B"/>
    <w:rsid w:val="0038659A"/>
    <w:rsid w:val="00386D94"/>
    <w:rsid w:val="003870C2"/>
    <w:rsid w:val="0039114A"/>
    <w:rsid w:val="0039205B"/>
    <w:rsid w:val="003920EC"/>
    <w:rsid w:val="0039303A"/>
    <w:rsid w:val="00393289"/>
    <w:rsid w:val="00396544"/>
    <w:rsid w:val="0039660C"/>
    <w:rsid w:val="00397A02"/>
    <w:rsid w:val="003A064F"/>
    <w:rsid w:val="003A08D8"/>
    <w:rsid w:val="003A0941"/>
    <w:rsid w:val="003A1EFE"/>
    <w:rsid w:val="003A28EB"/>
    <w:rsid w:val="003A2C86"/>
    <w:rsid w:val="003A3C1D"/>
    <w:rsid w:val="003A4236"/>
    <w:rsid w:val="003A5ADD"/>
    <w:rsid w:val="003A61C5"/>
    <w:rsid w:val="003A7017"/>
    <w:rsid w:val="003B3573"/>
    <w:rsid w:val="003B3B81"/>
    <w:rsid w:val="003B4903"/>
    <w:rsid w:val="003B5B93"/>
    <w:rsid w:val="003C0562"/>
    <w:rsid w:val="003C0AC1"/>
    <w:rsid w:val="003C0F6F"/>
    <w:rsid w:val="003C2934"/>
    <w:rsid w:val="003C3A1E"/>
    <w:rsid w:val="003C5153"/>
    <w:rsid w:val="003D0F72"/>
    <w:rsid w:val="003D1A53"/>
    <w:rsid w:val="003D1B54"/>
    <w:rsid w:val="003D3103"/>
    <w:rsid w:val="003D32A2"/>
    <w:rsid w:val="003D356A"/>
    <w:rsid w:val="003D3CC8"/>
    <w:rsid w:val="003D55AA"/>
    <w:rsid w:val="003D5E44"/>
    <w:rsid w:val="003D6188"/>
    <w:rsid w:val="003D66C3"/>
    <w:rsid w:val="003D6C46"/>
    <w:rsid w:val="003D6D87"/>
    <w:rsid w:val="003D7291"/>
    <w:rsid w:val="003E0227"/>
    <w:rsid w:val="003E02BD"/>
    <w:rsid w:val="003E0B58"/>
    <w:rsid w:val="003E122C"/>
    <w:rsid w:val="003E15B2"/>
    <w:rsid w:val="003E2ED1"/>
    <w:rsid w:val="003E306B"/>
    <w:rsid w:val="003E344F"/>
    <w:rsid w:val="003E4B14"/>
    <w:rsid w:val="003E5549"/>
    <w:rsid w:val="003E5B8F"/>
    <w:rsid w:val="003E641A"/>
    <w:rsid w:val="003E6A57"/>
    <w:rsid w:val="003E78FD"/>
    <w:rsid w:val="003E7AA9"/>
    <w:rsid w:val="003E7D7C"/>
    <w:rsid w:val="003F01A3"/>
    <w:rsid w:val="003F0873"/>
    <w:rsid w:val="003F0B6D"/>
    <w:rsid w:val="003F0E7B"/>
    <w:rsid w:val="003F1196"/>
    <w:rsid w:val="003F2C40"/>
    <w:rsid w:val="003F3DBB"/>
    <w:rsid w:val="003F48B1"/>
    <w:rsid w:val="003F4FD5"/>
    <w:rsid w:val="003F5F83"/>
    <w:rsid w:val="003F7EB1"/>
    <w:rsid w:val="00401EBD"/>
    <w:rsid w:val="00402E16"/>
    <w:rsid w:val="004034B1"/>
    <w:rsid w:val="004034B5"/>
    <w:rsid w:val="00403C04"/>
    <w:rsid w:val="004051E6"/>
    <w:rsid w:val="00406BD7"/>
    <w:rsid w:val="00407D7A"/>
    <w:rsid w:val="004118F6"/>
    <w:rsid w:val="0041191E"/>
    <w:rsid w:val="0041296E"/>
    <w:rsid w:val="00413104"/>
    <w:rsid w:val="00413CCB"/>
    <w:rsid w:val="0041415A"/>
    <w:rsid w:val="00415AA0"/>
    <w:rsid w:val="00416FA1"/>
    <w:rsid w:val="00417AF5"/>
    <w:rsid w:val="004216B7"/>
    <w:rsid w:val="00422A03"/>
    <w:rsid w:val="00423595"/>
    <w:rsid w:val="00423CA8"/>
    <w:rsid w:val="004248EA"/>
    <w:rsid w:val="00425F25"/>
    <w:rsid w:val="00426065"/>
    <w:rsid w:val="0042623E"/>
    <w:rsid w:val="00426BAC"/>
    <w:rsid w:val="00427ACC"/>
    <w:rsid w:val="004304DE"/>
    <w:rsid w:val="00430A39"/>
    <w:rsid w:val="004320ED"/>
    <w:rsid w:val="0043235C"/>
    <w:rsid w:val="00432E37"/>
    <w:rsid w:val="0043311B"/>
    <w:rsid w:val="00433563"/>
    <w:rsid w:val="004337F8"/>
    <w:rsid w:val="004341FE"/>
    <w:rsid w:val="00434773"/>
    <w:rsid w:val="00435BF5"/>
    <w:rsid w:val="0043643D"/>
    <w:rsid w:val="00436C9A"/>
    <w:rsid w:val="00437B1B"/>
    <w:rsid w:val="00437C5A"/>
    <w:rsid w:val="00440AB0"/>
    <w:rsid w:val="00441184"/>
    <w:rsid w:val="004414D9"/>
    <w:rsid w:val="00441D3F"/>
    <w:rsid w:val="0044231E"/>
    <w:rsid w:val="00443944"/>
    <w:rsid w:val="00444FCD"/>
    <w:rsid w:val="00444FDE"/>
    <w:rsid w:val="00445AF4"/>
    <w:rsid w:val="00446156"/>
    <w:rsid w:val="004462C7"/>
    <w:rsid w:val="004464E5"/>
    <w:rsid w:val="004469BD"/>
    <w:rsid w:val="0045156C"/>
    <w:rsid w:val="00452BD9"/>
    <w:rsid w:val="0045315F"/>
    <w:rsid w:val="00456F85"/>
    <w:rsid w:val="00457EB1"/>
    <w:rsid w:val="00457F7A"/>
    <w:rsid w:val="00460389"/>
    <w:rsid w:val="00462051"/>
    <w:rsid w:val="00463651"/>
    <w:rsid w:val="00463FB2"/>
    <w:rsid w:val="004650EA"/>
    <w:rsid w:val="00467821"/>
    <w:rsid w:val="0046792F"/>
    <w:rsid w:val="00471A12"/>
    <w:rsid w:val="00472E88"/>
    <w:rsid w:val="0047388D"/>
    <w:rsid w:val="00473EA2"/>
    <w:rsid w:val="00474677"/>
    <w:rsid w:val="004746EB"/>
    <w:rsid w:val="00474974"/>
    <w:rsid w:val="00475B7A"/>
    <w:rsid w:val="00476240"/>
    <w:rsid w:val="00476A98"/>
    <w:rsid w:val="00477193"/>
    <w:rsid w:val="004774D3"/>
    <w:rsid w:val="004778D0"/>
    <w:rsid w:val="00480A09"/>
    <w:rsid w:val="00481EAA"/>
    <w:rsid w:val="004824E1"/>
    <w:rsid w:val="0048320A"/>
    <w:rsid w:val="004836C9"/>
    <w:rsid w:val="004838B3"/>
    <w:rsid w:val="00487CA0"/>
    <w:rsid w:val="00492116"/>
    <w:rsid w:val="0049220A"/>
    <w:rsid w:val="004922D2"/>
    <w:rsid w:val="00493E76"/>
    <w:rsid w:val="00494EBF"/>
    <w:rsid w:val="0049629B"/>
    <w:rsid w:val="00497E9D"/>
    <w:rsid w:val="004A096B"/>
    <w:rsid w:val="004A0FD4"/>
    <w:rsid w:val="004A1601"/>
    <w:rsid w:val="004A1923"/>
    <w:rsid w:val="004A1E57"/>
    <w:rsid w:val="004A2C55"/>
    <w:rsid w:val="004A2E1E"/>
    <w:rsid w:val="004A4AD2"/>
    <w:rsid w:val="004A65A6"/>
    <w:rsid w:val="004A6856"/>
    <w:rsid w:val="004A6ED3"/>
    <w:rsid w:val="004B0C77"/>
    <w:rsid w:val="004B2525"/>
    <w:rsid w:val="004B3CDA"/>
    <w:rsid w:val="004B40CF"/>
    <w:rsid w:val="004B5EED"/>
    <w:rsid w:val="004B62DE"/>
    <w:rsid w:val="004C0333"/>
    <w:rsid w:val="004C047D"/>
    <w:rsid w:val="004C20BB"/>
    <w:rsid w:val="004C2579"/>
    <w:rsid w:val="004C4B45"/>
    <w:rsid w:val="004C4D0E"/>
    <w:rsid w:val="004C5C0D"/>
    <w:rsid w:val="004C6289"/>
    <w:rsid w:val="004C7867"/>
    <w:rsid w:val="004C7D77"/>
    <w:rsid w:val="004D0692"/>
    <w:rsid w:val="004D2745"/>
    <w:rsid w:val="004D2B29"/>
    <w:rsid w:val="004D3625"/>
    <w:rsid w:val="004D5D7D"/>
    <w:rsid w:val="004D6C93"/>
    <w:rsid w:val="004D6D04"/>
    <w:rsid w:val="004D6E78"/>
    <w:rsid w:val="004D76BE"/>
    <w:rsid w:val="004E1553"/>
    <w:rsid w:val="004E2371"/>
    <w:rsid w:val="004E35D0"/>
    <w:rsid w:val="004E4B71"/>
    <w:rsid w:val="004E54B6"/>
    <w:rsid w:val="004E56C5"/>
    <w:rsid w:val="004F0242"/>
    <w:rsid w:val="004F191D"/>
    <w:rsid w:val="004F3736"/>
    <w:rsid w:val="004F3901"/>
    <w:rsid w:val="004F3D40"/>
    <w:rsid w:val="004F4CA3"/>
    <w:rsid w:val="004F6379"/>
    <w:rsid w:val="004F70A5"/>
    <w:rsid w:val="004F73A6"/>
    <w:rsid w:val="004F7DDA"/>
    <w:rsid w:val="00500B4F"/>
    <w:rsid w:val="00501813"/>
    <w:rsid w:val="00502A11"/>
    <w:rsid w:val="005034E0"/>
    <w:rsid w:val="00503677"/>
    <w:rsid w:val="005038AD"/>
    <w:rsid w:val="00503B63"/>
    <w:rsid w:val="005076D6"/>
    <w:rsid w:val="00510979"/>
    <w:rsid w:val="005129AE"/>
    <w:rsid w:val="00512A14"/>
    <w:rsid w:val="00513F91"/>
    <w:rsid w:val="00514BBC"/>
    <w:rsid w:val="0051530E"/>
    <w:rsid w:val="00515D38"/>
    <w:rsid w:val="005167C9"/>
    <w:rsid w:val="00516F40"/>
    <w:rsid w:val="005178A5"/>
    <w:rsid w:val="00517DF7"/>
    <w:rsid w:val="00520759"/>
    <w:rsid w:val="00520C58"/>
    <w:rsid w:val="00521251"/>
    <w:rsid w:val="00521E9E"/>
    <w:rsid w:val="0052217F"/>
    <w:rsid w:val="00522964"/>
    <w:rsid w:val="00522D23"/>
    <w:rsid w:val="005233EB"/>
    <w:rsid w:val="00523D87"/>
    <w:rsid w:val="0052417A"/>
    <w:rsid w:val="005247C4"/>
    <w:rsid w:val="00525065"/>
    <w:rsid w:val="0052787C"/>
    <w:rsid w:val="00527966"/>
    <w:rsid w:val="00530890"/>
    <w:rsid w:val="005311BD"/>
    <w:rsid w:val="0053182D"/>
    <w:rsid w:val="005330A3"/>
    <w:rsid w:val="005338EE"/>
    <w:rsid w:val="005345E1"/>
    <w:rsid w:val="00534692"/>
    <w:rsid w:val="00535DE6"/>
    <w:rsid w:val="00536E4D"/>
    <w:rsid w:val="005405B2"/>
    <w:rsid w:val="005408D5"/>
    <w:rsid w:val="00540DE4"/>
    <w:rsid w:val="0054101D"/>
    <w:rsid w:val="00541958"/>
    <w:rsid w:val="00543F1C"/>
    <w:rsid w:val="005455E7"/>
    <w:rsid w:val="005455FF"/>
    <w:rsid w:val="00546EB8"/>
    <w:rsid w:val="00547392"/>
    <w:rsid w:val="0055016E"/>
    <w:rsid w:val="005502B1"/>
    <w:rsid w:val="005517BB"/>
    <w:rsid w:val="005521E5"/>
    <w:rsid w:val="00553772"/>
    <w:rsid w:val="00553D76"/>
    <w:rsid w:val="00555396"/>
    <w:rsid w:val="005553A2"/>
    <w:rsid w:val="00555801"/>
    <w:rsid w:val="00555B1C"/>
    <w:rsid w:val="00555EC1"/>
    <w:rsid w:val="00556F68"/>
    <w:rsid w:val="00563E8C"/>
    <w:rsid w:val="00564694"/>
    <w:rsid w:val="0056599D"/>
    <w:rsid w:val="00566498"/>
    <w:rsid w:val="00567382"/>
    <w:rsid w:val="00570181"/>
    <w:rsid w:val="00570B67"/>
    <w:rsid w:val="0057143E"/>
    <w:rsid w:val="0057169A"/>
    <w:rsid w:val="005716C0"/>
    <w:rsid w:val="00571A81"/>
    <w:rsid w:val="00571D42"/>
    <w:rsid w:val="00572246"/>
    <w:rsid w:val="00572A2C"/>
    <w:rsid w:val="00573DBE"/>
    <w:rsid w:val="00573FD8"/>
    <w:rsid w:val="00574569"/>
    <w:rsid w:val="00574863"/>
    <w:rsid w:val="00575B10"/>
    <w:rsid w:val="00575CE4"/>
    <w:rsid w:val="00577377"/>
    <w:rsid w:val="005773D5"/>
    <w:rsid w:val="005773F1"/>
    <w:rsid w:val="00580B60"/>
    <w:rsid w:val="00581589"/>
    <w:rsid w:val="00581CB9"/>
    <w:rsid w:val="005825BB"/>
    <w:rsid w:val="00583793"/>
    <w:rsid w:val="00583B90"/>
    <w:rsid w:val="00583F3E"/>
    <w:rsid w:val="005843DE"/>
    <w:rsid w:val="005853B6"/>
    <w:rsid w:val="005859DE"/>
    <w:rsid w:val="00586C44"/>
    <w:rsid w:val="005876AE"/>
    <w:rsid w:val="00590C38"/>
    <w:rsid w:val="00592406"/>
    <w:rsid w:val="005927C6"/>
    <w:rsid w:val="00592A7D"/>
    <w:rsid w:val="0059387C"/>
    <w:rsid w:val="00595A3F"/>
    <w:rsid w:val="00595BB5"/>
    <w:rsid w:val="00595EBD"/>
    <w:rsid w:val="00596571"/>
    <w:rsid w:val="005A0581"/>
    <w:rsid w:val="005A065B"/>
    <w:rsid w:val="005A0708"/>
    <w:rsid w:val="005A0A7D"/>
    <w:rsid w:val="005A0D19"/>
    <w:rsid w:val="005A0E43"/>
    <w:rsid w:val="005A2F58"/>
    <w:rsid w:val="005A4144"/>
    <w:rsid w:val="005A50DC"/>
    <w:rsid w:val="005A54C7"/>
    <w:rsid w:val="005A6626"/>
    <w:rsid w:val="005A7419"/>
    <w:rsid w:val="005A7E9F"/>
    <w:rsid w:val="005B086B"/>
    <w:rsid w:val="005B0BFF"/>
    <w:rsid w:val="005B1744"/>
    <w:rsid w:val="005B1C2A"/>
    <w:rsid w:val="005B2E4D"/>
    <w:rsid w:val="005B433B"/>
    <w:rsid w:val="005B52B1"/>
    <w:rsid w:val="005B58D9"/>
    <w:rsid w:val="005B6DEB"/>
    <w:rsid w:val="005B6EC7"/>
    <w:rsid w:val="005B7717"/>
    <w:rsid w:val="005C0552"/>
    <w:rsid w:val="005C0CA1"/>
    <w:rsid w:val="005C16C1"/>
    <w:rsid w:val="005C1709"/>
    <w:rsid w:val="005C1C90"/>
    <w:rsid w:val="005C258D"/>
    <w:rsid w:val="005C28C3"/>
    <w:rsid w:val="005C2F7F"/>
    <w:rsid w:val="005C5749"/>
    <w:rsid w:val="005C6813"/>
    <w:rsid w:val="005C79A3"/>
    <w:rsid w:val="005D0A45"/>
    <w:rsid w:val="005D0AF9"/>
    <w:rsid w:val="005D16B1"/>
    <w:rsid w:val="005D1885"/>
    <w:rsid w:val="005D19F8"/>
    <w:rsid w:val="005D259E"/>
    <w:rsid w:val="005D2B3B"/>
    <w:rsid w:val="005D2F0E"/>
    <w:rsid w:val="005D2F9F"/>
    <w:rsid w:val="005D3598"/>
    <w:rsid w:val="005D3940"/>
    <w:rsid w:val="005D48AD"/>
    <w:rsid w:val="005D4F2F"/>
    <w:rsid w:val="005D5088"/>
    <w:rsid w:val="005D5A92"/>
    <w:rsid w:val="005D75C7"/>
    <w:rsid w:val="005E0113"/>
    <w:rsid w:val="005E08C5"/>
    <w:rsid w:val="005E0BA2"/>
    <w:rsid w:val="005E0E81"/>
    <w:rsid w:val="005E2DFB"/>
    <w:rsid w:val="005E3632"/>
    <w:rsid w:val="005E4DC4"/>
    <w:rsid w:val="005E5E4B"/>
    <w:rsid w:val="005E705C"/>
    <w:rsid w:val="005E7FC8"/>
    <w:rsid w:val="005F1FA1"/>
    <w:rsid w:val="005F22DA"/>
    <w:rsid w:val="005F2FB5"/>
    <w:rsid w:val="005F31E5"/>
    <w:rsid w:val="005F4E9B"/>
    <w:rsid w:val="005F51F9"/>
    <w:rsid w:val="005F565B"/>
    <w:rsid w:val="005F61D7"/>
    <w:rsid w:val="005F65D5"/>
    <w:rsid w:val="005F71E0"/>
    <w:rsid w:val="00600D2C"/>
    <w:rsid w:val="006017A7"/>
    <w:rsid w:val="00602742"/>
    <w:rsid w:val="00603972"/>
    <w:rsid w:val="00604802"/>
    <w:rsid w:val="00606803"/>
    <w:rsid w:val="00607DBF"/>
    <w:rsid w:val="00611D00"/>
    <w:rsid w:val="00613E31"/>
    <w:rsid w:val="00613FCC"/>
    <w:rsid w:val="00614B36"/>
    <w:rsid w:val="00615730"/>
    <w:rsid w:val="00615FE4"/>
    <w:rsid w:val="00616F2D"/>
    <w:rsid w:val="006171C0"/>
    <w:rsid w:val="00620B59"/>
    <w:rsid w:val="00621A64"/>
    <w:rsid w:val="00623D39"/>
    <w:rsid w:val="006252FD"/>
    <w:rsid w:val="00626244"/>
    <w:rsid w:val="006305E9"/>
    <w:rsid w:val="00631EFD"/>
    <w:rsid w:val="0063201C"/>
    <w:rsid w:val="0063312C"/>
    <w:rsid w:val="0063376B"/>
    <w:rsid w:val="00633C68"/>
    <w:rsid w:val="00633D7B"/>
    <w:rsid w:val="006357F4"/>
    <w:rsid w:val="00635877"/>
    <w:rsid w:val="0063597F"/>
    <w:rsid w:val="00636AE7"/>
    <w:rsid w:val="00637BBC"/>
    <w:rsid w:val="00640444"/>
    <w:rsid w:val="006428D8"/>
    <w:rsid w:val="00643E5A"/>
    <w:rsid w:val="00644179"/>
    <w:rsid w:val="006443C9"/>
    <w:rsid w:val="00646A42"/>
    <w:rsid w:val="00646C53"/>
    <w:rsid w:val="00646DCA"/>
    <w:rsid w:val="006472D7"/>
    <w:rsid w:val="006503B0"/>
    <w:rsid w:val="00651033"/>
    <w:rsid w:val="006510BA"/>
    <w:rsid w:val="00651AE0"/>
    <w:rsid w:val="00653307"/>
    <w:rsid w:val="0065397E"/>
    <w:rsid w:val="00653B1B"/>
    <w:rsid w:val="00653FAC"/>
    <w:rsid w:val="0065409C"/>
    <w:rsid w:val="006545C2"/>
    <w:rsid w:val="00655477"/>
    <w:rsid w:val="006554A0"/>
    <w:rsid w:val="00655500"/>
    <w:rsid w:val="006558D9"/>
    <w:rsid w:val="00655979"/>
    <w:rsid w:val="00655F1D"/>
    <w:rsid w:val="006561AA"/>
    <w:rsid w:val="006563F7"/>
    <w:rsid w:val="00657B6F"/>
    <w:rsid w:val="006605C0"/>
    <w:rsid w:val="006608FC"/>
    <w:rsid w:val="00660EA3"/>
    <w:rsid w:val="006617A7"/>
    <w:rsid w:val="00661AF9"/>
    <w:rsid w:val="00662094"/>
    <w:rsid w:val="00662511"/>
    <w:rsid w:val="00662609"/>
    <w:rsid w:val="00663580"/>
    <w:rsid w:val="00663F7B"/>
    <w:rsid w:val="0066479F"/>
    <w:rsid w:val="00666FE6"/>
    <w:rsid w:val="00667AB6"/>
    <w:rsid w:val="0067057A"/>
    <w:rsid w:val="00670B9C"/>
    <w:rsid w:val="00670BC8"/>
    <w:rsid w:val="006714A8"/>
    <w:rsid w:val="00671DC7"/>
    <w:rsid w:val="00671ECD"/>
    <w:rsid w:val="0067214C"/>
    <w:rsid w:val="00672856"/>
    <w:rsid w:val="00672CFA"/>
    <w:rsid w:val="00675619"/>
    <w:rsid w:val="00677BF0"/>
    <w:rsid w:val="006802CE"/>
    <w:rsid w:val="00680FBC"/>
    <w:rsid w:val="006855DE"/>
    <w:rsid w:val="00685F2B"/>
    <w:rsid w:val="00686CEF"/>
    <w:rsid w:val="0069124E"/>
    <w:rsid w:val="006916AD"/>
    <w:rsid w:val="00692281"/>
    <w:rsid w:val="006931A2"/>
    <w:rsid w:val="00694C23"/>
    <w:rsid w:val="00695759"/>
    <w:rsid w:val="00695B6C"/>
    <w:rsid w:val="006A03F9"/>
    <w:rsid w:val="006A0D8D"/>
    <w:rsid w:val="006A123F"/>
    <w:rsid w:val="006A1B4E"/>
    <w:rsid w:val="006A1DEF"/>
    <w:rsid w:val="006A31B8"/>
    <w:rsid w:val="006A4022"/>
    <w:rsid w:val="006A404A"/>
    <w:rsid w:val="006A4E98"/>
    <w:rsid w:val="006A55F4"/>
    <w:rsid w:val="006A68C4"/>
    <w:rsid w:val="006A7515"/>
    <w:rsid w:val="006B0144"/>
    <w:rsid w:val="006B0864"/>
    <w:rsid w:val="006B08D7"/>
    <w:rsid w:val="006B1BD4"/>
    <w:rsid w:val="006B3B22"/>
    <w:rsid w:val="006B3F81"/>
    <w:rsid w:val="006B4B65"/>
    <w:rsid w:val="006B4E2B"/>
    <w:rsid w:val="006B52C3"/>
    <w:rsid w:val="006B5C58"/>
    <w:rsid w:val="006B5F2F"/>
    <w:rsid w:val="006B6D8C"/>
    <w:rsid w:val="006B6DA8"/>
    <w:rsid w:val="006B7563"/>
    <w:rsid w:val="006C02AF"/>
    <w:rsid w:val="006C03CB"/>
    <w:rsid w:val="006C048F"/>
    <w:rsid w:val="006C1688"/>
    <w:rsid w:val="006C16E2"/>
    <w:rsid w:val="006C18B9"/>
    <w:rsid w:val="006C20D6"/>
    <w:rsid w:val="006C3067"/>
    <w:rsid w:val="006C31C8"/>
    <w:rsid w:val="006C3296"/>
    <w:rsid w:val="006C5434"/>
    <w:rsid w:val="006C593C"/>
    <w:rsid w:val="006C6631"/>
    <w:rsid w:val="006C76A8"/>
    <w:rsid w:val="006C7EF0"/>
    <w:rsid w:val="006D070D"/>
    <w:rsid w:val="006D0755"/>
    <w:rsid w:val="006D0A76"/>
    <w:rsid w:val="006D1A71"/>
    <w:rsid w:val="006D21A5"/>
    <w:rsid w:val="006D2358"/>
    <w:rsid w:val="006D3890"/>
    <w:rsid w:val="006D4BEA"/>
    <w:rsid w:val="006D561F"/>
    <w:rsid w:val="006D5D0D"/>
    <w:rsid w:val="006D63EA"/>
    <w:rsid w:val="006D709F"/>
    <w:rsid w:val="006E15E7"/>
    <w:rsid w:val="006E1AA0"/>
    <w:rsid w:val="006E23EE"/>
    <w:rsid w:val="006E3264"/>
    <w:rsid w:val="006E3443"/>
    <w:rsid w:val="006E3C16"/>
    <w:rsid w:val="006E5110"/>
    <w:rsid w:val="006E5B54"/>
    <w:rsid w:val="006E5C1E"/>
    <w:rsid w:val="006E5CD3"/>
    <w:rsid w:val="006E6553"/>
    <w:rsid w:val="006E6BCE"/>
    <w:rsid w:val="006E6CD6"/>
    <w:rsid w:val="006F0445"/>
    <w:rsid w:val="006F0F0B"/>
    <w:rsid w:val="006F1ACE"/>
    <w:rsid w:val="006F21FE"/>
    <w:rsid w:val="006F2BDB"/>
    <w:rsid w:val="006F4930"/>
    <w:rsid w:val="006F4FDE"/>
    <w:rsid w:val="006F5BF8"/>
    <w:rsid w:val="006F7BC3"/>
    <w:rsid w:val="0070017D"/>
    <w:rsid w:val="00701342"/>
    <w:rsid w:val="00705CB6"/>
    <w:rsid w:val="00705D74"/>
    <w:rsid w:val="007062EE"/>
    <w:rsid w:val="007063F3"/>
    <w:rsid w:val="00707446"/>
    <w:rsid w:val="00707D1C"/>
    <w:rsid w:val="007103DF"/>
    <w:rsid w:val="007115C9"/>
    <w:rsid w:val="0071229E"/>
    <w:rsid w:val="00712E5E"/>
    <w:rsid w:val="00713F82"/>
    <w:rsid w:val="00714423"/>
    <w:rsid w:val="007144DB"/>
    <w:rsid w:val="00714570"/>
    <w:rsid w:val="00715958"/>
    <w:rsid w:val="00716442"/>
    <w:rsid w:val="00716DBB"/>
    <w:rsid w:val="00720430"/>
    <w:rsid w:val="00720C7E"/>
    <w:rsid w:val="00720FD8"/>
    <w:rsid w:val="00721080"/>
    <w:rsid w:val="007214CD"/>
    <w:rsid w:val="00721C1A"/>
    <w:rsid w:val="00722580"/>
    <w:rsid w:val="007232CE"/>
    <w:rsid w:val="00723AFA"/>
    <w:rsid w:val="00724057"/>
    <w:rsid w:val="007245E8"/>
    <w:rsid w:val="007255C7"/>
    <w:rsid w:val="00725B20"/>
    <w:rsid w:val="007263B6"/>
    <w:rsid w:val="007304CF"/>
    <w:rsid w:val="00731767"/>
    <w:rsid w:val="00732AFA"/>
    <w:rsid w:val="007333C4"/>
    <w:rsid w:val="00734586"/>
    <w:rsid w:val="00734E0A"/>
    <w:rsid w:val="00736330"/>
    <w:rsid w:val="00736B37"/>
    <w:rsid w:val="00736E90"/>
    <w:rsid w:val="007372D2"/>
    <w:rsid w:val="00737850"/>
    <w:rsid w:val="00737CF2"/>
    <w:rsid w:val="007406CE"/>
    <w:rsid w:val="00741EF2"/>
    <w:rsid w:val="00741F53"/>
    <w:rsid w:val="00742A50"/>
    <w:rsid w:val="00743AF3"/>
    <w:rsid w:val="00743FEA"/>
    <w:rsid w:val="0074434A"/>
    <w:rsid w:val="007473CE"/>
    <w:rsid w:val="0075117D"/>
    <w:rsid w:val="007522AA"/>
    <w:rsid w:val="00752EB1"/>
    <w:rsid w:val="00753695"/>
    <w:rsid w:val="00755447"/>
    <w:rsid w:val="0075554F"/>
    <w:rsid w:val="007555A8"/>
    <w:rsid w:val="00755F97"/>
    <w:rsid w:val="00756EA9"/>
    <w:rsid w:val="00756FB4"/>
    <w:rsid w:val="00757397"/>
    <w:rsid w:val="007601C0"/>
    <w:rsid w:val="00760885"/>
    <w:rsid w:val="007612E6"/>
    <w:rsid w:val="00761CBB"/>
    <w:rsid w:val="007620A6"/>
    <w:rsid w:val="00763920"/>
    <w:rsid w:val="0076654A"/>
    <w:rsid w:val="007668BC"/>
    <w:rsid w:val="007668F4"/>
    <w:rsid w:val="0076699E"/>
    <w:rsid w:val="00766D9D"/>
    <w:rsid w:val="00767C10"/>
    <w:rsid w:val="007704A9"/>
    <w:rsid w:val="007706C0"/>
    <w:rsid w:val="00772538"/>
    <w:rsid w:val="007729E1"/>
    <w:rsid w:val="00773FDE"/>
    <w:rsid w:val="00775E30"/>
    <w:rsid w:val="00776E6E"/>
    <w:rsid w:val="007774EF"/>
    <w:rsid w:val="00777800"/>
    <w:rsid w:val="00777E52"/>
    <w:rsid w:val="007804F2"/>
    <w:rsid w:val="0078113B"/>
    <w:rsid w:val="0078166E"/>
    <w:rsid w:val="0078195E"/>
    <w:rsid w:val="00781B97"/>
    <w:rsid w:val="00781BD6"/>
    <w:rsid w:val="007822EA"/>
    <w:rsid w:val="00782312"/>
    <w:rsid w:val="007823F7"/>
    <w:rsid w:val="00782894"/>
    <w:rsid w:val="00782A01"/>
    <w:rsid w:val="00782E3F"/>
    <w:rsid w:val="00782ECB"/>
    <w:rsid w:val="00784CA8"/>
    <w:rsid w:val="0078561E"/>
    <w:rsid w:val="00786FA8"/>
    <w:rsid w:val="007907E6"/>
    <w:rsid w:val="00792EDF"/>
    <w:rsid w:val="00793C48"/>
    <w:rsid w:val="00793D8A"/>
    <w:rsid w:val="00795792"/>
    <w:rsid w:val="00795CC0"/>
    <w:rsid w:val="007A0542"/>
    <w:rsid w:val="007A078D"/>
    <w:rsid w:val="007A0FBD"/>
    <w:rsid w:val="007A19C9"/>
    <w:rsid w:val="007A2D94"/>
    <w:rsid w:val="007A3D01"/>
    <w:rsid w:val="007A50AB"/>
    <w:rsid w:val="007A5DAF"/>
    <w:rsid w:val="007A6007"/>
    <w:rsid w:val="007A6761"/>
    <w:rsid w:val="007A7605"/>
    <w:rsid w:val="007B0516"/>
    <w:rsid w:val="007B091C"/>
    <w:rsid w:val="007B0B6C"/>
    <w:rsid w:val="007B40AA"/>
    <w:rsid w:val="007B5844"/>
    <w:rsid w:val="007B74C5"/>
    <w:rsid w:val="007B79D8"/>
    <w:rsid w:val="007C0158"/>
    <w:rsid w:val="007C02E4"/>
    <w:rsid w:val="007C08AD"/>
    <w:rsid w:val="007C0932"/>
    <w:rsid w:val="007C1B9B"/>
    <w:rsid w:val="007C2A1D"/>
    <w:rsid w:val="007C2AA0"/>
    <w:rsid w:val="007C392B"/>
    <w:rsid w:val="007C55EA"/>
    <w:rsid w:val="007C6D92"/>
    <w:rsid w:val="007C7CCD"/>
    <w:rsid w:val="007D0ABB"/>
    <w:rsid w:val="007D12BE"/>
    <w:rsid w:val="007D16F5"/>
    <w:rsid w:val="007D4B16"/>
    <w:rsid w:val="007D66A5"/>
    <w:rsid w:val="007D678B"/>
    <w:rsid w:val="007D6C42"/>
    <w:rsid w:val="007D7457"/>
    <w:rsid w:val="007D754F"/>
    <w:rsid w:val="007E0446"/>
    <w:rsid w:val="007E151E"/>
    <w:rsid w:val="007E1D32"/>
    <w:rsid w:val="007E3B28"/>
    <w:rsid w:val="007E581B"/>
    <w:rsid w:val="007E5B6D"/>
    <w:rsid w:val="007E64C7"/>
    <w:rsid w:val="007E666A"/>
    <w:rsid w:val="007E6BAF"/>
    <w:rsid w:val="007E7510"/>
    <w:rsid w:val="007F18E5"/>
    <w:rsid w:val="007F200F"/>
    <w:rsid w:val="007F269C"/>
    <w:rsid w:val="007F2887"/>
    <w:rsid w:val="007F377D"/>
    <w:rsid w:val="007F420E"/>
    <w:rsid w:val="007F5D9D"/>
    <w:rsid w:val="007F5EA6"/>
    <w:rsid w:val="007F61EE"/>
    <w:rsid w:val="007F72C5"/>
    <w:rsid w:val="007F7841"/>
    <w:rsid w:val="00800D7C"/>
    <w:rsid w:val="00801326"/>
    <w:rsid w:val="008016B6"/>
    <w:rsid w:val="00801B46"/>
    <w:rsid w:val="00802CBE"/>
    <w:rsid w:val="008031B5"/>
    <w:rsid w:val="00803332"/>
    <w:rsid w:val="00804ECE"/>
    <w:rsid w:val="00804EEB"/>
    <w:rsid w:val="00805A6E"/>
    <w:rsid w:val="00805E1C"/>
    <w:rsid w:val="00806618"/>
    <w:rsid w:val="008066D5"/>
    <w:rsid w:val="008102C1"/>
    <w:rsid w:val="00811572"/>
    <w:rsid w:val="00815378"/>
    <w:rsid w:val="00815D1D"/>
    <w:rsid w:val="00815F84"/>
    <w:rsid w:val="00816B92"/>
    <w:rsid w:val="00817465"/>
    <w:rsid w:val="0081765A"/>
    <w:rsid w:val="00817833"/>
    <w:rsid w:val="008200AB"/>
    <w:rsid w:val="00820308"/>
    <w:rsid w:val="008214BF"/>
    <w:rsid w:val="008218B9"/>
    <w:rsid w:val="008219CD"/>
    <w:rsid w:val="00821FD5"/>
    <w:rsid w:val="00822426"/>
    <w:rsid w:val="008224E2"/>
    <w:rsid w:val="00822688"/>
    <w:rsid w:val="00823331"/>
    <w:rsid w:val="0082344A"/>
    <w:rsid w:val="0082470F"/>
    <w:rsid w:val="0082509A"/>
    <w:rsid w:val="00825129"/>
    <w:rsid w:val="0082593E"/>
    <w:rsid w:val="00826E00"/>
    <w:rsid w:val="00827D79"/>
    <w:rsid w:val="00830B6D"/>
    <w:rsid w:val="0083201C"/>
    <w:rsid w:val="00832E94"/>
    <w:rsid w:val="0083330E"/>
    <w:rsid w:val="00833B1F"/>
    <w:rsid w:val="0083458F"/>
    <w:rsid w:val="00835454"/>
    <w:rsid w:val="008358AF"/>
    <w:rsid w:val="008365B5"/>
    <w:rsid w:val="00840D3B"/>
    <w:rsid w:val="00840FAB"/>
    <w:rsid w:val="00841A85"/>
    <w:rsid w:val="00842429"/>
    <w:rsid w:val="00843642"/>
    <w:rsid w:val="00843918"/>
    <w:rsid w:val="00845084"/>
    <w:rsid w:val="008456E8"/>
    <w:rsid w:val="00845B85"/>
    <w:rsid w:val="00846F96"/>
    <w:rsid w:val="008470C6"/>
    <w:rsid w:val="00850212"/>
    <w:rsid w:val="00851754"/>
    <w:rsid w:val="00851C91"/>
    <w:rsid w:val="00851E4A"/>
    <w:rsid w:val="00852006"/>
    <w:rsid w:val="008526CA"/>
    <w:rsid w:val="008550DE"/>
    <w:rsid w:val="00855728"/>
    <w:rsid w:val="00856177"/>
    <w:rsid w:val="00856498"/>
    <w:rsid w:val="00856B3E"/>
    <w:rsid w:val="0086066F"/>
    <w:rsid w:val="00860BB2"/>
    <w:rsid w:val="00860E07"/>
    <w:rsid w:val="008623AE"/>
    <w:rsid w:val="00863184"/>
    <w:rsid w:val="0086405D"/>
    <w:rsid w:val="008659C5"/>
    <w:rsid w:val="0086604D"/>
    <w:rsid w:val="008661F8"/>
    <w:rsid w:val="00866C2A"/>
    <w:rsid w:val="008670F5"/>
    <w:rsid w:val="00867E23"/>
    <w:rsid w:val="0087114A"/>
    <w:rsid w:val="00871311"/>
    <w:rsid w:val="00871347"/>
    <w:rsid w:val="008718A4"/>
    <w:rsid w:val="0087200B"/>
    <w:rsid w:val="00872986"/>
    <w:rsid w:val="00872CBA"/>
    <w:rsid w:val="0087329D"/>
    <w:rsid w:val="0087527D"/>
    <w:rsid w:val="008774A5"/>
    <w:rsid w:val="0088288C"/>
    <w:rsid w:val="008845AF"/>
    <w:rsid w:val="0088572E"/>
    <w:rsid w:val="00885A94"/>
    <w:rsid w:val="00885CBB"/>
    <w:rsid w:val="00886358"/>
    <w:rsid w:val="0088643D"/>
    <w:rsid w:val="008864D1"/>
    <w:rsid w:val="0088707A"/>
    <w:rsid w:val="00887501"/>
    <w:rsid w:val="008903CF"/>
    <w:rsid w:val="00890762"/>
    <w:rsid w:val="00891308"/>
    <w:rsid w:val="00892E75"/>
    <w:rsid w:val="00893B6E"/>
    <w:rsid w:val="008954A3"/>
    <w:rsid w:val="00896143"/>
    <w:rsid w:val="00896FED"/>
    <w:rsid w:val="008972BF"/>
    <w:rsid w:val="00897BEE"/>
    <w:rsid w:val="008A01BF"/>
    <w:rsid w:val="008A0809"/>
    <w:rsid w:val="008A0828"/>
    <w:rsid w:val="008A1502"/>
    <w:rsid w:val="008A1A24"/>
    <w:rsid w:val="008A1C10"/>
    <w:rsid w:val="008A37BF"/>
    <w:rsid w:val="008A7CF2"/>
    <w:rsid w:val="008A7F55"/>
    <w:rsid w:val="008B1269"/>
    <w:rsid w:val="008B17EC"/>
    <w:rsid w:val="008B424F"/>
    <w:rsid w:val="008B7170"/>
    <w:rsid w:val="008B7D50"/>
    <w:rsid w:val="008C0567"/>
    <w:rsid w:val="008C0BCA"/>
    <w:rsid w:val="008C2607"/>
    <w:rsid w:val="008C2B87"/>
    <w:rsid w:val="008C2ED4"/>
    <w:rsid w:val="008C5017"/>
    <w:rsid w:val="008C51FF"/>
    <w:rsid w:val="008C71E7"/>
    <w:rsid w:val="008C7ACA"/>
    <w:rsid w:val="008D01EC"/>
    <w:rsid w:val="008D0DFE"/>
    <w:rsid w:val="008D19E0"/>
    <w:rsid w:val="008D2A85"/>
    <w:rsid w:val="008D3312"/>
    <w:rsid w:val="008D3606"/>
    <w:rsid w:val="008D3920"/>
    <w:rsid w:val="008D4365"/>
    <w:rsid w:val="008D4564"/>
    <w:rsid w:val="008D482D"/>
    <w:rsid w:val="008D49AB"/>
    <w:rsid w:val="008D4CD0"/>
    <w:rsid w:val="008D6C51"/>
    <w:rsid w:val="008E0517"/>
    <w:rsid w:val="008E0B4F"/>
    <w:rsid w:val="008E11A1"/>
    <w:rsid w:val="008E1A90"/>
    <w:rsid w:val="008E1C0E"/>
    <w:rsid w:val="008E2554"/>
    <w:rsid w:val="008E2CAB"/>
    <w:rsid w:val="008E3341"/>
    <w:rsid w:val="008E3371"/>
    <w:rsid w:val="008E3627"/>
    <w:rsid w:val="008E37D2"/>
    <w:rsid w:val="008E6308"/>
    <w:rsid w:val="008E6611"/>
    <w:rsid w:val="008E6619"/>
    <w:rsid w:val="008E6F11"/>
    <w:rsid w:val="008E78BD"/>
    <w:rsid w:val="008E7AEE"/>
    <w:rsid w:val="008E7F83"/>
    <w:rsid w:val="008F11CC"/>
    <w:rsid w:val="008F1BE2"/>
    <w:rsid w:val="008F2C02"/>
    <w:rsid w:val="008F5AE9"/>
    <w:rsid w:val="008F6D65"/>
    <w:rsid w:val="008F6F1C"/>
    <w:rsid w:val="008F7679"/>
    <w:rsid w:val="009000E7"/>
    <w:rsid w:val="00901361"/>
    <w:rsid w:val="00901F32"/>
    <w:rsid w:val="009026DA"/>
    <w:rsid w:val="00903299"/>
    <w:rsid w:val="00903C26"/>
    <w:rsid w:val="00903C3F"/>
    <w:rsid w:val="009049ED"/>
    <w:rsid w:val="00904E37"/>
    <w:rsid w:val="0090577A"/>
    <w:rsid w:val="00906A94"/>
    <w:rsid w:val="009102AB"/>
    <w:rsid w:val="009109BA"/>
    <w:rsid w:val="009113D9"/>
    <w:rsid w:val="00911870"/>
    <w:rsid w:val="0091196B"/>
    <w:rsid w:val="0091249F"/>
    <w:rsid w:val="00912870"/>
    <w:rsid w:val="00912D07"/>
    <w:rsid w:val="00913562"/>
    <w:rsid w:val="009139A2"/>
    <w:rsid w:val="00913EDF"/>
    <w:rsid w:val="009142F0"/>
    <w:rsid w:val="009149BF"/>
    <w:rsid w:val="0091538C"/>
    <w:rsid w:val="009153EC"/>
    <w:rsid w:val="009155F8"/>
    <w:rsid w:val="00916FA1"/>
    <w:rsid w:val="0091704C"/>
    <w:rsid w:val="009203B3"/>
    <w:rsid w:val="00920495"/>
    <w:rsid w:val="0092154B"/>
    <w:rsid w:val="009238BD"/>
    <w:rsid w:val="009239D8"/>
    <w:rsid w:val="00925313"/>
    <w:rsid w:val="00926299"/>
    <w:rsid w:val="0092708E"/>
    <w:rsid w:val="009270A2"/>
    <w:rsid w:val="009276CC"/>
    <w:rsid w:val="0092783D"/>
    <w:rsid w:val="00930FB3"/>
    <w:rsid w:val="00934A33"/>
    <w:rsid w:val="00934B9A"/>
    <w:rsid w:val="00934C3A"/>
    <w:rsid w:val="0093507C"/>
    <w:rsid w:val="009362FC"/>
    <w:rsid w:val="00936552"/>
    <w:rsid w:val="00936BFA"/>
    <w:rsid w:val="00936EDF"/>
    <w:rsid w:val="0093759C"/>
    <w:rsid w:val="00937BA6"/>
    <w:rsid w:val="00940CC9"/>
    <w:rsid w:val="00942F9A"/>
    <w:rsid w:val="00944204"/>
    <w:rsid w:val="009451ED"/>
    <w:rsid w:val="0094679D"/>
    <w:rsid w:val="009472E2"/>
    <w:rsid w:val="0095110B"/>
    <w:rsid w:val="00952494"/>
    <w:rsid w:val="00952C21"/>
    <w:rsid w:val="009533FE"/>
    <w:rsid w:val="00953FAA"/>
    <w:rsid w:val="009544CC"/>
    <w:rsid w:val="009548EA"/>
    <w:rsid w:val="009549AC"/>
    <w:rsid w:val="00954B71"/>
    <w:rsid w:val="00955667"/>
    <w:rsid w:val="00956827"/>
    <w:rsid w:val="00963586"/>
    <w:rsid w:val="00963B73"/>
    <w:rsid w:val="00963F2D"/>
    <w:rsid w:val="009646AA"/>
    <w:rsid w:val="0096504D"/>
    <w:rsid w:val="00965806"/>
    <w:rsid w:val="00966C86"/>
    <w:rsid w:val="009671C9"/>
    <w:rsid w:val="00970FE1"/>
    <w:rsid w:val="009729EF"/>
    <w:rsid w:val="00972D85"/>
    <w:rsid w:val="00973735"/>
    <w:rsid w:val="00973E32"/>
    <w:rsid w:val="00974540"/>
    <w:rsid w:val="00974DEB"/>
    <w:rsid w:val="00975039"/>
    <w:rsid w:val="00976100"/>
    <w:rsid w:val="009765E9"/>
    <w:rsid w:val="009774E5"/>
    <w:rsid w:val="00981713"/>
    <w:rsid w:val="009819D7"/>
    <w:rsid w:val="00981CA6"/>
    <w:rsid w:val="009830AD"/>
    <w:rsid w:val="0098330C"/>
    <w:rsid w:val="00983D8D"/>
    <w:rsid w:val="00984A82"/>
    <w:rsid w:val="0098506C"/>
    <w:rsid w:val="0098520E"/>
    <w:rsid w:val="00985BBE"/>
    <w:rsid w:val="00985D7E"/>
    <w:rsid w:val="009864FB"/>
    <w:rsid w:val="009870E0"/>
    <w:rsid w:val="00987FA4"/>
    <w:rsid w:val="00990B2C"/>
    <w:rsid w:val="0099179C"/>
    <w:rsid w:val="00993257"/>
    <w:rsid w:val="0099329C"/>
    <w:rsid w:val="00996150"/>
    <w:rsid w:val="00997278"/>
    <w:rsid w:val="009977EA"/>
    <w:rsid w:val="00997D17"/>
    <w:rsid w:val="009A11A0"/>
    <w:rsid w:val="009A16C8"/>
    <w:rsid w:val="009A195B"/>
    <w:rsid w:val="009A319C"/>
    <w:rsid w:val="009A3C7E"/>
    <w:rsid w:val="009A4603"/>
    <w:rsid w:val="009A4B6F"/>
    <w:rsid w:val="009A51D8"/>
    <w:rsid w:val="009A5F51"/>
    <w:rsid w:val="009A616F"/>
    <w:rsid w:val="009A63A3"/>
    <w:rsid w:val="009A6A99"/>
    <w:rsid w:val="009A6EBC"/>
    <w:rsid w:val="009A7DD6"/>
    <w:rsid w:val="009B0C82"/>
    <w:rsid w:val="009B1522"/>
    <w:rsid w:val="009B292B"/>
    <w:rsid w:val="009B342F"/>
    <w:rsid w:val="009B3C21"/>
    <w:rsid w:val="009B7670"/>
    <w:rsid w:val="009B773D"/>
    <w:rsid w:val="009B7BBF"/>
    <w:rsid w:val="009C028F"/>
    <w:rsid w:val="009C1561"/>
    <w:rsid w:val="009C184B"/>
    <w:rsid w:val="009C1EA9"/>
    <w:rsid w:val="009C2F74"/>
    <w:rsid w:val="009D0231"/>
    <w:rsid w:val="009D02B0"/>
    <w:rsid w:val="009D0489"/>
    <w:rsid w:val="009D0D44"/>
    <w:rsid w:val="009D13C1"/>
    <w:rsid w:val="009D1B92"/>
    <w:rsid w:val="009D25F8"/>
    <w:rsid w:val="009D299C"/>
    <w:rsid w:val="009D2F51"/>
    <w:rsid w:val="009D3268"/>
    <w:rsid w:val="009D3707"/>
    <w:rsid w:val="009D3B8F"/>
    <w:rsid w:val="009D45B4"/>
    <w:rsid w:val="009D540B"/>
    <w:rsid w:val="009D5DBB"/>
    <w:rsid w:val="009D73E5"/>
    <w:rsid w:val="009D7882"/>
    <w:rsid w:val="009E0288"/>
    <w:rsid w:val="009E0735"/>
    <w:rsid w:val="009E226F"/>
    <w:rsid w:val="009E3170"/>
    <w:rsid w:val="009E3F08"/>
    <w:rsid w:val="009E59F0"/>
    <w:rsid w:val="009E6E09"/>
    <w:rsid w:val="009E700A"/>
    <w:rsid w:val="009E7AD0"/>
    <w:rsid w:val="009F052E"/>
    <w:rsid w:val="009F0F0C"/>
    <w:rsid w:val="009F11FD"/>
    <w:rsid w:val="009F33A7"/>
    <w:rsid w:val="009F3E46"/>
    <w:rsid w:val="009F400E"/>
    <w:rsid w:val="009F510B"/>
    <w:rsid w:val="009F5517"/>
    <w:rsid w:val="009F56C2"/>
    <w:rsid w:val="009F61B3"/>
    <w:rsid w:val="009F6BAE"/>
    <w:rsid w:val="009F7450"/>
    <w:rsid w:val="009F7667"/>
    <w:rsid w:val="009F780B"/>
    <w:rsid w:val="009F7C80"/>
    <w:rsid w:val="00A01797"/>
    <w:rsid w:val="00A02048"/>
    <w:rsid w:val="00A024A1"/>
    <w:rsid w:val="00A04ACF"/>
    <w:rsid w:val="00A073D4"/>
    <w:rsid w:val="00A1245E"/>
    <w:rsid w:val="00A13BCE"/>
    <w:rsid w:val="00A141C0"/>
    <w:rsid w:val="00A1750F"/>
    <w:rsid w:val="00A175A4"/>
    <w:rsid w:val="00A21985"/>
    <w:rsid w:val="00A2222E"/>
    <w:rsid w:val="00A228FB"/>
    <w:rsid w:val="00A23397"/>
    <w:rsid w:val="00A24EFD"/>
    <w:rsid w:val="00A2572F"/>
    <w:rsid w:val="00A2684A"/>
    <w:rsid w:val="00A2717D"/>
    <w:rsid w:val="00A273EF"/>
    <w:rsid w:val="00A27BD4"/>
    <w:rsid w:val="00A27BF7"/>
    <w:rsid w:val="00A27F93"/>
    <w:rsid w:val="00A32AA0"/>
    <w:rsid w:val="00A33471"/>
    <w:rsid w:val="00A352B2"/>
    <w:rsid w:val="00A368E6"/>
    <w:rsid w:val="00A36EBC"/>
    <w:rsid w:val="00A41058"/>
    <w:rsid w:val="00A416E6"/>
    <w:rsid w:val="00A41FCD"/>
    <w:rsid w:val="00A42CD5"/>
    <w:rsid w:val="00A4319B"/>
    <w:rsid w:val="00A43F29"/>
    <w:rsid w:val="00A448BD"/>
    <w:rsid w:val="00A462A9"/>
    <w:rsid w:val="00A4781F"/>
    <w:rsid w:val="00A4795C"/>
    <w:rsid w:val="00A50344"/>
    <w:rsid w:val="00A503BE"/>
    <w:rsid w:val="00A5040D"/>
    <w:rsid w:val="00A52028"/>
    <w:rsid w:val="00A52123"/>
    <w:rsid w:val="00A525C1"/>
    <w:rsid w:val="00A527B5"/>
    <w:rsid w:val="00A541A4"/>
    <w:rsid w:val="00A54361"/>
    <w:rsid w:val="00A55112"/>
    <w:rsid w:val="00A55299"/>
    <w:rsid w:val="00A5578A"/>
    <w:rsid w:val="00A564FB"/>
    <w:rsid w:val="00A617D9"/>
    <w:rsid w:val="00A62CC0"/>
    <w:rsid w:val="00A6369A"/>
    <w:rsid w:val="00A63E90"/>
    <w:rsid w:val="00A64B81"/>
    <w:rsid w:val="00A65700"/>
    <w:rsid w:val="00A65BE1"/>
    <w:rsid w:val="00A66250"/>
    <w:rsid w:val="00A66915"/>
    <w:rsid w:val="00A66AAB"/>
    <w:rsid w:val="00A678FB"/>
    <w:rsid w:val="00A7249D"/>
    <w:rsid w:val="00A73A75"/>
    <w:rsid w:val="00A73FB8"/>
    <w:rsid w:val="00A74ACF"/>
    <w:rsid w:val="00A75209"/>
    <w:rsid w:val="00A75A57"/>
    <w:rsid w:val="00A76024"/>
    <w:rsid w:val="00A76AE9"/>
    <w:rsid w:val="00A777DA"/>
    <w:rsid w:val="00A77BB4"/>
    <w:rsid w:val="00A77C75"/>
    <w:rsid w:val="00A803D4"/>
    <w:rsid w:val="00A80FD0"/>
    <w:rsid w:val="00A82850"/>
    <w:rsid w:val="00A82A90"/>
    <w:rsid w:val="00A82D8D"/>
    <w:rsid w:val="00A8326A"/>
    <w:rsid w:val="00A8420D"/>
    <w:rsid w:val="00A84809"/>
    <w:rsid w:val="00A85060"/>
    <w:rsid w:val="00A85080"/>
    <w:rsid w:val="00A85204"/>
    <w:rsid w:val="00A8577F"/>
    <w:rsid w:val="00A874E6"/>
    <w:rsid w:val="00A91757"/>
    <w:rsid w:val="00A937E5"/>
    <w:rsid w:val="00A93AD6"/>
    <w:rsid w:val="00A94E0C"/>
    <w:rsid w:val="00A9536E"/>
    <w:rsid w:val="00A96402"/>
    <w:rsid w:val="00A97E96"/>
    <w:rsid w:val="00AA39F6"/>
    <w:rsid w:val="00AA3C04"/>
    <w:rsid w:val="00AA5B2B"/>
    <w:rsid w:val="00AA6455"/>
    <w:rsid w:val="00AA6ACE"/>
    <w:rsid w:val="00AA6CF4"/>
    <w:rsid w:val="00AA72A3"/>
    <w:rsid w:val="00AB2530"/>
    <w:rsid w:val="00AB36D3"/>
    <w:rsid w:val="00AB59C5"/>
    <w:rsid w:val="00AB651D"/>
    <w:rsid w:val="00AC172E"/>
    <w:rsid w:val="00AC2275"/>
    <w:rsid w:val="00AC274C"/>
    <w:rsid w:val="00AC34C8"/>
    <w:rsid w:val="00AC39DF"/>
    <w:rsid w:val="00AC42FA"/>
    <w:rsid w:val="00AC4CC4"/>
    <w:rsid w:val="00AC6071"/>
    <w:rsid w:val="00AC6692"/>
    <w:rsid w:val="00AC6B85"/>
    <w:rsid w:val="00AC6C90"/>
    <w:rsid w:val="00AC78D5"/>
    <w:rsid w:val="00AD0FEE"/>
    <w:rsid w:val="00AD14ED"/>
    <w:rsid w:val="00AD1B2C"/>
    <w:rsid w:val="00AD2A0B"/>
    <w:rsid w:val="00AD45CE"/>
    <w:rsid w:val="00AD4E98"/>
    <w:rsid w:val="00AD507D"/>
    <w:rsid w:val="00AD5099"/>
    <w:rsid w:val="00AD60DA"/>
    <w:rsid w:val="00AD61CD"/>
    <w:rsid w:val="00AD6384"/>
    <w:rsid w:val="00AD78A5"/>
    <w:rsid w:val="00AE0BFC"/>
    <w:rsid w:val="00AE26CF"/>
    <w:rsid w:val="00AE2855"/>
    <w:rsid w:val="00AE3B23"/>
    <w:rsid w:val="00AE4877"/>
    <w:rsid w:val="00AE4E6D"/>
    <w:rsid w:val="00AE68D2"/>
    <w:rsid w:val="00AE71E4"/>
    <w:rsid w:val="00AF06B0"/>
    <w:rsid w:val="00AF0E1F"/>
    <w:rsid w:val="00AF2237"/>
    <w:rsid w:val="00AF23D6"/>
    <w:rsid w:val="00AF3BB1"/>
    <w:rsid w:val="00AF51E0"/>
    <w:rsid w:val="00AF6321"/>
    <w:rsid w:val="00AF6661"/>
    <w:rsid w:val="00AF696A"/>
    <w:rsid w:val="00AF762B"/>
    <w:rsid w:val="00AF7DFC"/>
    <w:rsid w:val="00B0287B"/>
    <w:rsid w:val="00B03615"/>
    <w:rsid w:val="00B03EE6"/>
    <w:rsid w:val="00B051DB"/>
    <w:rsid w:val="00B0571A"/>
    <w:rsid w:val="00B05739"/>
    <w:rsid w:val="00B05F33"/>
    <w:rsid w:val="00B06C1B"/>
    <w:rsid w:val="00B0764F"/>
    <w:rsid w:val="00B102BD"/>
    <w:rsid w:val="00B1341C"/>
    <w:rsid w:val="00B14EAC"/>
    <w:rsid w:val="00B16883"/>
    <w:rsid w:val="00B201CC"/>
    <w:rsid w:val="00B202AC"/>
    <w:rsid w:val="00B21EAD"/>
    <w:rsid w:val="00B22379"/>
    <w:rsid w:val="00B22996"/>
    <w:rsid w:val="00B22F84"/>
    <w:rsid w:val="00B2348B"/>
    <w:rsid w:val="00B24C68"/>
    <w:rsid w:val="00B24D7D"/>
    <w:rsid w:val="00B254E7"/>
    <w:rsid w:val="00B315F2"/>
    <w:rsid w:val="00B31F10"/>
    <w:rsid w:val="00B32166"/>
    <w:rsid w:val="00B32B2E"/>
    <w:rsid w:val="00B32D09"/>
    <w:rsid w:val="00B33EEE"/>
    <w:rsid w:val="00B340E2"/>
    <w:rsid w:val="00B34751"/>
    <w:rsid w:val="00B34E79"/>
    <w:rsid w:val="00B361E4"/>
    <w:rsid w:val="00B36605"/>
    <w:rsid w:val="00B3738D"/>
    <w:rsid w:val="00B375E6"/>
    <w:rsid w:val="00B40396"/>
    <w:rsid w:val="00B4084C"/>
    <w:rsid w:val="00B40DA9"/>
    <w:rsid w:val="00B41857"/>
    <w:rsid w:val="00B41EFE"/>
    <w:rsid w:val="00B431B7"/>
    <w:rsid w:val="00B4351B"/>
    <w:rsid w:val="00B479F8"/>
    <w:rsid w:val="00B47FA3"/>
    <w:rsid w:val="00B51292"/>
    <w:rsid w:val="00B5157B"/>
    <w:rsid w:val="00B52ED5"/>
    <w:rsid w:val="00B53089"/>
    <w:rsid w:val="00B536F0"/>
    <w:rsid w:val="00B538F5"/>
    <w:rsid w:val="00B543FA"/>
    <w:rsid w:val="00B54B98"/>
    <w:rsid w:val="00B54CC2"/>
    <w:rsid w:val="00B56418"/>
    <w:rsid w:val="00B56789"/>
    <w:rsid w:val="00B56E91"/>
    <w:rsid w:val="00B56EE3"/>
    <w:rsid w:val="00B56F92"/>
    <w:rsid w:val="00B56F9A"/>
    <w:rsid w:val="00B5754F"/>
    <w:rsid w:val="00B63E50"/>
    <w:rsid w:val="00B64AEB"/>
    <w:rsid w:val="00B66372"/>
    <w:rsid w:val="00B66D05"/>
    <w:rsid w:val="00B702DE"/>
    <w:rsid w:val="00B714AE"/>
    <w:rsid w:val="00B71E5C"/>
    <w:rsid w:val="00B72345"/>
    <w:rsid w:val="00B74875"/>
    <w:rsid w:val="00B74C76"/>
    <w:rsid w:val="00B764F0"/>
    <w:rsid w:val="00B76A73"/>
    <w:rsid w:val="00B773C3"/>
    <w:rsid w:val="00B8145F"/>
    <w:rsid w:val="00B815F5"/>
    <w:rsid w:val="00B8520A"/>
    <w:rsid w:val="00B8593C"/>
    <w:rsid w:val="00B87057"/>
    <w:rsid w:val="00B87235"/>
    <w:rsid w:val="00B911F7"/>
    <w:rsid w:val="00B921B1"/>
    <w:rsid w:val="00B92D3B"/>
    <w:rsid w:val="00B93203"/>
    <w:rsid w:val="00B9528B"/>
    <w:rsid w:val="00B95356"/>
    <w:rsid w:val="00B959EA"/>
    <w:rsid w:val="00B96CE6"/>
    <w:rsid w:val="00B97B5D"/>
    <w:rsid w:val="00BA1A60"/>
    <w:rsid w:val="00BA365B"/>
    <w:rsid w:val="00BA397D"/>
    <w:rsid w:val="00BA3C71"/>
    <w:rsid w:val="00BA3C73"/>
    <w:rsid w:val="00BA4109"/>
    <w:rsid w:val="00BA4FA9"/>
    <w:rsid w:val="00BA58C1"/>
    <w:rsid w:val="00BA5AEB"/>
    <w:rsid w:val="00BA63BC"/>
    <w:rsid w:val="00BA6FFE"/>
    <w:rsid w:val="00BA794F"/>
    <w:rsid w:val="00BB05D4"/>
    <w:rsid w:val="00BB27D3"/>
    <w:rsid w:val="00BB36B2"/>
    <w:rsid w:val="00BB3908"/>
    <w:rsid w:val="00BB618B"/>
    <w:rsid w:val="00BB691D"/>
    <w:rsid w:val="00BB6D1F"/>
    <w:rsid w:val="00BC02CD"/>
    <w:rsid w:val="00BC12FE"/>
    <w:rsid w:val="00BC1C64"/>
    <w:rsid w:val="00BC2BC4"/>
    <w:rsid w:val="00BC39AE"/>
    <w:rsid w:val="00BC4C89"/>
    <w:rsid w:val="00BC521F"/>
    <w:rsid w:val="00BC54A4"/>
    <w:rsid w:val="00BC5B60"/>
    <w:rsid w:val="00BC5B7E"/>
    <w:rsid w:val="00BC6B0B"/>
    <w:rsid w:val="00BC6ED0"/>
    <w:rsid w:val="00BD03D0"/>
    <w:rsid w:val="00BD0964"/>
    <w:rsid w:val="00BD0B17"/>
    <w:rsid w:val="00BD0CAB"/>
    <w:rsid w:val="00BD1DFD"/>
    <w:rsid w:val="00BD4959"/>
    <w:rsid w:val="00BD496B"/>
    <w:rsid w:val="00BD49B5"/>
    <w:rsid w:val="00BD5271"/>
    <w:rsid w:val="00BD5570"/>
    <w:rsid w:val="00BD5711"/>
    <w:rsid w:val="00BD784F"/>
    <w:rsid w:val="00BD7D51"/>
    <w:rsid w:val="00BE20D6"/>
    <w:rsid w:val="00BE26EE"/>
    <w:rsid w:val="00BE287B"/>
    <w:rsid w:val="00BE4B1A"/>
    <w:rsid w:val="00BE4EF1"/>
    <w:rsid w:val="00BE6021"/>
    <w:rsid w:val="00BE68DE"/>
    <w:rsid w:val="00BE71AF"/>
    <w:rsid w:val="00BE785A"/>
    <w:rsid w:val="00BE7FAF"/>
    <w:rsid w:val="00BF21C9"/>
    <w:rsid w:val="00BF3327"/>
    <w:rsid w:val="00BF385B"/>
    <w:rsid w:val="00BF3F4D"/>
    <w:rsid w:val="00BF3FC5"/>
    <w:rsid w:val="00BF5A09"/>
    <w:rsid w:val="00C00421"/>
    <w:rsid w:val="00C0069A"/>
    <w:rsid w:val="00C01FC5"/>
    <w:rsid w:val="00C0218D"/>
    <w:rsid w:val="00C02559"/>
    <w:rsid w:val="00C02B12"/>
    <w:rsid w:val="00C02C94"/>
    <w:rsid w:val="00C04305"/>
    <w:rsid w:val="00C04B6E"/>
    <w:rsid w:val="00C0580F"/>
    <w:rsid w:val="00C05AE4"/>
    <w:rsid w:val="00C05CF7"/>
    <w:rsid w:val="00C071F4"/>
    <w:rsid w:val="00C07591"/>
    <w:rsid w:val="00C07634"/>
    <w:rsid w:val="00C10387"/>
    <w:rsid w:val="00C10AB2"/>
    <w:rsid w:val="00C11839"/>
    <w:rsid w:val="00C1193F"/>
    <w:rsid w:val="00C121F4"/>
    <w:rsid w:val="00C1237F"/>
    <w:rsid w:val="00C14A62"/>
    <w:rsid w:val="00C15070"/>
    <w:rsid w:val="00C15536"/>
    <w:rsid w:val="00C159EB"/>
    <w:rsid w:val="00C16094"/>
    <w:rsid w:val="00C165BA"/>
    <w:rsid w:val="00C173AA"/>
    <w:rsid w:val="00C17ABE"/>
    <w:rsid w:val="00C204B6"/>
    <w:rsid w:val="00C22343"/>
    <w:rsid w:val="00C22385"/>
    <w:rsid w:val="00C22707"/>
    <w:rsid w:val="00C239CA"/>
    <w:rsid w:val="00C23D49"/>
    <w:rsid w:val="00C2526C"/>
    <w:rsid w:val="00C253AD"/>
    <w:rsid w:val="00C25670"/>
    <w:rsid w:val="00C25FB8"/>
    <w:rsid w:val="00C26DC3"/>
    <w:rsid w:val="00C27C67"/>
    <w:rsid w:val="00C27D9A"/>
    <w:rsid w:val="00C27DA5"/>
    <w:rsid w:val="00C31328"/>
    <w:rsid w:val="00C32638"/>
    <w:rsid w:val="00C328A0"/>
    <w:rsid w:val="00C3395A"/>
    <w:rsid w:val="00C33ABF"/>
    <w:rsid w:val="00C356AC"/>
    <w:rsid w:val="00C356BC"/>
    <w:rsid w:val="00C357A9"/>
    <w:rsid w:val="00C35A3C"/>
    <w:rsid w:val="00C363BC"/>
    <w:rsid w:val="00C37013"/>
    <w:rsid w:val="00C37794"/>
    <w:rsid w:val="00C37B7C"/>
    <w:rsid w:val="00C37DA8"/>
    <w:rsid w:val="00C37F3C"/>
    <w:rsid w:val="00C4013E"/>
    <w:rsid w:val="00C40387"/>
    <w:rsid w:val="00C4187F"/>
    <w:rsid w:val="00C422C5"/>
    <w:rsid w:val="00C44A65"/>
    <w:rsid w:val="00C45103"/>
    <w:rsid w:val="00C4689A"/>
    <w:rsid w:val="00C47738"/>
    <w:rsid w:val="00C50F19"/>
    <w:rsid w:val="00C51B10"/>
    <w:rsid w:val="00C51EEB"/>
    <w:rsid w:val="00C53B7D"/>
    <w:rsid w:val="00C56729"/>
    <w:rsid w:val="00C56919"/>
    <w:rsid w:val="00C57DEA"/>
    <w:rsid w:val="00C63155"/>
    <w:rsid w:val="00C648EB"/>
    <w:rsid w:val="00C64B11"/>
    <w:rsid w:val="00C64B23"/>
    <w:rsid w:val="00C652D0"/>
    <w:rsid w:val="00C65476"/>
    <w:rsid w:val="00C6581C"/>
    <w:rsid w:val="00C65A06"/>
    <w:rsid w:val="00C65E63"/>
    <w:rsid w:val="00C661B8"/>
    <w:rsid w:val="00C66811"/>
    <w:rsid w:val="00C668BE"/>
    <w:rsid w:val="00C70985"/>
    <w:rsid w:val="00C70CED"/>
    <w:rsid w:val="00C7303A"/>
    <w:rsid w:val="00C7309A"/>
    <w:rsid w:val="00C74114"/>
    <w:rsid w:val="00C74A31"/>
    <w:rsid w:val="00C75227"/>
    <w:rsid w:val="00C75680"/>
    <w:rsid w:val="00C76BEF"/>
    <w:rsid w:val="00C76CFA"/>
    <w:rsid w:val="00C77A69"/>
    <w:rsid w:val="00C77CEA"/>
    <w:rsid w:val="00C8062B"/>
    <w:rsid w:val="00C814DD"/>
    <w:rsid w:val="00C816E3"/>
    <w:rsid w:val="00C82056"/>
    <w:rsid w:val="00C82369"/>
    <w:rsid w:val="00C82FD8"/>
    <w:rsid w:val="00C83247"/>
    <w:rsid w:val="00C8364D"/>
    <w:rsid w:val="00C839F8"/>
    <w:rsid w:val="00C853A6"/>
    <w:rsid w:val="00C860B5"/>
    <w:rsid w:val="00C863A5"/>
    <w:rsid w:val="00C87197"/>
    <w:rsid w:val="00C875D9"/>
    <w:rsid w:val="00C87D69"/>
    <w:rsid w:val="00C90034"/>
    <w:rsid w:val="00C9030A"/>
    <w:rsid w:val="00C90B99"/>
    <w:rsid w:val="00C91874"/>
    <w:rsid w:val="00C9339C"/>
    <w:rsid w:val="00C93702"/>
    <w:rsid w:val="00C93992"/>
    <w:rsid w:val="00C93E38"/>
    <w:rsid w:val="00C9404A"/>
    <w:rsid w:val="00C944AA"/>
    <w:rsid w:val="00C97CAA"/>
    <w:rsid w:val="00CA0CC3"/>
    <w:rsid w:val="00CA1397"/>
    <w:rsid w:val="00CA23FD"/>
    <w:rsid w:val="00CA2954"/>
    <w:rsid w:val="00CA29DC"/>
    <w:rsid w:val="00CA2A9D"/>
    <w:rsid w:val="00CA4125"/>
    <w:rsid w:val="00CA6667"/>
    <w:rsid w:val="00CA6877"/>
    <w:rsid w:val="00CB05A9"/>
    <w:rsid w:val="00CB1942"/>
    <w:rsid w:val="00CB2C50"/>
    <w:rsid w:val="00CB3C74"/>
    <w:rsid w:val="00CB47F4"/>
    <w:rsid w:val="00CB4912"/>
    <w:rsid w:val="00CB5B8A"/>
    <w:rsid w:val="00CB65F3"/>
    <w:rsid w:val="00CB709D"/>
    <w:rsid w:val="00CB71F0"/>
    <w:rsid w:val="00CC1129"/>
    <w:rsid w:val="00CC3EEF"/>
    <w:rsid w:val="00CC700C"/>
    <w:rsid w:val="00CD157E"/>
    <w:rsid w:val="00CD2D07"/>
    <w:rsid w:val="00CD2E2F"/>
    <w:rsid w:val="00CD33BD"/>
    <w:rsid w:val="00CD36C2"/>
    <w:rsid w:val="00CD4DB1"/>
    <w:rsid w:val="00CD5738"/>
    <w:rsid w:val="00CD58B7"/>
    <w:rsid w:val="00CD7A57"/>
    <w:rsid w:val="00CE1568"/>
    <w:rsid w:val="00CE1836"/>
    <w:rsid w:val="00CE1973"/>
    <w:rsid w:val="00CE239F"/>
    <w:rsid w:val="00CE37C2"/>
    <w:rsid w:val="00CE509A"/>
    <w:rsid w:val="00CE58A7"/>
    <w:rsid w:val="00CE6032"/>
    <w:rsid w:val="00CE7678"/>
    <w:rsid w:val="00CF11E0"/>
    <w:rsid w:val="00CF11EE"/>
    <w:rsid w:val="00CF2BD8"/>
    <w:rsid w:val="00CF3439"/>
    <w:rsid w:val="00CF3475"/>
    <w:rsid w:val="00CF402D"/>
    <w:rsid w:val="00CF4F59"/>
    <w:rsid w:val="00CF5D4E"/>
    <w:rsid w:val="00CF627E"/>
    <w:rsid w:val="00CF6ADA"/>
    <w:rsid w:val="00CF70EF"/>
    <w:rsid w:val="00CF7CD3"/>
    <w:rsid w:val="00D00216"/>
    <w:rsid w:val="00D00B77"/>
    <w:rsid w:val="00D01311"/>
    <w:rsid w:val="00D014BD"/>
    <w:rsid w:val="00D01A85"/>
    <w:rsid w:val="00D02411"/>
    <w:rsid w:val="00D0241E"/>
    <w:rsid w:val="00D031AE"/>
    <w:rsid w:val="00D03AEE"/>
    <w:rsid w:val="00D0462B"/>
    <w:rsid w:val="00D05896"/>
    <w:rsid w:val="00D0649B"/>
    <w:rsid w:val="00D06555"/>
    <w:rsid w:val="00D1176E"/>
    <w:rsid w:val="00D127D6"/>
    <w:rsid w:val="00D131CE"/>
    <w:rsid w:val="00D1324E"/>
    <w:rsid w:val="00D14080"/>
    <w:rsid w:val="00D170D0"/>
    <w:rsid w:val="00D17316"/>
    <w:rsid w:val="00D204E0"/>
    <w:rsid w:val="00D20524"/>
    <w:rsid w:val="00D20CBD"/>
    <w:rsid w:val="00D21C3F"/>
    <w:rsid w:val="00D230AA"/>
    <w:rsid w:val="00D24063"/>
    <w:rsid w:val="00D24104"/>
    <w:rsid w:val="00D2433B"/>
    <w:rsid w:val="00D25473"/>
    <w:rsid w:val="00D254B2"/>
    <w:rsid w:val="00D254B7"/>
    <w:rsid w:val="00D264A4"/>
    <w:rsid w:val="00D304C6"/>
    <w:rsid w:val="00D30BC8"/>
    <w:rsid w:val="00D30FDD"/>
    <w:rsid w:val="00D310C2"/>
    <w:rsid w:val="00D318B6"/>
    <w:rsid w:val="00D31F4A"/>
    <w:rsid w:val="00D31FCB"/>
    <w:rsid w:val="00D36497"/>
    <w:rsid w:val="00D368F0"/>
    <w:rsid w:val="00D370DE"/>
    <w:rsid w:val="00D3741B"/>
    <w:rsid w:val="00D40A14"/>
    <w:rsid w:val="00D41CBD"/>
    <w:rsid w:val="00D41D10"/>
    <w:rsid w:val="00D422F0"/>
    <w:rsid w:val="00D42A65"/>
    <w:rsid w:val="00D4323D"/>
    <w:rsid w:val="00D4325F"/>
    <w:rsid w:val="00D442D8"/>
    <w:rsid w:val="00D44891"/>
    <w:rsid w:val="00D448A4"/>
    <w:rsid w:val="00D44AC9"/>
    <w:rsid w:val="00D452AC"/>
    <w:rsid w:val="00D45D65"/>
    <w:rsid w:val="00D4780D"/>
    <w:rsid w:val="00D50998"/>
    <w:rsid w:val="00D52544"/>
    <w:rsid w:val="00D5270C"/>
    <w:rsid w:val="00D52BB7"/>
    <w:rsid w:val="00D52F2B"/>
    <w:rsid w:val="00D534C4"/>
    <w:rsid w:val="00D53FA1"/>
    <w:rsid w:val="00D5404E"/>
    <w:rsid w:val="00D54B78"/>
    <w:rsid w:val="00D57752"/>
    <w:rsid w:val="00D60FB4"/>
    <w:rsid w:val="00D618D3"/>
    <w:rsid w:val="00D61C95"/>
    <w:rsid w:val="00D623F2"/>
    <w:rsid w:val="00D624D1"/>
    <w:rsid w:val="00D627D5"/>
    <w:rsid w:val="00D633CB"/>
    <w:rsid w:val="00D646D6"/>
    <w:rsid w:val="00D64814"/>
    <w:rsid w:val="00D6497E"/>
    <w:rsid w:val="00D64D94"/>
    <w:rsid w:val="00D64FB4"/>
    <w:rsid w:val="00D6687A"/>
    <w:rsid w:val="00D70490"/>
    <w:rsid w:val="00D70A23"/>
    <w:rsid w:val="00D71320"/>
    <w:rsid w:val="00D72663"/>
    <w:rsid w:val="00D72A37"/>
    <w:rsid w:val="00D72B67"/>
    <w:rsid w:val="00D73026"/>
    <w:rsid w:val="00D8005C"/>
    <w:rsid w:val="00D806F2"/>
    <w:rsid w:val="00D8109C"/>
    <w:rsid w:val="00D84990"/>
    <w:rsid w:val="00D86DDC"/>
    <w:rsid w:val="00D8707D"/>
    <w:rsid w:val="00D91085"/>
    <w:rsid w:val="00D934B1"/>
    <w:rsid w:val="00D93815"/>
    <w:rsid w:val="00D94503"/>
    <w:rsid w:val="00D947C0"/>
    <w:rsid w:val="00D95174"/>
    <w:rsid w:val="00DA1069"/>
    <w:rsid w:val="00DA1B4E"/>
    <w:rsid w:val="00DA1CB2"/>
    <w:rsid w:val="00DA2BEE"/>
    <w:rsid w:val="00DA2FBB"/>
    <w:rsid w:val="00DA4936"/>
    <w:rsid w:val="00DA521F"/>
    <w:rsid w:val="00DA550A"/>
    <w:rsid w:val="00DA65CF"/>
    <w:rsid w:val="00DA7B6E"/>
    <w:rsid w:val="00DA7BD4"/>
    <w:rsid w:val="00DA7F1D"/>
    <w:rsid w:val="00DB0747"/>
    <w:rsid w:val="00DB2001"/>
    <w:rsid w:val="00DB21D4"/>
    <w:rsid w:val="00DB269F"/>
    <w:rsid w:val="00DB26E4"/>
    <w:rsid w:val="00DB2912"/>
    <w:rsid w:val="00DB2A25"/>
    <w:rsid w:val="00DB3A70"/>
    <w:rsid w:val="00DB400B"/>
    <w:rsid w:val="00DB4162"/>
    <w:rsid w:val="00DB6841"/>
    <w:rsid w:val="00DB7D45"/>
    <w:rsid w:val="00DC04D0"/>
    <w:rsid w:val="00DC1160"/>
    <w:rsid w:val="00DC3023"/>
    <w:rsid w:val="00DC3A6A"/>
    <w:rsid w:val="00DC4665"/>
    <w:rsid w:val="00DC60D8"/>
    <w:rsid w:val="00DC624C"/>
    <w:rsid w:val="00DD01AD"/>
    <w:rsid w:val="00DD0773"/>
    <w:rsid w:val="00DD0AB0"/>
    <w:rsid w:val="00DD1717"/>
    <w:rsid w:val="00DD4164"/>
    <w:rsid w:val="00DD45CD"/>
    <w:rsid w:val="00DD4954"/>
    <w:rsid w:val="00DD4B52"/>
    <w:rsid w:val="00DD61D3"/>
    <w:rsid w:val="00DD67B7"/>
    <w:rsid w:val="00DD6D82"/>
    <w:rsid w:val="00DD6E15"/>
    <w:rsid w:val="00DD7645"/>
    <w:rsid w:val="00DE2118"/>
    <w:rsid w:val="00DE2996"/>
    <w:rsid w:val="00DE3392"/>
    <w:rsid w:val="00DE500F"/>
    <w:rsid w:val="00DE5EF6"/>
    <w:rsid w:val="00DE79AE"/>
    <w:rsid w:val="00DF04CF"/>
    <w:rsid w:val="00DF10C1"/>
    <w:rsid w:val="00DF2D4E"/>
    <w:rsid w:val="00DF305A"/>
    <w:rsid w:val="00DF3C79"/>
    <w:rsid w:val="00DF4B70"/>
    <w:rsid w:val="00DF65CF"/>
    <w:rsid w:val="00DF6AB1"/>
    <w:rsid w:val="00E0160D"/>
    <w:rsid w:val="00E01647"/>
    <w:rsid w:val="00E0182E"/>
    <w:rsid w:val="00E01B82"/>
    <w:rsid w:val="00E02BA6"/>
    <w:rsid w:val="00E06C8B"/>
    <w:rsid w:val="00E078C6"/>
    <w:rsid w:val="00E07962"/>
    <w:rsid w:val="00E10C85"/>
    <w:rsid w:val="00E14D2D"/>
    <w:rsid w:val="00E15C32"/>
    <w:rsid w:val="00E15CCC"/>
    <w:rsid w:val="00E15CD6"/>
    <w:rsid w:val="00E16351"/>
    <w:rsid w:val="00E176AD"/>
    <w:rsid w:val="00E213A8"/>
    <w:rsid w:val="00E223A5"/>
    <w:rsid w:val="00E2296B"/>
    <w:rsid w:val="00E229DD"/>
    <w:rsid w:val="00E22D3F"/>
    <w:rsid w:val="00E22E14"/>
    <w:rsid w:val="00E24822"/>
    <w:rsid w:val="00E24DC2"/>
    <w:rsid w:val="00E24DE0"/>
    <w:rsid w:val="00E252CD"/>
    <w:rsid w:val="00E26725"/>
    <w:rsid w:val="00E27ABA"/>
    <w:rsid w:val="00E3069F"/>
    <w:rsid w:val="00E31866"/>
    <w:rsid w:val="00E3199A"/>
    <w:rsid w:val="00E32DB9"/>
    <w:rsid w:val="00E339B6"/>
    <w:rsid w:val="00E33F0E"/>
    <w:rsid w:val="00E345B1"/>
    <w:rsid w:val="00E354F6"/>
    <w:rsid w:val="00E35DE1"/>
    <w:rsid w:val="00E35DE2"/>
    <w:rsid w:val="00E36441"/>
    <w:rsid w:val="00E40307"/>
    <w:rsid w:val="00E40E18"/>
    <w:rsid w:val="00E4136F"/>
    <w:rsid w:val="00E41DC1"/>
    <w:rsid w:val="00E426B6"/>
    <w:rsid w:val="00E43C1B"/>
    <w:rsid w:val="00E44112"/>
    <w:rsid w:val="00E456CE"/>
    <w:rsid w:val="00E45CE9"/>
    <w:rsid w:val="00E46159"/>
    <w:rsid w:val="00E46B16"/>
    <w:rsid w:val="00E502C5"/>
    <w:rsid w:val="00E51750"/>
    <w:rsid w:val="00E51772"/>
    <w:rsid w:val="00E518F3"/>
    <w:rsid w:val="00E51EC1"/>
    <w:rsid w:val="00E52234"/>
    <w:rsid w:val="00E52CAC"/>
    <w:rsid w:val="00E53765"/>
    <w:rsid w:val="00E53832"/>
    <w:rsid w:val="00E54AF3"/>
    <w:rsid w:val="00E56A7D"/>
    <w:rsid w:val="00E56CF1"/>
    <w:rsid w:val="00E57681"/>
    <w:rsid w:val="00E60B57"/>
    <w:rsid w:val="00E6123B"/>
    <w:rsid w:val="00E6154F"/>
    <w:rsid w:val="00E617EE"/>
    <w:rsid w:val="00E64F5B"/>
    <w:rsid w:val="00E650C5"/>
    <w:rsid w:val="00E6522F"/>
    <w:rsid w:val="00E65258"/>
    <w:rsid w:val="00E668C2"/>
    <w:rsid w:val="00E670D1"/>
    <w:rsid w:val="00E7028E"/>
    <w:rsid w:val="00E70413"/>
    <w:rsid w:val="00E72E13"/>
    <w:rsid w:val="00E75BC5"/>
    <w:rsid w:val="00E75F5C"/>
    <w:rsid w:val="00E763D2"/>
    <w:rsid w:val="00E76EFA"/>
    <w:rsid w:val="00E81A23"/>
    <w:rsid w:val="00E823D7"/>
    <w:rsid w:val="00E8277D"/>
    <w:rsid w:val="00E8312B"/>
    <w:rsid w:val="00E8607C"/>
    <w:rsid w:val="00E868B5"/>
    <w:rsid w:val="00E8797E"/>
    <w:rsid w:val="00E91677"/>
    <w:rsid w:val="00E920FD"/>
    <w:rsid w:val="00E93312"/>
    <w:rsid w:val="00E93F30"/>
    <w:rsid w:val="00E93F75"/>
    <w:rsid w:val="00E94A89"/>
    <w:rsid w:val="00E94FD9"/>
    <w:rsid w:val="00E95C71"/>
    <w:rsid w:val="00E96494"/>
    <w:rsid w:val="00E979B9"/>
    <w:rsid w:val="00E97BB1"/>
    <w:rsid w:val="00E97DC3"/>
    <w:rsid w:val="00EA1457"/>
    <w:rsid w:val="00EA1DD4"/>
    <w:rsid w:val="00EA25EB"/>
    <w:rsid w:val="00EA307F"/>
    <w:rsid w:val="00EA4182"/>
    <w:rsid w:val="00EA4A26"/>
    <w:rsid w:val="00EA5E10"/>
    <w:rsid w:val="00EA6470"/>
    <w:rsid w:val="00EA753F"/>
    <w:rsid w:val="00EA7DB1"/>
    <w:rsid w:val="00EB1204"/>
    <w:rsid w:val="00EB2206"/>
    <w:rsid w:val="00EB2425"/>
    <w:rsid w:val="00EB3447"/>
    <w:rsid w:val="00EB384F"/>
    <w:rsid w:val="00EB40C1"/>
    <w:rsid w:val="00EB5372"/>
    <w:rsid w:val="00EC0885"/>
    <w:rsid w:val="00EC0B7A"/>
    <w:rsid w:val="00EC12A5"/>
    <w:rsid w:val="00EC30EA"/>
    <w:rsid w:val="00EC3281"/>
    <w:rsid w:val="00EC540D"/>
    <w:rsid w:val="00EC6150"/>
    <w:rsid w:val="00ED0A91"/>
    <w:rsid w:val="00ED0E2D"/>
    <w:rsid w:val="00ED2724"/>
    <w:rsid w:val="00ED2811"/>
    <w:rsid w:val="00ED2E4B"/>
    <w:rsid w:val="00ED3D07"/>
    <w:rsid w:val="00ED41B6"/>
    <w:rsid w:val="00ED46CF"/>
    <w:rsid w:val="00ED4734"/>
    <w:rsid w:val="00ED6D34"/>
    <w:rsid w:val="00ED72CA"/>
    <w:rsid w:val="00ED79F0"/>
    <w:rsid w:val="00ED7D7D"/>
    <w:rsid w:val="00EE0FED"/>
    <w:rsid w:val="00EE5DC8"/>
    <w:rsid w:val="00EF015D"/>
    <w:rsid w:val="00EF030C"/>
    <w:rsid w:val="00EF0D5C"/>
    <w:rsid w:val="00EF127C"/>
    <w:rsid w:val="00EF20F3"/>
    <w:rsid w:val="00EF333D"/>
    <w:rsid w:val="00EF4C08"/>
    <w:rsid w:val="00EF67D9"/>
    <w:rsid w:val="00EF74BD"/>
    <w:rsid w:val="00EF7563"/>
    <w:rsid w:val="00EF7D66"/>
    <w:rsid w:val="00F01498"/>
    <w:rsid w:val="00F01E19"/>
    <w:rsid w:val="00F0270D"/>
    <w:rsid w:val="00F03C80"/>
    <w:rsid w:val="00F043A3"/>
    <w:rsid w:val="00F04A27"/>
    <w:rsid w:val="00F04E43"/>
    <w:rsid w:val="00F07602"/>
    <w:rsid w:val="00F07815"/>
    <w:rsid w:val="00F101FC"/>
    <w:rsid w:val="00F107DE"/>
    <w:rsid w:val="00F10991"/>
    <w:rsid w:val="00F109C3"/>
    <w:rsid w:val="00F10F6C"/>
    <w:rsid w:val="00F112C2"/>
    <w:rsid w:val="00F11E20"/>
    <w:rsid w:val="00F1301E"/>
    <w:rsid w:val="00F13D51"/>
    <w:rsid w:val="00F145CF"/>
    <w:rsid w:val="00F14CBA"/>
    <w:rsid w:val="00F14F1F"/>
    <w:rsid w:val="00F15154"/>
    <w:rsid w:val="00F175C6"/>
    <w:rsid w:val="00F17819"/>
    <w:rsid w:val="00F17C55"/>
    <w:rsid w:val="00F20E7A"/>
    <w:rsid w:val="00F2106E"/>
    <w:rsid w:val="00F2172D"/>
    <w:rsid w:val="00F23F74"/>
    <w:rsid w:val="00F24294"/>
    <w:rsid w:val="00F25002"/>
    <w:rsid w:val="00F2665A"/>
    <w:rsid w:val="00F269D5"/>
    <w:rsid w:val="00F27621"/>
    <w:rsid w:val="00F27C54"/>
    <w:rsid w:val="00F301BD"/>
    <w:rsid w:val="00F305D1"/>
    <w:rsid w:val="00F32D92"/>
    <w:rsid w:val="00F32EDF"/>
    <w:rsid w:val="00F33418"/>
    <w:rsid w:val="00F35219"/>
    <w:rsid w:val="00F352CD"/>
    <w:rsid w:val="00F37246"/>
    <w:rsid w:val="00F40968"/>
    <w:rsid w:val="00F41217"/>
    <w:rsid w:val="00F42DD3"/>
    <w:rsid w:val="00F42F2D"/>
    <w:rsid w:val="00F43562"/>
    <w:rsid w:val="00F43640"/>
    <w:rsid w:val="00F439FB"/>
    <w:rsid w:val="00F43E51"/>
    <w:rsid w:val="00F45AEE"/>
    <w:rsid w:val="00F46049"/>
    <w:rsid w:val="00F460AB"/>
    <w:rsid w:val="00F4791C"/>
    <w:rsid w:val="00F51942"/>
    <w:rsid w:val="00F51E55"/>
    <w:rsid w:val="00F522A9"/>
    <w:rsid w:val="00F54190"/>
    <w:rsid w:val="00F571B5"/>
    <w:rsid w:val="00F60324"/>
    <w:rsid w:val="00F60823"/>
    <w:rsid w:val="00F60CBF"/>
    <w:rsid w:val="00F618DE"/>
    <w:rsid w:val="00F61CF7"/>
    <w:rsid w:val="00F62EEB"/>
    <w:rsid w:val="00F62FC5"/>
    <w:rsid w:val="00F63B2F"/>
    <w:rsid w:val="00F65711"/>
    <w:rsid w:val="00F65DBA"/>
    <w:rsid w:val="00F7180E"/>
    <w:rsid w:val="00F72491"/>
    <w:rsid w:val="00F72A5D"/>
    <w:rsid w:val="00F73646"/>
    <w:rsid w:val="00F7381B"/>
    <w:rsid w:val="00F742C4"/>
    <w:rsid w:val="00F750BB"/>
    <w:rsid w:val="00F7583E"/>
    <w:rsid w:val="00F75D6C"/>
    <w:rsid w:val="00F76169"/>
    <w:rsid w:val="00F76D49"/>
    <w:rsid w:val="00F77DC0"/>
    <w:rsid w:val="00F8024D"/>
    <w:rsid w:val="00F80547"/>
    <w:rsid w:val="00F8067C"/>
    <w:rsid w:val="00F81AB9"/>
    <w:rsid w:val="00F84112"/>
    <w:rsid w:val="00F85165"/>
    <w:rsid w:val="00F85B87"/>
    <w:rsid w:val="00F85C87"/>
    <w:rsid w:val="00F85E70"/>
    <w:rsid w:val="00F872DF"/>
    <w:rsid w:val="00F90B2F"/>
    <w:rsid w:val="00F92154"/>
    <w:rsid w:val="00F93E8D"/>
    <w:rsid w:val="00F9417C"/>
    <w:rsid w:val="00F94921"/>
    <w:rsid w:val="00F95F1C"/>
    <w:rsid w:val="00F96BDC"/>
    <w:rsid w:val="00FA06C2"/>
    <w:rsid w:val="00FA0DDB"/>
    <w:rsid w:val="00FA0E69"/>
    <w:rsid w:val="00FA2F45"/>
    <w:rsid w:val="00FA3AF5"/>
    <w:rsid w:val="00FA3DC5"/>
    <w:rsid w:val="00FA47C2"/>
    <w:rsid w:val="00FA6B56"/>
    <w:rsid w:val="00FA70E2"/>
    <w:rsid w:val="00FB35CD"/>
    <w:rsid w:val="00FB3723"/>
    <w:rsid w:val="00FB40C8"/>
    <w:rsid w:val="00FB484F"/>
    <w:rsid w:val="00FB7676"/>
    <w:rsid w:val="00FB7996"/>
    <w:rsid w:val="00FB7B84"/>
    <w:rsid w:val="00FB7FD7"/>
    <w:rsid w:val="00FC0700"/>
    <w:rsid w:val="00FC0E84"/>
    <w:rsid w:val="00FC1B34"/>
    <w:rsid w:val="00FC301C"/>
    <w:rsid w:val="00FC3B8C"/>
    <w:rsid w:val="00FC48F0"/>
    <w:rsid w:val="00FC548F"/>
    <w:rsid w:val="00FC584A"/>
    <w:rsid w:val="00FC59EE"/>
    <w:rsid w:val="00FC7695"/>
    <w:rsid w:val="00FC7C5D"/>
    <w:rsid w:val="00FC7D2D"/>
    <w:rsid w:val="00FD0231"/>
    <w:rsid w:val="00FD0D27"/>
    <w:rsid w:val="00FD1B04"/>
    <w:rsid w:val="00FD254E"/>
    <w:rsid w:val="00FD5CB7"/>
    <w:rsid w:val="00FD737A"/>
    <w:rsid w:val="00FD7914"/>
    <w:rsid w:val="00FE056E"/>
    <w:rsid w:val="00FE0757"/>
    <w:rsid w:val="00FE0D31"/>
    <w:rsid w:val="00FE187D"/>
    <w:rsid w:val="00FE1A50"/>
    <w:rsid w:val="00FE38B4"/>
    <w:rsid w:val="00FE3B62"/>
    <w:rsid w:val="00FE3E6A"/>
    <w:rsid w:val="00FE4667"/>
    <w:rsid w:val="00FE4691"/>
    <w:rsid w:val="00FE4FD7"/>
    <w:rsid w:val="00FE55D4"/>
    <w:rsid w:val="00FE5C7A"/>
    <w:rsid w:val="00FE5FD1"/>
    <w:rsid w:val="00FE7139"/>
    <w:rsid w:val="00FE722B"/>
    <w:rsid w:val="00FE78AB"/>
    <w:rsid w:val="00FF0B33"/>
    <w:rsid w:val="00FF13CE"/>
    <w:rsid w:val="00FF1AEA"/>
    <w:rsid w:val="00FF1B38"/>
    <w:rsid w:val="00FF1B5B"/>
    <w:rsid w:val="00FF1B98"/>
    <w:rsid w:val="00FF1C00"/>
    <w:rsid w:val="00FF1F90"/>
    <w:rsid w:val="00FF2D29"/>
    <w:rsid w:val="00FF323C"/>
    <w:rsid w:val="00FF3A65"/>
    <w:rsid w:val="00FF44FA"/>
    <w:rsid w:val="00FF4AC0"/>
    <w:rsid w:val="00FF5767"/>
    <w:rsid w:val="00FF6851"/>
    <w:rsid w:val="00FF6E56"/>
    <w:rsid w:val="00FF78CC"/>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1EA8B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20"/>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nhideWhenUsed="1"/>
    <w:lsdException w:name="toc 6" w:semiHidden="1" w:uiPriority="39" w:unhideWhenUsed="1"/>
    <w:lsdException w:name="toc 7" w:semiHidden="1" w:uiPriority="39"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1CF7"/>
    <w:pPr>
      <w:jc w:val="both"/>
    </w:pPr>
    <w:rPr>
      <w:rFonts w:ascii="Arial" w:eastAsia="Times New Roman" w:hAnsi="Arial" w:cs="Times New Roman"/>
      <w:szCs w:val="20"/>
      <w:lang w:val="en-GB"/>
    </w:rPr>
  </w:style>
  <w:style w:type="paragraph" w:styleId="Heading1">
    <w:name w:val="heading 1"/>
    <w:basedOn w:val="Normal"/>
    <w:next w:val="Normal"/>
    <w:link w:val="Heading1Char"/>
    <w:autoRedefine/>
    <w:uiPriority w:val="99"/>
    <w:qFormat/>
    <w:rsid w:val="00B05739"/>
    <w:pPr>
      <w:keepNext/>
      <w:spacing w:after="240"/>
      <w:ind w:right="-142"/>
      <w:jc w:val="left"/>
      <w:outlineLvl w:val="0"/>
    </w:pPr>
    <w:rPr>
      <w:rFonts w:eastAsia="SimSun"/>
      <w:b/>
      <w:i/>
      <w:kern w:val="28"/>
      <w:sz w:val="32"/>
      <w:szCs w:val="28"/>
    </w:rPr>
  </w:style>
  <w:style w:type="paragraph" w:styleId="Heading2">
    <w:name w:val="heading 2"/>
    <w:aliases w:val="h2"/>
    <w:basedOn w:val="Normal"/>
    <w:next w:val="Normal"/>
    <w:link w:val="Heading2Char1"/>
    <w:uiPriority w:val="99"/>
    <w:qFormat/>
    <w:rsid w:val="00B05F33"/>
    <w:pPr>
      <w:keepNext/>
      <w:keepLines/>
      <w:spacing w:before="120"/>
      <w:outlineLvl w:val="1"/>
    </w:pPr>
    <w:rPr>
      <w:rFonts w:eastAsiaTheme="majorEastAsia" w:cstheme="majorBidi"/>
      <w:b/>
      <w:bCs/>
      <w:color w:val="000000" w:themeColor="text1"/>
      <w:sz w:val="26"/>
      <w:szCs w:val="26"/>
      <w:lang w:val="en-AU"/>
    </w:rPr>
  </w:style>
  <w:style w:type="paragraph" w:styleId="Heading3">
    <w:name w:val="heading 3"/>
    <w:basedOn w:val="Normal"/>
    <w:next w:val="Normal"/>
    <w:link w:val="Heading3Char"/>
    <w:autoRedefine/>
    <w:uiPriority w:val="99"/>
    <w:qFormat/>
    <w:rsid w:val="00000F96"/>
    <w:pPr>
      <w:keepNext/>
      <w:spacing w:before="240"/>
      <w:outlineLvl w:val="2"/>
    </w:pPr>
    <w:rPr>
      <w:rFonts w:eastAsia="SimSun"/>
      <w:b/>
      <w:i/>
      <w:sz w:val="24"/>
      <w:lang w:val="en-US"/>
    </w:rPr>
  </w:style>
  <w:style w:type="paragraph" w:styleId="Heading4">
    <w:name w:val="heading 4"/>
    <w:basedOn w:val="Caption"/>
    <w:next w:val="Normal"/>
    <w:link w:val="Heading4Char"/>
    <w:uiPriority w:val="99"/>
    <w:qFormat/>
    <w:rsid w:val="008A1A24"/>
    <w:pPr>
      <w:outlineLvl w:val="3"/>
    </w:pPr>
    <w:rPr>
      <w:rFonts w:ascii="Arial" w:hAnsi="Arial"/>
      <w:i/>
      <w:sz w:val="22"/>
    </w:rPr>
  </w:style>
  <w:style w:type="paragraph" w:styleId="Heading5">
    <w:name w:val="heading 5"/>
    <w:basedOn w:val="Normal"/>
    <w:next w:val="Normal"/>
    <w:link w:val="Heading5Char"/>
    <w:autoRedefine/>
    <w:uiPriority w:val="99"/>
    <w:qFormat/>
    <w:rsid w:val="008A1A24"/>
    <w:pPr>
      <w:keepNext/>
      <w:outlineLvl w:val="4"/>
    </w:pPr>
    <w:rPr>
      <w:rFonts w:ascii="Gill Sans MT" w:hAnsi="Gill Sans MT"/>
      <w:b/>
      <w:color w:val="000000"/>
    </w:rPr>
  </w:style>
  <w:style w:type="paragraph" w:styleId="Heading6">
    <w:name w:val="heading 6"/>
    <w:aliases w:val="Appendix Heading 1"/>
    <w:next w:val="Normal"/>
    <w:link w:val="Heading6Char"/>
    <w:uiPriority w:val="99"/>
    <w:qFormat/>
    <w:rsid w:val="00F80547"/>
    <w:pPr>
      <w:keepNext/>
      <w:jc w:val="center"/>
      <w:outlineLvl w:val="5"/>
    </w:pPr>
    <w:rPr>
      <w:rFonts w:ascii="Arial" w:eastAsia="SimSun" w:hAnsi="Arial" w:cs="Times New Roman"/>
      <w:color w:val="000000"/>
      <w:sz w:val="40"/>
      <w:szCs w:val="24"/>
      <w:lang w:val="en-GB"/>
    </w:rPr>
  </w:style>
  <w:style w:type="paragraph" w:styleId="Heading7">
    <w:name w:val="heading 7"/>
    <w:aliases w:val="Tables"/>
    <w:basedOn w:val="Normal"/>
    <w:next w:val="Normal"/>
    <w:link w:val="Heading7Char"/>
    <w:uiPriority w:val="99"/>
    <w:qFormat/>
    <w:rsid w:val="008A1A24"/>
    <w:pPr>
      <w:keepNext/>
      <w:outlineLvl w:val="6"/>
    </w:pPr>
    <w:rPr>
      <w:rFonts w:ascii="Arial Narrow" w:hAnsi="Arial Narrow"/>
      <w:sz w:val="20"/>
      <w:szCs w:val="24"/>
    </w:rPr>
  </w:style>
  <w:style w:type="paragraph" w:styleId="Heading8">
    <w:name w:val="heading 8"/>
    <w:basedOn w:val="Normal"/>
    <w:next w:val="Normal"/>
    <w:link w:val="Heading8Char"/>
    <w:uiPriority w:val="99"/>
    <w:qFormat/>
    <w:rsid w:val="008A1A24"/>
    <w:p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8A1A24"/>
    <w:pPr>
      <w:keepNext/>
      <w:ind w:left="180"/>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B05739"/>
    <w:rPr>
      <w:rFonts w:ascii="Arial" w:eastAsia="SimSun" w:hAnsi="Arial" w:cs="Times New Roman"/>
      <w:b/>
      <w:i/>
      <w:kern w:val="28"/>
      <w:sz w:val="32"/>
      <w:szCs w:val="28"/>
      <w:lang w:val="en-GB"/>
    </w:rPr>
  </w:style>
  <w:style w:type="character" w:customStyle="1" w:styleId="Heading2Char">
    <w:name w:val="Heading 2 Char"/>
    <w:aliases w:val="h2 Char"/>
    <w:basedOn w:val="DefaultParagraphFont"/>
    <w:uiPriority w:val="9"/>
    <w:rsid w:val="008A1A24"/>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9"/>
    <w:rsid w:val="00000F96"/>
    <w:rPr>
      <w:rFonts w:ascii="Arial" w:eastAsia="SimSun" w:hAnsi="Arial" w:cs="Times New Roman"/>
      <w:b/>
      <w:i/>
      <w:sz w:val="24"/>
      <w:szCs w:val="20"/>
      <w:lang w:val="en-US"/>
    </w:rPr>
  </w:style>
  <w:style w:type="character" w:customStyle="1" w:styleId="Heading4Char">
    <w:name w:val="Heading 4 Char"/>
    <w:basedOn w:val="DefaultParagraphFont"/>
    <w:link w:val="Heading4"/>
    <w:uiPriority w:val="99"/>
    <w:rsid w:val="008A1A24"/>
    <w:rPr>
      <w:rFonts w:ascii="Arial" w:eastAsia="SimSun" w:hAnsi="Arial" w:cs="Times New Roman"/>
      <w:i/>
      <w:szCs w:val="24"/>
      <w:lang w:val="en-GB"/>
    </w:rPr>
  </w:style>
  <w:style w:type="character" w:customStyle="1" w:styleId="Heading5Char">
    <w:name w:val="Heading 5 Char"/>
    <w:basedOn w:val="DefaultParagraphFont"/>
    <w:link w:val="Heading5"/>
    <w:uiPriority w:val="99"/>
    <w:rsid w:val="008A1A24"/>
    <w:rPr>
      <w:rFonts w:ascii="Gill Sans MT" w:eastAsia="Times New Roman" w:hAnsi="Gill Sans MT" w:cs="Times New Roman"/>
      <w:b/>
      <w:color w:val="000000"/>
      <w:szCs w:val="20"/>
      <w:lang w:val="en-GB"/>
    </w:rPr>
  </w:style>
  <w:style w:type="character" w:customStyle="1" w:styleId="Heading6Char">
    <w:name w:val="Heading 6 Char"/>
    <w:aliases w:val="Appendix Heading 1 Char"/>
    <w:basedOn w:val="DefaultParagraphFont"/>
    <w:link w:val="Heading6"/>
    <w:uiPriority w:val="99"/>
    <w:rsid w:val="00F80547"/>
    <w:rPr>
      <w:rFonts w:ascii="Arial" w:eastAsia="SimSun" w:hAnsi="Arial" w:cs="Times New Roman"/>
      <w:color w:val="000000"/>
      <w:sz w:val="40"/>
      <w:szCs w:val="24"/>
      <w:lang w:val="en-GB"/>
    </w:rPr>
  </w:style>
  <w:style w:type="character" w:customStyle="1" w:styleId="Heading7Char">
    <w:name w:val="Heading 7 Char"/>
    <w:aliases w:val="Tables Char"/>
    <w:basedOn w:val="DefaultParagraphFont"/>
    <w:link w:val="Heading7"/>
    <w:uiPriority w:val="99"/>
    <w:rsid w:val="008A1A24"/>
    <w:rPr>
      <w:rFonts w:ascii="Arial Narrow" w:eastAsia="Times New Roman" w:hAnsi="Arial Narrow" w:cs="Times New Roman"/>
      <w:sz w:val="20"/>
      <w:szCs w:val="24"/>
      <w:lang w:val="en-GB"/>
    </w:rPr>
  </w:style>
  <w:style w:type="character" w:customStyle="1" w:styleId="Heading8Char">
    <w:name w:val="Heading 8 Char"/>
    <w:basedOn w:val="DefaultParagraphFont"/>
    <w:link w:val="Heading8"/>
    <w:uiPriority w:val="99"/>
    <w:rsid w:val="008A1A24"/>
    <w:rPr>
      <w:rFonts w:ascii="Calibri" w:eastAsia="Times New Roman" w:hAnsi="Calibri" w:cs="Times New Roman"/>
      <w:i/>
      <w:iCs/>
      <w:sz w:val="24"/>
      <w:szCs w:val="24"/>
      <w:lang w:val="en-GB"/>
    </w:rPr>
  </w:style>
  <w:style w:type="character" w:customStyle="1" w:styleId="Heading9Char">
    <w:name w:val="Heading 9 Char"/>
    <w:basedOn w:val="DefaultParagraphFont"/>
    <w:link w:val="Heading9"/>
    <w:uiPriority w:val="99"/>
    <w:rsid w:val="008A1A24"/>
    <w:rPr>
      <w:rFonts w:ascii="Cambria" w:eastAsia="Times New Roman" w:hAnsi="Cambria" w:cs="Times New Roman"/>
      <w:sz w:val="20"/>
      <w:szCs w:val="20"/>
      <w:lang w:val="en-GB"/>
    </w:rPr>
  </w:style>
  <w:style w:type="paragraph" w:customStyle="1" w:styleId="References">
    <w:name w:val="References"/>
    <w:basedOn w:val="Normal"/>
    <w:uiPriority w:val="99"/>
    <w:rsid w:val="008A1A24"/>
    <w:pPr>
      <w:ind w:left="288" w:hanging="288"/>
    </w:pPr>
    <w:rPr>
      <w:szCs w:val="22"/>
      <w:lang w:val="en-AU"/>
    </w:rPr>
  </w:style>
  <w:style w:type="character" w:styleId="CommentReference">
    <w:name w:val="annotation reference"/>
    <w:basedOn w:val="DefaultParagraphFont"/>
    <w:uiPriority w:val="99"/>
    <w:rsid w:val="008A1A24"/>
    <w:rPr>
      <w:rFonts w:cs="Times New Roman"/>
      <w:sz w:val="28"/>
    </w:rPr>
  </w:style>
  <w:style w:type="paragraph" w:styleId="CommentText">
    <w:name w:val="annotation text"/>
    <w:basedOn w:val="Normal"/>
    <w:link w:val="CommentTextChar"/>
    <w:uiPriority w:val="99"/>
    <w:rsid w:val="008A1A24"/>
    <w:pPr>
      <w:numPr>
        <w:numId w:val="1"/>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rsid w:val="008A1A24"/>
    <w:rPr>
      <w:rFonts w:ascii="Gill Sans MT" w:eastAsia="Times New Roman" w:hAnsi="Gill Sans MT" w:cs="Times New Roman"/>
      <w:sz w:val="20"/>
      <w:szCs w:val="20"/>
      <w:lang w:eastAsia="en-AU"/>
    </w:rPr>
  </w:style>
  <w:style w:type="paragraph" w:styleId="Footer">
    <w:name w:val="footer"/>
    <w:basedOn w:val="Normal"/>
    <w:link w:val="FooterChar"/>
    <w:uiPriority w:val="99"/>
    <w:rsid w:val="008A1A24"/>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rsid w:val="008A1A24"/>
    <w:rPr>
      <w:rFonts w:ascii="Gill Sans MT" w:eastAsia="Times New Roman" w:hAnsi="Gill Sans MT" w:cs="Times New Roman"/>
      <w:sz w:val="20"/>
      <w:szCs w:val="20"/>
      <w:lang w:val="en-GB"/>
    </w:rPr>
  </w:style>
  <w:style w:type="paragraph" w:customStyle="1" w:styleId="Reportsummary">
    <w:name w:val="Report summary"/>
    <w:basedOn w:val="Normal"/>
    <w:uiPriority w:val="99"/>
    <w:rsid w:val="008A1A24"/>
    <w:pPr>
      <w:tabs>
        <w:tab w:val="num" w:pos="432"/>
      </w:tabs>
      <w:spacing w:after="240"/>
      <w:ind w:left="432" w:hanging="432"/>
    </w:pPr>
    <w:rPr>
      <w:sz w:val="24"/>
    </w:rPr>
  </w:style>
  <w:style w:type="paragraph" w:customStyle="1" w:styleId="Reportrefs">
    <w:name w:val="Report refs"/>
    <w:basedOn w:val="Normal"/>
    <w:uiPriority w:val="99"/>
    <w:rsid w:val="008A1A24"/>
    <w:pPr>
      <w:spacing w:after="180"/>
      <w:ind w:left="432" w:hanging="432"/>
    </w:pPr>
    <w:rPr>
      <w:sz w:val="24"/>
    </w:rPr>
  </w:style>
  <w:style w:type="paragraph" w:styleId="TOC4">
    <w:name w:val="toc 4"/>
    <w:basedOn w:val="Normal"/>
    <w:next w:val="Normal"/>
    <w:autoRedefine/>
    <w:uiPriority w:val="39"/>
    <w:rsid w:val="004F3736"/>
    <w:pPr>
      <w:tabs>
        <w:tab w:val="left" w:pos="1440"/>
        <w:tab w:val="right" w:leader="dot" w:pos="9072"/>
      </w:tabs>
    </w:pPr>
    <w:rPr>
      <w:rFonts w:eastAsiaTheme="majorEastAsia"/>
      <w:noProof/>
      <w:sz w:val="20"/>
      <w:szCs w:val="24"/>
      <w:lang w:val="en-AU"/>
    </w:rPr>
  </w:style>
  <w:style w:type="paragraph" w:customStyle="1" w:styleId="Figure">
    <w:name w:val="Figure"/>
    <w:basedOn w:val="Normal"/>
    <w:link w:val="FigureChar"/>
    <w:rsid w:val="008A1A24"/>
    <w:pPr>
      <w:spacing w:before="120"/>
    </w:pPr>
    <w:rPr>
      <w:rFonts w:ascii="Arial Narrow" w:hAnsi="Arial Narrow"/>
    </w:rPr>
  </w:style>
  <w:style w:type="character" w:customStyle="1" w:styleId="FigureChar">
    <w:name w:val="Figure Char"/>
    <w:link w:val="Figure"/>
    <w:locked/>
    <w:rsid w:val="008A1A24"/>
    <w:rPr>
      <w:rFonts w:ascii="Arial Narrow" w:eastAsia="Times New Roman" w:hAnsi="Arial Narrow" w:cs="Times New Roman"/>
      <w:szCs w:val="20"/>
      <w:lang w:val="en-GB"/>
    </w:rPr>
  </w:style>
  <w:style w:type="paragraph" w:customStyle="1" w:styleId="Table">
    <w:name w:val="Table"/>
    <w:basedOn w:val="Normal"/>
    <w:link w:val="TableChar"/>
    <w:autoRedefine/>
    <w:rsid w:val="008A1A24"/>
    <w:pPr>
      <w:spacing w:before="120"/>
    </w:pPr>
    <w:rPr>
      <w:rFonts w:ascii="Arial Narrow" w:hAnsi="Arial Narrow"/>
    </w:rPr>
  </w:style>
  <w:style w:type="character" w:customStyle="1" w:styleId="TableChar">
    <w:name w:val="Table Char"/>
    <w:link w:val="Table"/>
    <w:locked/>
    <w:rsid w:val="008A1A24"/>
    <w:rPr>
      <w:rFonts w:ascii="Arial Narrow" w:eastAsia="Times New Roman" w:hAnsi="Arial Narrow" w:cs="Times New Roman"/>
      <w:szCs w:val="20"/>
      <w:lang w:val="en-GB"/>
    </w:rPr>
  </w:style>
  <w:style w:type="paragraph" w:customStyle="1" w:styleId="Infopage">
    <w:name w:val="Info page"/>
    <w:basedOn w:val="Normal"/>
    <w:uiPriority w:val="99"/>
    <w:rsid w:val="008A1A24"/>
    <w:rPr>
      <w:rFonts w:ascii="Arial Narrow" w:hAnsi="Arial Narrow"/>
      <w:szCs w:val="22"/>
    </w:rPr>
  </w:style>
  <w:style w:type="paragraph" w:styleId="TOC1">
    <w:name w:val="toc 1"/>
    <w:basedOn w:val="Normal"/>
    <w:next w:val="Normal"/>
    <w:autoRedefine/>
    <w:uiPriority w:val="39"/>
    <w:qFormat/>
    <w:rsid w:val="006E5CD3"/>
    <w:pPr>
      <w:tabs>
        <w:tab w:val="left" w:pos="450"/>
        <w:tab w:val="left" w:pos="1100"/>
        <w:tab w:val="right" w:leader="dot" w:pos="9061"/>
      </w:tabs>
      <w:spacing w:after="0"/>
    </w:pPr>
    <w:rPr>
      <w:noProof/>
    </w:rPr>
  </w:style>
  <w:style w:type="paragraph" w:customStyle="1" w:styleId="TableContents">
    <w:name w:val="Table Contents"/>
    <w:basedOn w:val="Normal"/>
    <w:uiPriority w:val="99"/>
    <w:rsid w:val="008A1A24"/>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8A1A24"/>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8A1A24"/>
    <w:rPr>
      <w:rFonts w:cs="Times New Roman"/>
      <w:color w:val="0000FF"/>
      <w:u w:val="single"/>
    </w:rPr>
  </w:style>
  <w:style w:type="paragraph" w:customStyle="1" w:styleId="name1">
    <w:name w:val="name1"/>
    <w:basedOn w:val="Normal"/>
    <w:uiPriority w:val="99"/>
    <w:rsid w:val="008A1A24"/>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8A1A24"/>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rsid w:val="008A1A24"/>
    <w:rPr>
      <w:rFonts w:ascii="Times New Roman" w:eastAsia="Times New Roman" w:hAnsi="Times New Roman" w:cs="Times New Roman"/>
      <w:sz w:val="2"/>
      <w:szCs w:val="20"/>
      <w:shd w:val="clear" w:color="auto" w:fill="000080"/>
      <w:lang w:val="en-GB"/>
    </w:rPr>
  </w:style>
  <w:style w:type="paragraph" w:styleId="BalloonText">
    <w:name w:val="Balloon Text"/>
    <w:basedOn w:val="Normal"/>
    <w:link w:val="BalloonTextChar"/>
    <w:uiPriority w:val="99"/>
    <w:rsid w:val="008A1A24"/>
    <w:rPr>
      <w:rFonts w:ascii="Times New Roman" w:hAnsi="Times New Roman"/>
      <w:sz w:val="16"/>
    </w:rPr>
  </w:style>
  <w:style w:type="character" w:customStyle="1" w:styleId="BalloonTextChar">
    <w:name w:val="Balloon Text Char"/>
    <w:basedOn w:val="DefaultParagraphFont"/>
    <w:link w:val="BalloonText"/>
    <w:uiPriority w:val="99"/>
    <w:rsid w:val="008A1A24"/>
    <w:rPr>
      <w:rFonts w:ascii="Times New Roman" w:eastAsia="Times New Roman" w:hAnsi="Times New Roman" w:cs="Times New Roman"/>
      <w:sz w:val="16"/>
      <w:szCs w:val="20"/>
      <w:lang w:val="en-GB"/>
    </w:rPr>
  </w:style>
  <w:style w:type="paragraph" w:styleId="Title">
    <w:name w:val="Title"/>
    <w:basedOn w:val="Normal"/>
    <w:link w:val="TitleChar"/>
    <w:uiPriority w:val="99"/>
    <w:qFormat/>
    <w:rsid w:val="008A1A24"/>
    <w:pPr>
      <w:jc w:val="center"/>
    </w:pPr>
    <w:rPr>
      <w:rFonts w:ascii="Cambria" w:hAnsi="Cambria"/>
      <w:b/>
      <w:bCs/>
      <w:kern w:val="28"/>
      <w:sz w:val="32"/>
      <w:szCs w:val="32"/>
    </w:rPr>
  </w:style>
  <w:style w:type="character" w:customStyle="1" w:styleId="TitleChar">
    <w:name w:val="Title Char"/>
    <w:basedOn w:val="DefaultParagraphFont"/>
    <w:link w:val="Title"/>
    <w:uiPriority w:val="99"/>
    <w:rsid w:val="008A1A24"/>
    <w:rPr>
      <w:rFonts w:ascii="Cambria" w:eastAsia="Times New Roman" w:hAnsi="Cambria" w:cs="Times New Roman"/>
      <w:b/>
      <w:bCs/>
      <w:kern w:val="28"/>
      <w:sz w:val="32"/>
      <w:szCs w:val="32"/>
      <w:lang w:val="en-GB"/>
    </w:rPr>
  </w:style>
  <w:style w:type="character" w:styleId="PageNumber">
    <w:name w:val="page number"/>
    <w:basedOn w:val="DefaultParagraphFont"/>
    <w:uiPriority w:val="99"/>
    <w:rsid w:val="008A1A24"/>
    <w:rPr>
      <w:rFonts w:cs="Times New Roman"/>
    </w:rPr>
  </w:style>
  <w:style w:type="paragraph" w:styleId="TOC2">
    <w:name w:val="toc 2"/>
    <w:basedOn w:val="Normal"/>
    <w:next w:val="Normal"/>
    <w:uiPriority w:val="39"/>
    <w:qFormat/>
    <w:rsid w:val="003E02BD"/>
    <w:pPr>
      <w:tabs>
        <w:tab w:val="left" w:pos="720"/>
        <w:tab w:val="right" w:leader="dot" w:pos="9072"/>
      </w:tabs>
      <w:ind w:left="216" w:right="432"/>
    </w:pPr>
  </w:style>
  <w:style w:type="paragraph" w:styleId="TOC3">
    <w:name w:val="toc 3"/>
    <w:basedOn w:val="Normal"/>
    <w:next w:val="Normal"/>
    <w:autoRedefine/>
    <w:uiPriority w:val="39"/>
    <w:qFormat/>
    <w:rsid w:val="00000F96"/>
    <w:pPr>
      <w:tabs>
        <w:tab w:val="left" w:pos="450"/>
        <w:tab w:val="left" w:pos="720"/>
        <w:tab w:val="right" w:leader="dot" w:pos="9061"/>
      </w:tabs>
      <w:spacing w:after="0"/>
      <w:ind w:left="1440" w:hanging="720"/>
    </w:pPr>
    <w:rPr>
      <w:rFonts w:eastAsia="SimSun"/>
      <w:noProof/>
      <w:color w:val="000000" w:themeColor="text1"/>
    </w:rPr>
  </w:style>
  <w:style w:type="paragraph" w:styleId="TOC5">
    <w:name w:val="toc 5"/>
    <w:basedOn w:val="Normal"/>
    <w:next w:val="Normal"/>
    <w:autoRedefine/>
    <w:uiPriority w:val="99"/>
    <w:semiHidden/>
    <w:rsid w:val="008A1A24"/>
    <w:pPr>
      <w:ind w:left="880"/>
    </w:pPr>
  </w:style>
  <w:style w:type="paragraph" w:customStyle="1" w:styleId="StyleTitleOptimum">
    <w:name w:val="Style Title + Optimum"/>
    <w:basedOn w:val="Title"/>
    <w:uiPriority w:val="99"/>
    <w:rsid w:val="008A1A24"/>
    <w:rPr>
      <w:rFonts w:ascii="Arial Black" w:hAnsi="Arial Black"/>
      <w:b w:val="0"/>
    </w:rPr>
  </w:style>
  <w:style w:type="paragraph" w:customStyle="1" w:styleId="StyleHeading5Optimum">
    <w:name w:val="Style Heading 5 + Optimum"/>
    <w:basedOn w:val="Heading5"/>
    <w:uiPriority w:val="99"/>
    <w:rsid w:val="008A1A24"/>
    <w:pPr>
      <w:spacing w:after="60"/>
    </w:pPr>
    <w:rPr>
      <w:bCs/>
      <w:i/>
      <w:sz w:val="32"/>
    </w:rPr>
  </w:style>
  <w:style w:type="paragraph" w:customStyle="1" w:styleId="StyleHeading4After6pt">
    <w:name w:val="Style Heading 4 + After:  6 pt"/>
    <w:basedOn w:val="Heading4"/>
    <w:uiPriority w:val="99"/>
    <w:rsid w:val="008A1A24"/>
    <w:rPr>
      <w:b/>
      <w:bCs/>
      <w:i w:val="0"/>
      <w:iCs/>
    </w:rPr>
  </w:style>
  <w:style w:type="character" w:customStyle="1" w:styleId="pubref">
    <w:name w:val="pubref"/>
    <w:rsid w:val="008A1A24"/>
  </w:style>
  <w:style w:type="paragraph" w:styleId="FootnoteText">
    <w:name w:val="footnote text"/>
    <w:basedOn w:val="Normal"/>
    <w:link w:val="FootnoteTextChar"/>
    <w:uiPriority w:val="99"/>
    <w:rsid w:val="008A1A24"/>
    <w:rPr>
      <w:rFonts w:ascii="Gill Sans MT" w:hAnsi="Gill Sans MT"/>
      <w:sz w:val="20"/>
    </w:rPr>
  </w:style>
  <w:style w:type="character" w:customStyle="1" w:styleId="FootnoteTextChar">
    <w:name w:val="Footnote Text Char"/>
    <w:basedOn w:val="DefaultParagraphFont"/>
    <w:link w:val="FootnoteText"/>
    <w:uiPriority w:val="99"/>
    <w:rsid w:val="008A1A24"/>
    <w:rPr>
      <w:rFonts w:ascii="Gill Sans MT" w:eastAsia="Times New Roman" w:hAnsi="Gill Sans MT" w:cs="Times New Roman"/>
      <w:sz w:val="20"/>
      <w:szCs w:val="20"/>
      <w:lang w:val="en-GB"/>
    </w:rPr>
  </w:style>
  <w:style w:type="paragraph" w:styleId="ListBullet2">
    <w:name w:val="List Bullet 2"/>
    <w:basedOn w:val="Normal"/>
    <w:uiPriority w:val="99"/>
    <w:rsid w:val="008A1A24"/>
    <w:pPr>
      <w:tabs>
        <w:tab w:val="num" w:pos="432"/>
      </w:tabs>
      <w:spacing w:before="120"/>
      <w:ind w:left="432" w:hanging="432"/>
    </w:pPr>
    <w:rPr>
      <w:rFonts w:ascii="Optimum" w:hAnsi="Optimum"/>
      <w:szCs w:val="24"/>
      <w:lang w:val="en-AU"/>
    </w:rPr>
  </w:style>
  <w:style w:type="paragraph" w:styleId="PlainText">
    <w:name w:val="Plain Text"/>
    <w:basedOn w:val="Normal"/>
    <w:link w:val="PlainTextChar"/>
    <w:uiPriority w:val="99"/>
    <w:rsid w:val="008A1A24"/>
    <w:rPr>
      <w:rFonts w:ascii="Courier New" w:hAnsi="Courier New"/>
      <w:sz w:val="20"/>
    </w:rPr>
  </w:style>
  <w:style w:type="character" w:customStyle="1" w:styleId="PlainTextChar">
    <w:name w:val="Plain Text Char"/>
    <w:basedOn w:val="DefaultParagraphFont"/>
    <w:link w:val="PlainText"/>
    <w:uiPriority w:val="99"/>
    <w:rsid w:val="008A1A24"/>
    <w:rPr>
      <w:rFonts w:ascii="Courier New" w:eastAsia="Times New Roman" w:hAnsi="Courier New" w:cs="Times New Roman"/>
      <w:sz w:val="20"/>
      <w:szCs w:val="20"/>
      <w:lang w:val="en-GB"/>
    </w:rPr>
  </w:style>
  <w:style w:type="paragraph" w:customStyle="1" w:styleId="references0">
    <w:name w:val="references"/>
    <w:basedOn w:val="Normal"/>
    <w:uiPriority w:val="99"/>
    <w:rsid w:val="008A1A24"/>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xl551">
    <w:name w:val="xl551"/>
    <w:basedOn w:val="Normal"/>
    <w:uiPriority w:val="99"/>
    <w:rsid w:val="008A1A24"/>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8A1A24"/>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uiPriority w:val="99"/>
    <w:rsid w:val="008A1A24"/>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99"/>
    <w:qFormat/>
    <w:rsid w:val="008A1A24"/>
    <w:rPr>
      <w:rFonts w:cs="Times New Roman"/>
      <w:b/>
    </w:rPr>
  </w:style>
  <w:style w:type="paragraph" w:customStyle="1" w:styleId="Style2">
    <w:name w:val="Style2"/>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Style3">
    <w:name w:val="Style3"/>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Style4">
    <w:name w:val="Style4"/>
    <w:basedOn w:val="Heading5"/>
    <w:autoRedefine/>
    <w:uiPriority w:val="99"/>
    <w:rsid w:val="008A1A24"/>
    <w:pPr>
      <w:keepNext w:val="0"/>
      <w:spacing w:before="240" w:after="60"/>
    </w:pPr>
    <w:rPr>
      <w:rFonts w:ascii="Times New Roman" w:hAnsi="Times New Roman"/>
      <w:bCs/>
      <w:i/>
      <w:iCs/>
      <w:sz w:val="24"/>
      <w:szCs w:val="24"/>
      <w:u w:val="single"/>
      <w:lang w:val="en-AU"/>
    </w:rPr>
  </w:style>
  <w:style w:type="paragraph" w:styleId="BodyTextIndent">
    <w:name w:val="Body Text Indent"/>
    <w:basedOn w:val="Normal"/>
    <w:link w:val="BodyTextIndentChar"/>
    <w:uiPriority w:val="99"/>
    <w:rsid w:val="008A1A24"/>
    <w:pPr>
      <w:ind w:left="283"/>
    </w:pPr>
    <w:rPr>
      <w:rFonts w:ascii="Gill Sans MT" w:hAnsi="Gill Sans MT"/>
      <w:sz w:val="20"/>
    </w:rPr>
  </w:style>
  <w:style w:type="character" w:customStyle="1" w:styleId="BodyTextIndentChar">
    <w:name w:val="Body Text Indent Char"/>
    <w:basedOn w:val="DefaultParagraphFont"/>
    <w:link w:val="BodyTextIndent"/>
    <w:uiPriority w:val="99"/>
    <w:rsid w:val="008A1A24"/>
    <w:rPr>
      <w:rFonts w:ascii="Gill Sans MT" w:eastAsia="Times New Roman" w:hAnsi="Gill Sans MT" w:cs="Times New Roman"/>
      <w:sz w:val="20"/>
      <w:szCs w:val="20"/>
      <w:lang w:val="en-GB"/>
    </w:rPr>
  </w:style>
  <w:style w:type="paragraph" w:customStyle="1" w:styleId="TOCfig-table">
    <w:name w:val="TOC fig-table"/>
    <w:basedOn w:val="Normal"/>
    <w:uiPriority w:val="99"/>
    <w:rsid w:val="008A1A24"/>
    <w:pPr>
      <w:tabs>
        <w:tab w:val="left" w:pos="1152"/>
        <w:tab w:val="right" w:leader="dot" w:pos="8640"/>
      </w:tabs>
      <w:spacing w:before="120"/>
      <w:ind w:left="1152" w:right="720" w:hanging="1152"/>
    </w:pPr>
    <w:rPr>
      <w:b/>
      <w:sz w:val="20"/>
    </w:rPr>
  </w:style>
  <w:style w:type="table" w:styleId="TableGrid">
    <w:name w:val="Table Grid"/>
    <w:basedOn w:val="TableNormal"/>
    <w:uiPriority w:val="59"/>
    <w:rsid w:val="008A1A24"/>
    <w:pPr>
      <w:spacing w:after="0"/>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TOC7"/>
    <w:next w:val="Normal"/>
    <w:link w:val="TableofFiguresChar"/>
    <w:uiPriority w:val="99"/>
    <w:rsid w:val="00E4136F"/>
    <w:pPr>
      <w:tabs>
        <w:tab w:val="clear" w:pos="709"/>
        <w:tab w:val="right" w:leader="dot" w:pos="9629"/>
      </w:tabs>
      <w:spacing w:after="0"/>
      <w:ind w:left="440" w:hanging="440"/>
    </w:pPr>
    <w:rPr>
      <w:rFonts w:eastAsiaTheme="majorEastAsia" w:cs="Arial"/>
      <w:bCs/>
      <w:noProof/>
      <w:sz w:val="22"/>
    </w:rPr>
  </w:style>
  <w:style w:type="paragraph" w:styleId="Header">
    <w:name w:val="header"/>
    <w:basedOn w:val="Normal"/>
    <w:link w:val="HeaderChar"/>
    <w:uiPriority w:val="99"/>
    <w:rsid w:val="008A1A24"/>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rsid w:val="008A1A24"/>
    <w:rPr>
      <w:rFonts w:ascii="Gill Sans MT" w:eastAsia="Times New Roman" w:hAnsi="Gill Sans MT" w:cs="Times New Roman"/>
      <w:sz w:val="20"/>
      <w:szCs w:val="20"/>
      <w:lang w:val="en-GB"/>
    </w:rPr>
  </w:style>
  <w:style w:type="paragraph" w:customStyle="1" w:styleId="Head4">
    <w:name w:val="Head 4"/>
    <w:basedOn w:val="Heading3"/>
    <w:uiPriority w:val="99"/>
    <w:rsid w:val="008A1A24"/>
    <w:pPr>
      <w:spacing w:before="120" w:after="240"/>
      <w:outlineLvl w:val="9"/>
    </w:pPr>
    <w:rPr>
      <w:b w:val="0"/>
      <w:smallCaps/>
      <w:sz w:val="22"/>
      <w:u w:val="single"/>
    </w:rPr>
  </w:style>
  <w:style w:type="paragraph" w:customStyle="1" w:styleId="Bodytxt">
    <w:name w:val="Body txt"/>
    <w:basedOn w:val="Normal"/>
    <w:uiPriority w:val="99"/>
    <w:rsid w:val="008A1A24"/>
    <w:pPr>
      <w:spacing w:line="320" w:lineRule="exact"/>
    </w:pPr>
  </w:style>
  <w:style w:type="paragraph" w:styleId="BodyText">
    <w:name w:val="Body Text"/>
    <w:basedOn w:val="Normal"/>
    <w:link w:val="BodyTextChar"/>
    <w:uiPriority w:val="99"/>
    <w:rsid w:val="008A1A24"/>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rsid w:val="008A1A24"/>
    <w:rPr>
      <w:rFonts w:ascii="Gill Sans MT" w:eastAsia="Times New Roman" w:hAnsi="Gill Sans MT" w:cs="Times New Roman"/>
      <w:sz w:val="20"/>
      <w:szCs w:val="20"/>
      <w:lang w:val="en-GB"/>
    </w:rPr>
  </w:style>
  <w:style w:type="character" w:customStyle="1" w:styleId="CharChar">
    <w:name w:val="Char Char"/>
    <w:uiPriority w:val="99"/>
    <w:rsid w:val="008A1A24"/>
    <w:rPr>
      <w:rFonts w:ascii="Arial" w:hAnsi="Arial"/>
      <w:b/>
      <w:kern w:val="32"/>
      <w:sz w:val="32"/>
      <w:lang w:val="en-AU" w:eastAsia="en-US"/>
    </w:rPr>
  </w:style>
  <w:style w:type="paragraph" w:styleId="BodyTextIndent2">
    <w:name w:val="Body Text Indent 2"/>
    <w:basedOn w:val="Normal"/>
    <w:link w:val="BodyTextIndent2Char"/>
    <w:uiPriority w:val="99"/>
    <w:rsid w:val="008A1A24"/>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rsid w:val="008A1A24"/>
    <w:rPr>
      <w:rFonts w:ascii="Gill Sans MT" w:eastAsia="Times New Roman" w:hAnsi="Gill Sans MT" w:cs="Times New Roman"/>
      <w:sz w:val="20"/>
      <w:szCs w:val="20"/>
      <w:lang w:val="en-GB"/>
    </w:rPr>
  </w:style>
  <w:style w:type="character" w:customStyle="1" w:styleId="CaptionChar">
    <w:name w:val="Caption Char"/>
    <w:uiPriority w:val="99"/>
    <w:rsid w:val="008A1A24"/>
    <w:rPr>
      <w:rFonts w:eastAsia="SimSun"/>
      <w:sz w:val="24"/>
      <w:lang w:val="en-GB" w:eastAsia="en-US"/>
    </w:rPr>
  </w:style>
  <w:style w:type="paragraph" w:styleId="BodyText2">
    <w:name w:val="Body Text 2"/>
    <w:basedOn w:val="Normal"/>
    <w:link w:val="BodyText2Char"/>
    <w:uiPriority w:val="99"/>
    <w:rsid w:val="008A1A24"/>
    <w:pPr>
      <w:spacing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rsid w:val="008A1A24"/>
    <w:rPr>
      <w:rFonts w:ascii="Times New Roman" w:eastAsia="Times New Roman" w:hAnsi="Times New Roman" w:cs="Times New Roman"/>
      <w:sz w:val="24"/>
      <w:szCs w:val="24"/>
    </w:rPr>
  </w:style>
  <w:style w:type="character" w:styleId="Emphasis">
    <w:name w:val="Emphasis"/>
    <w:basedOn w:val="DefaultParagraphFont"/>
    <w:uiPriority w:val="20"/>
    <w:qFormat/>
    <w:rsid w:val="008A1A24"/>
    <w:rPr>
      <w:rFonts w:cs="Times New Roman"/>
      <w:i/>
    </w:rPr>
  </w:style>
  <w:style w:type="character" w:customStyle="1" w:styleId="CharChar1">
    <w:name w:val="Char Char1"/>
    <w:uiPriority w:val="99"/>
    <w:rsid w:val="008A1A24"/>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8A1A24"/>
    <w:pPr>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rsid w:val="008A1A24"/>
    <w:rPr>
      <w:rFonts w:ascii="Gill Sans MT" w:eastAsia="Times New Roman" w:hAnsi="Gill Sans MT" w:cs="Times New Roman"/>
      <w:sz w:val="16"/>
      <w:szCs w:val="16"/>
      <w:lang w:val="en-GB"/>
    </w:rPr>
  </w:style>
  <w:style w:type="paragraph" w:styleId="CommentSubject">
    <w:name w:val="annotation subject"/>
    <w:basedOn w:val="CommentText"/>
    <w:next w:val="CommentText"/>
    <w:link w:val="CommentSubjectChar"/>
    <w:uiPriority w:val="99"/>
    <w:semiHidden/>
    <w:rsid w:val="008A1A24"/>
    <w:rPr>
      <w:b/>
      <w:bCs/>
    </w:rPr>
  </w:style>
  <w:style w:type="character" w:customStyle="1" w:styleId="CommentSubjectChar">
    <w:name w:val="Comment Subject Char"/>
    <w:basedOn w:val="CommentTextChar"/>
    <w:link w:val="CommentSubject"/>
    <w:uiPriority w:val="99"/>
    <w:semiHidden/>
    <w:rsid w:val="008A1A24"/>
    <w:rPr>
      <w:rFonts w:ascii="Gill Sans MT" w:eastAsia="Times New Roman" w:hAnsi="Gill Sans MT" w:cs="Times New Roman"/>
      <w:b/>
      <w:bCs/>
      <w:sz w:val="20"/>
      <w:szCs w:val="20"/>
      <w:lang w:eastAsia="en-AU"/>
    </w:rPr>
  </w:style>
  <w:style w:type="paragraph" w:styleId="Caption">
    <w:name w:val="caption"/>
    <w:aliases w:val="Fig title,Figures"/>
    <w:next w:val="Normal"/>
    <w:autoRedefine/>
    <w:uiPriority w:val="99"/>
    <w:qFormat/>
    <w:rsid w:val="00F872DF"/>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ind w:right="232"/>
    </w:pPr>
    <w:rPr>
      <w:rFonts w:ascii="Arial Narrow" w:eastAsia="SimSun" w:hAnsi="Arial Narrow" w:cs="Times New Roman"/>
      <w:sz w:val="20"/>
      <w:szCs w:val="24"/>
      <w:lang w:val="en-GB"/>
    </w:rPr>
  </w:style>
  <w:style w:type="paragraph" w:customStyle="1" w:styleId="Captions">
    <w:name w:val="Captions"/>
    <w:basedOn w:val="Normal"/>
    <w:uiPriority w:val="99"/>
    <w:semiHidden/>
    <w:rsid w:val="008A1A24"/>
    <w:rPr>
      <w:rFonts w:ascii="Times New Roman" w:hAnsi="Times New Roman"/>
      <w:i/>
      <w:sz w:val="24"/>
      <w:szCs w:val="24"/>
      <w:lang w:val="en-AU"/>
    </w:rPr>
  </w:style>
  <w:style w:type="paragraph" w:customStyle="1" w:styleId="Pa3">
    <w:name w:val="Pa3"/>
    <w:basedOn w:val="Normal"/>
    <w:next w:val="Normal"/>
    <w:uiPriority w:val="99"/>
    <w:rsid w:val="008A1A24"/>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8A1A24"/>
    <w:rPr>
      <w:color w:val="221E1F"/>
      <w:sz w:val="22"/>
    </w:rPr>
  </w:style>
  <w:style w:type="paragraph" w:customStyle="1" w:styleId="default">
    <w:name w:val="default"/>
    <w:basedOn w:val="Normal"/>
    <w:uiPriority w:val="99"/>
    <w:rsid w:val="008A1A24"/>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8A1A24"/>
  </w:style>
  <w:style w:type="paragraph" w:customStyle="1" w:styleId="table0">
    <w:name w:val="table"/>
    <w:basedOn w:val="Normal"/>
    <w:uiPriority w:val="99"/>
    <w:rsid w:val="008A1A24"/>
    <w:rPr>
      <w:rFonts w:ascii="Arial Narrow" w:hAnsi="Arial Narrow"/>
      <w:szCs w:val="22"/>
      <w:lang w:val="en-AU" w:eastAsia="en-AU"/>
    </w:rPr>
  </w:style>
  <w:style w:type="character" w:styleId="FootnoteReference">
    <w:name w:val="footnote reference"/>
    <w:basedOn w:val="DefaultParagraphFont"/>
    <w:uiPriority w:val="99"/>
    <w:rsid w:val="008A1A24"/>
    <w:rPr>
      <w:rFonts w:cs="Times New Roman"/>
      <w:vertAlign w:val="superscript"/>
    </w:rPr>
  </w:style>
  <w:style w:type="character" w:customStyle="1" w:styleId="authors5">
    <w:name w:val="authors5"/>
    <w:uiPriority w:val="99"/>
    <w:rsid w:val="008A1A24"/>
  </w:style>
  <w:style w:type="character" w:styleId="FollowedHyperlink">
    <w:name w:val="FollowedHyperlink"/>
    <w:basedOn w:val="DefaultParagraphFont"/>
    <w:uiPriority w:val="99"/>
    <w:rsid w:val="008A1A24"/>
    <w:rPr>
      <w:rFonts w:cs="Times New Roman"/>
      <w:color w:val="800080"/>
      <w:u w:val="single"/>
    </w:rPr>
  </w:style>
  <w:style w:type="paragraph" w:styleId="ListParagraph">
    <w:name w:val="List Paragraph"/>
    <w:basedOn w:val="Normal"/>
    <w:link w:val="ListParagraphChar"/>
    <w:uiPriority w:val="34"/>
    <w:qFormat/>
    <w:rsid w:val="008A1A24"/>
    <w:pPr>
      <w:ind w:left="720"/>
      <w:contextualSpacing/>
    </w:pPr>
    <w:rPr>
      <w:szCs w:val="24"/>
      <w:lang w:eastAsia="en-GB"/>
    </w:rPr>
  </w:style>
  <w:style w:type="paragraph" w:customStyle="1" w:styleId="Default0">
    <w:name w:val="Default"/>
    <w:rsid w:val="008A1A24"/>
    <w:pPr>
      <w:autoSpaceDE w:val="0"/>
      <w:autoSpaceDN w:val="0"/>
      <w:adjustRightInd w:val="0"/>
      <w:spacing w:after="0"/>
    </w:pPr>
    <w:rPr>
      <w:rFonts w:ascii="Calibri" w:eastAsia="Times New Roman" w:hAnsi="Calibri" w:cs="Calibri"/>
      <w:color w:val="000000"/>
      <w:sz w:val="24"/>
      <w:szCs w:val="24"/>
      <w:lang w:val="en-GB" w:eastAsia="en-GB"/>
    </w:rPr>
  </w:style>
  <w:style w:type="paragraph" w:styleId="Revision">
    <w:name w:val="Revision"/>
    <w:hidden/>
    <w:uiPriority w:val="99"/>
    <w:semiHidden/>
    <w:rsid w:val="008A1A24"/>
    <w:pPr>
      <w:spacing w:after="0"/>
    </w:pPr>
    <w:rPr>
      <w:rFonts w:ascii="Gill Sans MT" w:eastAsia="Times New Roman" w:hAnsi="Gill Sans MT" w:cs="Times New Roman"/>
      <w:szCs w:val="20"/>
      <w:lang w:val="en-GB"/>
    </w:rPr>
  </w:style>
  <w:style w:type="paragraph" w:styleId="NoSpacing">
    <w:name w:val="No Spacing"/>
    <w:uiPriority w:val="99"/>
    <w:qFormat/>
    <w:rsid w:val="008A1A24"/>
    <w:pPr>
      <w:spacing w:after="0"/>
    </w:pPr>
    <w:rPr>
      <w:rFonts w:ascii="Gill Sans MT" w:eastAsia="Times New Roman" w:hAnsi="Gill Sans MT" w:cs="Times New Roman"/>
      <w:szCs w:val="20"/>
      <w:lang w:val="en-GB"/>
    </w:rPr>
  </w:style>
  <w:style w:type="character" w:customStyle="1" w:styleId="Heading2Char1">
    <w:name w:val="Heading 2 Char1"/>
    <w:aliases w:val="h2 Char1"/>
    <w:basedOn w:val="DefaultParagraphFont"/>
    <w:link w:val="Heading2"/>
    <w:uiPriority w:val="99"/>
    <w:rsid w:val="00B05F33"/>
    <w:rPr>
      <w:rFonts w:ascii="Arial" w:eastAsiaTheme="majorEastAsia" w:hAnsi="Arial" w:cstheme="majorBidi"/>
      <w:b/>
      <w:bCs/>
      <w:color w:val="000000" w:themeColor="text1"/>
      <w:sz w:val="26"/>
      <w:szCs w:val="26"/>
    </w:rPr>
  </w:style>
  <w:style w:type="character" w:styleId="SubtleReference">
    <w:name w:val="Subtle Reference"/>
    <w:basedOn w:val="DefaultParagraphFont"/>
    <w:uiPriority w:val="31"/>
    <w:qFormat/>
    <w:rsid w:val="008A1A24"/>
    <w:rPr>
      <w:rFonts w:ascii="Arial Narrow" w:hAnsi="Arial Narrow"/>
      <w:smallCaps/>
      <w:color w:val="000000" w:themeColor="text1"/>
      <w:sz w:val="20"/>
      <w:u w:val="none"/>
    </w:rPr>
  </w:style>
  <w:style w:type="character" w:styleId="IntenseReference">
    <w:name w:val="Intense Reference"/>
    <w:aliases w:val="fig tab body"/>
    <w:basedOn w:val="FigureChar"/>
    <w:uiPriority w:val="32"/>
    <w:qFormat/>
    <w:rsid w:val="008A1A24"/>
    <w:rPr>
      <w:rFonts w:ascii="Arial Narrow" w:eastAsia="Times New Roman" w:hAnsi="Arial Narrow" w:cs="Times New Roman"/>
      <w:b w:val="0"/>
      <w:bCs/>
      <w:caps w:val="0"/>
      <w:smallCaps w:val="0"/>
      <w:color w:val="000000" w:themeColor="text1"/>
      <w:spacing w:val="0"/>
      <w:w w:val="100"/>
      <w:sz w:val="20"/>
      <w:szCs w:val="20"/>
      <w:u w:val="none"/>
      <w:lang w:val="en-GB"/>
    </w:rPr>
  </w:style>
  <w:style w:type="character" w:customStyle="1" w:styleId="cit-issue1">
    <w:name w:val="cit-issue1"/>
    <w:basedOn w:val="DefaultParagraphFont"/>
    <w:rsid w:val="008A1A24"/>
    <w:rPr>
      <w:vanish/>
      <w:webHidden w:val="0"/>
      <w:specVanish w:val="0"/>
    </w:rPr>
  </w:style>
  <w:style w:type="character" w:customStyle="1" w:styleId="cit-vol2">
    <w:name w:val="cit-vol2"/>
    <w:basedOn w:val="DefaultParagraphFont"/>
    <w:rsid w:val="008A1A24"/>
  </w:style>
  <w:style w:type="character" w:customStyle="1" w:styleId="cit-elocation">
    <w:name w:val="cit-elocation"/>
    <w:basedOn w:val="DefaultParagraphFont"/>
    <w:rsid w:val="008A1A24"/>
  </w:style>
  <w:style w:type="character" w:customStyle="1" w:styleId="cit-sep2">
    <w:name w:val="cit-sep2"/>
    <w:basedOn w:val="DefaultParagraphFont"/>
    <w:rsid w:val="008A1A24"/>
  </w:style>
  <w:style w:type="character" w:customStyle="1" w:styleId="cit-doi3">
    <w:name w:val="cit-doi3"/>
    <w:basedOn w:val="DefaultParagraphFont"/>
    <w:rsid w:val="008A1A24"/>
  </w:style>
  <w:style w:type="character" w:customStyle="1" w:styleId="ListParagraphChar">
    <w:name w:val="List Paragraph Char"/>
    <w:basedOn w:val="DefaultParagraphFont"/>
    <w:link w:val="ListParagraph"/>
    <w:uiPriority w:val="34"/>
    <w:locked/>
    <w:rsid w:val="008A1A24"/>
    <w:rPr>
      <w:rFonts w:ascii="Arial" w:eastAsia="Times New Roman" w:hAnsi="Arial" w:cs="Times New Roman"/>
      <w:szCs w:val="24"/>
      <w:lang w:val="en-GB" w:eastAsia="en-GB"/>
    </w:rPr>
  </w:style>
  <w:style w:type="paragraph" w:styleId="Bibliography">
    <w:name w:val="Bibliography"/>
    <w:basedOn w:val="Normal"/>
    <w:next w:val="Normal"/>
    <w:uiPriority w:val="37"/>
    <w:semiHidden/>
    <w:unhideWhenUsed/>
    <w:rsid w:val="008A1A24"/>
  </w:style>
  <w:style w:type="paragraph" w:styleId="BlockText">
    <w:name w:val="Block Text"/>
    <w:basedOn w:val="Normal"/>
    <w:uiPriority w:val="99"/>
    <w:semiHidden/>
    <w:unhideWhenUsed/>
    <w:rsid w:val="008A1A24"/>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uiPriority w:val="99"/>
    <w:semiHidden/>
    <w:unhideWhenUsed/>
    <w:rsid w:val="008A1A24"/>
    <w:rPr>
      <w:sz w:val="16"/>
      <w:szCs w:val="16"/>
    </w:rPr>
  </w:style>
  <w:style w:type="character" w:customStyle="1" w:styleId="BodyText3Char">
    <w:name w:val="Body Text 3 Char"/>
    <w:basedOn w:val="DefaultParagraphFont"/>
    <w:link w:val="BodyText3"/>
    <w:uiPriority w:val="99"/>
    <w:semiHidden/>
    <w:rsid w:val="008A1A24"/>
    <w:rPr>
      <w:rFonts w:ascii="Arial" w:eastAsia="Times New Roman" w:hAnsi="Arial" w:cs="Times New Roman"/>
      <w:sz w:val="16"/>
      <w:szCs w:val="16"/>
      <w:lang w:val="en-GB"/>
    </w:rPr>
  </w:style>
  <w:style w:type="paragraph" w:styleId="BodyTextFirstIndent">
    <w:name w:val="Body Text First Indent"/>
    <w:basedOn w:val="BodyText"/>
    <w:link w:val="BodyTextFirstIndentChar"/>
    <w:uiPriority w:val="99"/>
    <w:semiHidden/>
    <w:unhideWhenUsed/>
    <w:rsid w:val="008A1A24"/>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8A1A24"/>
    <w:rPr>
      <w:rFonts w:ascii="Arial" w:eastAsia="Times New Roman" w:hAnsi="Arial" w:cs="Times New Roman"/>
      <w:sz w:val="20"/>
      <w:szCs w:val="20"/>
      <w:lang w:val="en-GB"/>
    </w:rPr>
  </w:style>
  <w:style w:type="paragraph" w:styleId="BodyTextFirstIndent2">
    <w:name w:val="Body Text First Indent 2"/>
    <w:basedOn w:val="BodyTextIndent"/>
    <w:link w:val="BodyTextFirstIndent2Char"/>
    <w:uiPriority w:val="99"/>
    <w:semiHidden/>
    <w:unhideWhenUsed/>
    <w:rsid w:val="008A1A24"/>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8A1A24"/>
    <w:rPr>
      <w:rFonts w:ascii="Arial" w:eastAsia="Times New Roman" w:hAnsi="Arial" w:cs="Times New Roman"/>
      <w:sz w:val="20"/>
      <w:szCs w:val="20"/>
      <w:lang w:val="en-GB"/>
    </w:rPr>
  </w:style>
  <w:style w:type="paragraph" w:styleId="Closing">
    <w:name w:val="Closing"/>
    <w:basedOn w:val="Normal"/>
    <w:link w:val="ClosingChar"/>
    <w:uiPriority w:val="99"/>
    <w:semiHidden/>
    <w:unhideWhenUsed/>
    <w:rsid w:val="008A1A24"/>
    <w:pPr>
      <w:ind w:left="4252"/>
    </w:pPr>
  </w:style>
  <w:style w:type="character" w:customStyle="1" w:styleId="ClosingChar">
    <w:name w:val="Closing Char"/>
    <w:basedOn w:val="DefaultParagraphFont"/>
    <w:link w:val="Closing"/>
    <w:uiPriority w:val="99"/>
    <w:semiHidden/>
    <w:rsid w:val="008A1A24"/>
    <w:rPr>
      <w:rFonts w:ascii="Arial" w:eastAsia="Times New Roman" w:hAnsi="Arial" w:cs="Times New Roman"/>
      <w:szCs w:val="20"/>
      <w:lang w:val="en-GB"/>
    </w:rPr>
  </w:style>
  <w:style w:type="paragraph" w:styleId="Date">
    <w:name w:val="Date"/>
    <w:basedOn w:val="Normal"/>
    <w:next w:val="Normal"/>
    <w:link w:val="DateChar"/>
    <w:uiPriority w:val="99"/>
    <w:semiHidden/>
    <w:unhideWhenUsed/>
    <w:rsid w:val="008A1A24"/>
  </w:style>
  <w:style w:type="character" w:customStyle="1" w:styleId="DateChar">
    <w:name w:val="Date Char"/>
    <w:basedOn w:val="DefaultParagraphFont"/>
    <w:link w:val="Date"/>
    <w:uiPriority w:val="99"/>
    <w:semiHidden/>
    <w:rsid w:val="008A1A24"/>
    <w:rPr>
      <w:rFonts w:ascii="Arial" w:eastAsia="Times New Roman" w:hAnsi="Arial" w:cs="Times New Roman"/>
      <w:szCs w:val="20"/>
      <w:lang w:val="en-GB"/>
    </w:rPr>
  </w:style>
  <w:style w:type="paragraph" w:styleId="E-mailSignature">
    <w:name w:val="E-mail Signature"/>
    <w:basedOn w:val="Normal"/>
    <w:link w:val="E-mailSignatureChar"/>
    <w:uiPriority w:val="99"/>
    <w:semiHidden/>
    <w:unhideWhenUsed/>
    <w:rsid w:val="008A1A24"/>
  </w:style>
  <w:style w:type="character" w:customStyle="1" w:styleId="E-mailSignatureChar">
    <w:name w:val="E-mail Signature Char"/>
    <w:basedOn w:val="DefaultParagraphFont"/>
    <w:link w:val="E-mailSignature"/>
    <w:uiPriority w:val="99"/>
    <w:semiHidden/>
    <w:rsid w:val="008A1A24"/>
    <w:rPr>
      <w:rFonts w:ascii="Arial" w:eastAsia="Times New Roman" w:hAnsi="Arial" w:cs="Times New Roman"/>
      <w:szCs w:val="20"/>
      <w:lang w:val="en-GB"/>
    </w:rPr>
  </w:style>
  <w:style w:type="paragraph" w:styleId="EndnoteText">
    <w:name w:val="endnote text"/>
    <w:basedOn w:val="Normal"/>
    <w:link w:val="EndnoteTextChar"/>
    <w:uiPriority w:val="99"/>
    <w:semiHidden/>
    <w:unhideWhenUsed/>
    <w:rsid w:val="008A1A24"/>
    <w:rPr>
      <w:sz w:val="20"/>
    </w:rPr>
  </w:style>
  <w:style w:type="character" w:customStyle="1" w:styleId="EndnoteTextChar">
    <w:name w:val="Endnote Text Char"/>
    <w:basedOn w:val="DefaultParagraphFont"/>
    <w:link w:val="EndnoteText"/>
    <w:uiPriority w:val="99"/>
    <w:semiHidden/>
    <w:rsid w:val="008A1A24"/>
    <w:rPr>
      <w:rFonts w:ascii="Arial" w:eastAsia="Times New Roman" w:hAnsi="Arial" w:cs="Times New Roman"/>
      <w:sz w:val="20"/>
      <w:szCs w:val="20"/>
      <w:lang w:val="en-GB"/>
    </w:rPr>
  </w:style>
  <w:style w:type="paragraph" w:styleId="EnvelopeAddress">
    <w:name w:val="envelope address"/>
    <w:basedOn w:val="Normal"/>
    <w:uiPriority w:val="99"/>
    <w:semiHidden/>
    <w:unhideWhenUsed/>
    <w:rsid w:val="008A1A24"/>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8A1A24"/>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rsid w:val="008A1A24"/>
    <w:rPr>
      <w:i/>
      <w:iCs/>
    </w:rPr>
  </w:style>
  <w:style w:type="character" w:customStyle="1" w:styleId="HTMLAddressChar">
    <w:name w:val="HTML Address Char"/>
    <w:basedOn w:val="DefaultParagraphFont"/>
    <w:link w:val="HTMLAddress"/>
    <w:uiPriority w:val="99"/>
    <w:semiHidden/>
    <w:rsid w:val="008A1A24"/>
    <w:rPr>
      <w:rFonts w:ascii="Arial" w:eastAsia="Times New Roman" w:hAnsi="Arial" w:cs="Times New Roman"/>
      <w:i/>
      <w:iCs/>
      <w:szCs w:val="20"/>
      <w:lang w:val="en-GB"/>
    </w:rPr>
  </w:style>
  <w:style w:type="paragraph" w:styleId="HTMLPreformatted">
    <w:name w:val="HTML Preformatted"/>
    <w:basedOn w:val="Normal"/>
    <w:link w:val="HTMLPreformattedChar"/>
    <w:uiPriority w:val="99"/>
    <w:semiHidden/>
    <w:unhideWhenUsed/>
    <w:rsid w:val="008A1A24"/>
    <w:rPr>
      <w:rFonts w:ascii="Consolas" w:hAnsi="Consolas" w:cs="Consolas"/>
      <w:sz w:val="20"/>
    </w:rPr>
  </w:style>
  <w:style w:type="character" w:customStyle="1" w:styleId="HTMLPreformattedChar">
    <w:name w:val="HTML Preformatted Char"/>
    <w:basedOn w:val="DefaultParagraphFont"/>
    <w:link w:val="HTMLPreformatted"/>
    <w:uiPriority w:val="99"/>
    <w:semiHidden/>
    <w:rsid w:val="008A1A24"/>
    <w:rPr>
      <w:rFonts w:ascii="Consolas" w:eastAsia="Times New Roman" w:hAnsi="Consolas" w:cs="Consolas"/>
      <w:sz w:val="20"/>
      <w:szCs w:val="20"/>
      <w:lang w:val="en-GB"/>
    </w:rPr>
  </w:style>
  <w:style w:type="paragraph" w:styleId="Index1">
    <w:name w:val="index 1"/>
    <w:basedOn w:val="Normal"/>
    <w:next w:val="Normal"/>
    <w:autoRedefine/>
    <w:uiPriority w:val="99"/>
    <w:semiHidden/>
    <w:unhideWhenUsed/>
    <w:rsid w:val="008A1A24"/>
    <w:pPr>
      <w:ind w:left="220" w:hanging="220"/>
    </w:pPr>
  </w:style>
  <w:style w:type="paragraph" w:styleId="Index2">
    <w:name w:val="index 2"/>
    <w:basedOn w:val="Normal"/>
    <w:next w:val="Normal"/>
    <w:autoRedefine/>
    <w:uiPriority w:val="99"/>
    <w:semiHidden/>
    <w:unhideWhenUsed/>
    <w:rsid w:val="008A1A24"/>
    <w:pPr>
      <w:ind w:left="440" w:hanging="220"/>
    </w:pPr>
  </w:style>
  <w:style w:type="paragraph" w:styleId="Index3">
    <w:name w:val="index 3"/>
    <w:basedOn w:val="Normal"/>
    <w:next w:val="Normal"/>
    <w:autoRedefine/>
    <w:uiPriority w:val="99"/>
    <w:semiHidden/>
    <w:unhideWhenUsed/>
    <w:rsid w:val="008A1A24"/>
    <w:pPr>
      <w:ind w:left="660" w:hanging="220"/>
    </w:pPr>
  </w:style>
  <w:style w:type="paragraph" w:styleId="Index4">
    <w:name w:val="index 4"/>
    <w:basedOn w:val="Normal"/>
    <w:next w:val="Normal"/>
    <w:autoRedefine/>
    <w:uiPriority w:val="99"/>
    <w:semiHidden/>
    <w:unhideWhenUsed/>
    <w:rsid w:val="008A1A24"/>
    <w:pPr>
      <w:ind w:left="880" w:hanging="220"/>
    </w:pPr>
  </w:style>
  <w:style w:type="paragraph" w:styleId="Index5">
    <w:name w:val="index 5"/>
    <w:basedOn w:val="Normal"/>
    <w:next w:val="Normal"/>
    <w:autoRedefine/>
    <w:uiPriority w:val="99"/>
    <w:semiHidden/>
    <w:unhideWhenUsed/>
    <w:rsid w:val="008A1A24"/>
    <w:pPr>
      <w:ind w:left="1100" w:hanging="220"/>
    </w:pPr>
  </w:style>
  <w:style w:type="paragraph" w:styleId="Index6">
    <w:name w:val="index 6"/>
    <w:basedOn w:val="Normal"/>
    <w:next w:val="Normal"/>
    <w:autoRedefine/>
    <w:uiPriority w:val="99"/>
    <w:semiHidden/>
    <w:unhideWhenUsed/>
    <w:rsid w:val="008A1A24"/>
    <w:pPr>
      <w:ind w:left="1320" w:hanging="220"/>
    </w:pPr>
  </w:style>
  <w:style w:type="paragraph" w:styleId="Index7">
    <w:name w:val="index 7"/>
    <w:basedOn w:val="Normal"/>
    <w:next w:val="Normal"/>
    <w:autoRedefine/>
    <w:uiPriority w:val="99"/>
    <w:semiHidden/>
    <w:unhideWhenUsed/>
    <w:rsid w:val="008A1A24"/>
    <w:pPr>
      <w:ind w:left="1540" w:hanging="220"/>
    </w:pPr>
  </w:style>
  <w:style w:type="paragraph" w:styleId="Index8">
    <w:name w:val="index 8"/>
    <w:basedOn w:val="Normal"/>
    <w:next w:val="Normal"/>
    <w:autoRedefine/>
    <w:uiPriority w:val="99"/>
    <w:semiHidden/>
    <w:unhideWhenUsed/>
    <w:rsid w:val="008A1A24"/>
    <w:pPr>
      <w:ind w:left="1760" w:hanging="220"/>
    </w:pPr>
  </w:style>
  <w:style w:type="paragraph" w:styleId="Index9">
    <w:name w:val="index 9"/>
    <w:basedOn w:val="Normal"/>
    <w:next w:val="Normal"/>
    <w:autoRedefine/>
    <w:uiPriority w:val="99"/>
    <w:semiHidden/>
    <w:unhideWhenUsed/>
    <w:rsid w:val="008A1A24"/>
    <w:pPr>
      <w:ind w:left="1980" w:hanging="220"/>
    </w:pPr>
  </w:style>
  <w:style w:type="paragraph" w:styleId="IndexHeading">
    <w:name w:val="index heading"/>
    <w:basedOn w:val="Normal"/>
    <w:next w:val="Index1"/>
    <w:uiPriority w:val="99"/>
    <w:semiHidden/>
    <w:unhideWhenUsed/>
    <w:rsid w:val="008A1A24"/>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8A1A2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8A1A24"/>
    <w:rPr>
      <w:rFonts w:ascii="Arial" w:eastAsia="Times New Roman" w:hAnsi="Arial" w:cs="Times New Roman"/>
      <w:b/>
      <w:bCs/>
      <w:i/>
      <w:iCs/>
      <w:color w:val="4F81BD" w:themeColor="accent1"/>
      <w:szCs w:val="20"/>
      <w:lang w:val="en-GB"/>
    </w:rPr>
  </w:style>
  <w:style w:type="paragraph" w:styleId="List">
    <w:name w:val="List"/>
    <w:basedOn w:val="Normal"/>
    <w:uiPriority w:val="99"/>
    <w:semiHidden/>
    <w:unhideWhenUsed/>
    <w:rsid w:val="008A1A24"/>
    <w:pPr>
      <w:ind w:left="283" w:hanging="283"/>
      <w:contextualSpacing/>
    </w:pPr>
  </w:style>
  <w:style w:type="paragraph" w:styleId="List2">
    <w:name w:val="List 2"/>
    <w:basedOn w:val="Normal"/>
    <w:uiPriority w:val="99"/>
    <w:semiHidden/>
    <w:unhideWhenUsed/>
    <w:rsid w:val="008A1A24"/>
    <w:pPr>
      <w:ind w:left="566" w:hanging="283"/>
      <w:contextualSpacing/>
    </w:pPr>
  </w:style>
  <w:style w:type="paragraph" w:styleId="List3">
    <w:name w:val="List 3"/>
    <w:basedOn w:val="Normal"/>
    <w:uiPriority w:val="99"/>
    <w:semiHidden/>
    <w:unhideWhenUsed/>
    <w:rsid w:val="008A1A24"/>
    <w:pPr>
      <w:ind w:left="849" w:hanging="283"/>
      <w:contextualSpacing/>
    </w:pPr>
  </w:style>
  <w:style w:type="paragraph" w:styleId="List4">
    <w:name w:val="List 4"/>
    <w:basedOn w:val="Normal"/>
    <w:uiPriority w:val="99"/>
    <w:semiHidden/>
    <w:unhideWhenUsed/>
    <w:rsid w:val="008A1A24"/>
    <w:pPr>
      <w:ind w:left="1132" w:hanging="283"/>
      <w:contextualSpacing/>
    </w:pPr>
  </w:style>
  <w:style w:type="paragraph" w:styleId="List5">
    <w:name w:val="List 5"/>
    <w:basedOn w:val="Normal"/>
    <w:uiPriority w:val="99"/>
    <w:semiHidden/>
    <w:unhideWhenUsed/>
    <w:rsid w:val="008A1A24"/>
    <w:pPr>
      <w:ind w:left="1415" w:hanging="283"/>
      <w:contextualSpacing/>
    </w:pPr>
  </w:style>
  <w:style w:type="paragraph" w:styleId="ListBullet">
    <w:name w:val="List Bullet"/>
    <w:basedOn w:val="Normal"/>
    <w:uiPriority w:val="99"/>
    <w:semiHidden/>
    <w:unhideWhenUsed/>
    <w:rsid w:val="008A1A24"/>
    <w:pPr>
      <w:numPr>
        <w:numId w:val="4"/>
      </w:numPr>
      <w:contextualSpacing/>
    </w:pPr>
  </w:style>
  <w:style w:type="paragraph" w:styleId="ListBullet3">
    <w:name w:val="List Bullet 3"/>
    <w:basedOn w:val="Normal"/>
    <w:uiPriority w:val="99"/>
    <w:semiHidden/>
    <w:unhideWhenUsed/>
    <w:rsid w:val="008A1A24"/>
    <w:pPr>
      <w:numPr>
        <w:numId w:val="5"/>
      </w:numPr>
      <w:contextualSpacing/>
    </w:pPr>
  </w:style>
  <w:style w:type="paragraph" w:styleId="ListBullet4">
    <w:name w:val="List Bullet 4"/>
    <w:basedOn w:val="Normal"/>
    <w:uiPriority w:val="99"/>
    <w:semiHidden/>
    <w:unhideWhenUsed/>
    <w:rsid w:val="008A1A24"/>
    <w:pPr>
      <w:numPr>
        <w:numId w:val="6"/>
      </w:numPr>
      <w:contextualSpacing/>
    </w:pPr>
  </w:style>
  <w:style w:type="paragraph" w:styleId="ListBullet5">
    <w:name w:val="List Bullet 5"/>
    <w:basedOn w:val="Normal"/>
    <w:uiPriority w:val="99"/>
    <w:semiHidden/>
    <w:unhideWhenUsed/>
    <w:rsid w:val="008A1A24"/>
    <w:pPr>
      <w:numPr>
        <w:numId w:val="7"/>
      </w:numPr>
      <w:contextualSpacing/>
    </w:pPr>
  </w:style>
  <w:style w:type="paragraph" w:styleId="ListContinue">
    <w:name w:val="List Continue"/>
    <w:basedOn w:val="Normal"/>
    <w:uiPriority w:val="99"/>
    <w:semiHidden/>
    <w:unhideWhenUsed/>
    <w:rsid w:val="008A1A24"/>
    <w:pPr>
      <w:ind w:left="283"/>
      <w:contextualSpacing/>
    </w:pPr>
  </w:style>
  <w:style w:type="paragraph" w:styleId="ListContinue2">
    <w:name w:val="List Continue 2"/>
    <w:basedOn w:val="Normal"/>
    <w:uiPriority w:val="99"/>
    <w:semiHidden/>
    <w:unhideWhenUsed/>
    <w:rsid w:val="008A1A24"/>
    <w:pPr>
      <w:ind w:left="566"/>
      <w:contextualSpacing/>
    </w:pPr>
  </w:style>
  <w:style w:type="paragraph" w:styleId="ListContinue3">
    <w:name w:val="List Continue 3"/>
    <w:basedOn w:val="Normal"/>
    <w:uiPriority w:val="99"/>
    <w:semiHidden/>
    <w:unhideWhenUsed/>
    <w:rsid w:val="008A1A24"/>
    <w:pPr>
      <w:ind w:left="849"/>
      <w:contextualSpacing/>
    </w:pPr>
  </w:style>
  <w:style w:type="paragraph" w:styleId="ListContinue4">
    <w:name w:val="List Continue 4"/>
    <w:basedOn w:val="Normal"/>
    <w:uiPriority w:val="99"/>
    <w:semiHidden/>
    <w:unhideWhenUsed/>
    <w:rsid w:val="008A1A24"/>
    <w:pPr>
      <w:ind w:left="1132"/>
      <w:contextualSpacing/>
    </w:pPr>
  </w:style>
  <w:style w:type="paragraph" w:styleId="ListContinue5">
    <w:name w:val="List Continue 5"/>
    <w:basedOn w:val="Normal"/>
    <w:uiPriority w:val="99"/>
    <w:semiHidden/>
    <w:unhideWhenUsed/>
    <w:rsid w:val="008A1A24"/>
    <w:pPr>
      <w:ind w:left="1415"/>
      <w:contextualSpacing/>
    </w:pPr>
  </w:style>
  <w:style w:type="paragraph" w:styleId="ListNumber">
    <w:name w:val="List Number"/>
    <w:basedOn w:val="Normal"/>
    <w:uiPriority w:val="99"/>
    <w:semiHidden/>
    <w:unhideWhenUsed/>
    <w:rsid w:val="008A1A24"/>
    <w:pPr>
      <w:numPr>
        <w:numId w:val="8"/>
      </w:numPr>
      <w:contextualSpacing/>
    </w:pPr>
  </w:style>
  <w:style w:type="paragraph" w:styleId="ListNumber2">
    <w:name w:val="List Number 2"/>
    <w:basedOn w:val="Normal"/>
    <w:uiPriority w:val="99"/>
    <w:semiHidden/>
    <w:unhideWhenUsed/>
    <w:rsid w:val="008A1A24"/>
    <w:pPr>
      <w:numPr>
        <w:numId w:val="9"/>
      </w:numPr>
      <w:contextualSpacing/>
    </w:pPr>
  </w:style>
  <w:style w:type="paragraph" w:styleId="ListNumber3">
    <w:name w:val="List Number 3"/>
    <w:basedOn w:val="Normal"/>
    <w:uiPriority w:val="99"/>
    <w:semiHidden/>
    <w:unhideWhenUsed/>
    <w:rsid w:val="008A1A24"/>
    <w:pPr>
      <w:numPr>
        <w:numId w:val="10"/>
      </w:numPr>
      <w:contextualSpacing/>
    </w:pPr>
  </w:style>
  <w:style w:type="paragraph" w:styleId="ListNumber4">
    <w:name w:val="List Number 4"/>
    <w:basedOn w:val="Normal"/>
    <w:uiPriority w:val="99"/>
    <w:semiHidden/>
    <w:unhideWhenUsed/>
    <w:rsid w:val="008A1A24"/>
    <w:pPr>
      <w:numPr>
        <w:numId w:val="11"/>
      </w:numPr>
      <w:contextualSpacing/>
    </w:pPr>
  </w:style>
  <w:style w:type="paragraph" w:styleId="ListNumber5">
    <w:name w:val="List Number 5"/>
    <w:basedOn w:val="Normal"/>
    <w:uiPriority w:val="99"/>
    <w:semiHidden/>
    <w:unhideWhenUsed/>
    <w:rsid w:val="008A1A24"/>
    <w:pPr>
      <w:numPr>
        <w:numId w:val="12"/>
      </w:numPr>
      <w:contextualSpacing/>
    </w:pPr>
  </w:style>
  <w:style w:type="paragraph" w:styleId="MacroText">
    <w:name w:val="macro"/>
    <w:link w:val="MacroTextChar"/>
    <w:uiPriority w:val="99"/>
    <w:semiHidden/>
    <w:unhideWhenUsed/>
    <w:rsid w:val="008A1A24"/>
    <w:pPr>
      <w:tabs>
        <w:tab w:val="left" w:pos="480"/>
        <w:tab w:val="left" w:pos="960"/>
        <w:tab w:val="left" w:pos="1440"/>
        <w:tab w:val="left" w:pos="1920"/>
        <w:tab w:val="left" w:pos="2400"/>
        <w:tab w:val="left" w:pos="2880"/>
        <w:tab w:val="left" w:pos="3360"/>
        <w:tab w:val="left" w:pos="3840"/>
        <w:tab w:val="left" w:pos="4320"/>
      </w:tabs>
      <w:spacing w:after="0"/>
    </w:pPr>
    <w:rPr>
      <w:rFonts w:ascii="Consolas" w:eastAsia="Times New Roman" w:hAnsi="Consolas" w:cs="Consolas"/>
      <w:sz w:val="20"/>
      <w:szCs w:val="20"/>
      <w:lang w:val="en-GB"/>
    </w:rPr>
  </w:style>
  <w:style w:type="character" w:customStyle="1" w:styleId="MacroTextChar">
    <w:name w:val="Macro Text Char"/>
    <w:basedOn w:val="DefaultParagraphFont"/>
    <w:link w:val="MacroText"/>
    <w:uiPriority w:val="99"/>
    <w:semiHidden/>
    <w:rsid w:val="008A1A24"/>
    <w:rPr>
      <w:rFonts w:ascii="Consolas" w:eastAsia="Times New Roman" w:hAnsi="Consolas" w:cs="Consolas"/>
      <w:sz w:val="20"/>
      <w:szCs w:val="20"/>
      <w:lang w:val="en-GB"/>
    </w:rPr>
  </w:style>
  <w:style w:type="paragraph" w:styleId="MessageHeader">
    <w:name w:val="Message Header"/>
    <w:basedOn w:val="Normal"/>
    <w:link w:val="MessageHeaderChar"/>
    <w:uiPriority w:val="99"/>
    <w:semiHidden/>
    <w:unhideWhenUsed/>
    <w:rsid w:val="008A1A2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8A1A24"/>
    <w:rPr>
      <w:rFonts w:asciiTheme="majorHAnsi" w:eastAsiaTheme="majorEastAsia" w:hAnsiTheme="majorHAnsi" w:cstheme="majorBidi"/>
      <w:sz w:val="24"/>
      <w:szCs w:val="24"/>
      <w:shd w:val="pct20" w:color="auto" w:fill="auto"/>
      <w:lang w:val="en-GB"/>
    </w:rPr>
  </w:style>
  <w:style w:type="paragraph" w:styleId="NormalIndent">
    <w:name w:val="Normal Indent"/>
    <w:basedOn w:val="Normal"/>
    <w:uiPriority w:val="99"/>
    <w:semiHidden/>
    <w:unhideWhenUsed/>
    <w:rsid w:val="008A1A24"/>
    <w:pPr>
      <w:ind w:left="720"/>
    </w:pPr>
  </w:style>
  <w:style w:type="paragraph" w:styleId="NoteHeading">
    <w:name w:val="Note Heading"/>
    <w:basedOn w:val="Normal"/>
    <w:next w:val="Normal"/>
    <w:link w:val="NoteHeadingChar"/>
    <w:uiPriority w:val="99"/>
    <w:semiHidden/>
    <w:unhideWhenUsed/>
    <w:rsid w:val="008A1A24"/>
  </w:style>
  <w:style w:type="character" w:customStyle="1" w:styleId="NoteHeadingChar">
    <w:name w:val="Note Heading Char"/>
    <w:basedOn w:val="DefaultParagraphFont"/>
    <w:link w:val="NoteHeading"/>
    <w:uiPriority w:val="99"/>
    <w:semiHidden/>
    <w:rsid w:val="008A1A24"/>
    <w:rPr>
      <w:rFonts w:ascii="Arial" w:eastAsia="Times New Roman" w:hAnsi="Arial" w:cs="Times New Roman"/>
      <w:szCs w:val="20"/>
      <w:lang w:val="en-GB"/>
    </w:rPr>
  </w:style>
  <w:style w:type="paragraph" w:styleId="Quote">
    <w:name w:val="Quote"/>
    <w:basedOn w:val="Normal"/>
    <w:next w:val="Normal"/>
    <w:link w:val="QuoteChar"/>
    <w:uiPriority w:val="29"/>
    <w:qFormat/>
    <w:rsid w:val="008A1A24"/>
    <w:rPr>
      <w:i/>
      <w:iCs/>
      <w:color w:val="000000" w:themeColor="text1"/>
    </w:rPr>
  </w:style>
  <w:style w:type="character" w:customStyle="1" w:styleId="QuoteChar">
    <w:name w:val="Quote Char"/>
    <w:basedOn w:val="DefaultParagraphFont"/>
    <w:link w:val="Quote"/>
    <w:uiPriority w:val="29"/>
    <w:rsid w:val="008A1A24"/>
    <w:rPr>
      <w:rFonts w:ascii="Arial" w:eastAsia="Times New Roman" w:hAnsi="Arial" w:cs="Times New Roman"/>
      <w:i/>
      <w:iCs/>
      <w:color w:val="000000" w:themeColor="text1"/>
      <w:szCs w:val="20"/>
      <w:lang w:val="en-GB"/>
    </w:rPr>
  </w:style>
  <w:style w:type="paragraph" w:styleId="Salutation">
    <w:name w:val="Salutation"/>
    <w:basedOn w:val="Normal"/>
    <w:next w:val="Normal"/>
    <w:link w:val="SalutationChar"/>
    <w:uiPriority w:val="99"/>
    <w:semiHidden/>
    <w:unhideWhenUsed/>
    <w:rsid w:val="008A1A24"/>
  </w:style>
  <w:style w:type="character" w:customStyle="1" w:styleId="SalutationChar">
    <w:name w:val="Salutation Char"/>
    <w:basedOn w:val="DefaultParagraphFont"/>
    <w:link w:val="Salutation"/>
    <w:uiPriority w:val="99"/>
    <w:semiHidden/>
    <w:rsid w:val="008A1A24"/>
    <w:rPr>
      <w:rFonts w:ascii="Arial" w:eastAsia="Times New Roman" w:hAnsi="Arial" w:cs="Times New Roman"/>
      <w:szCs w:val="20"/>
      <w:lang w:val="en-GB"/>
    </w:rPr>
  </w:style>
  <w:style w:type="paragraph" w:styleId="Signature">
    <w:name w:val="Signature"/>
    <w:basedOn w:val="Normal"/>
    <w:link w:val="SignatureChar"/>
    <w:uiPriority w:val="99"/>
    <w:semiHidden/>
    <w:unhideWhenUsed/>
    <w:rsid w:val="008A1A24"/>
    <w:pPr>
      <w:ind w:left="4252"/>
    </w:pPr>
  </w:style>
  <w:style w:type="character" w:customStyle="1" w:styleId="SignatureChar">
    <w:name w:val="Signature Char"/>
    <w:basedOn w:val="DefaultParagraphFont"/>
    <w:link w:val="Signature"/>
    <w:uiPriority w:val="99"/>
    <w:semiHidden/>
    <w:rsid w:val="008A1A24"/>
    <w:rPr>
      <w:rFonts w:ascii="Arial" w:eastAsia="Times New Roman" w:hAnsi="Arial" w:cs="Times New Roman"/>
      <w:szCs w:val="20"/>
      <w:lang w:val="en-GB"/>
    </w:rPr>
  </w:style>
  <w:style w:type="paragraph" w:styleId="Subtitle">
    <w:name w:val="Subtitle"/>
    <w:basedOn w:val="Normal"/>
    <w:next w:val="Normal"/>
    <w:link w:val="SubtitleChar"/>
    <w:uiPriority w:val="99"/>
    <w:qFormat/>
    <w:rsid w:val="008A1A2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99"/>
    <w:rsid w:val="008A1A24"/>
    <w:rPr>
      <w:rFonts w:asciiTheme="majorHAnsi" w:eastAsiaTheme="majorEastAsia" w:hAnsiTheme="majorHAnsi" w:cstheme="majorBidi"/>
      <w:i/>
      <w:iCs/>
      <w:color w:val="4F81BD" w:themeColor="accent1"/>
      <w:spacing w:val="15"/>
      <w:sz w:val="24"/>
      <w:szCs w:val="24"/>
      <w:lang w:val="en-GB"/>
    </w:rPr>
  </w:style>
  <w:style w:type="paragraph" w:styleId="TableofAuthorities">
    <w:name w:val="table of authorities"/>
    <w:basedOn w:val="Normal"/>
    <w:next w:val="Normal"/>
    <w:uiPriority w:val="99"/>
    <w:semiHidden/>
    <w:unhideWhenUsed/>
    <w:rsid w:val="008A1A24"/>
    <w:pPr>
      <w:ind w:left="220" w:hanging="220"/>
    </w:pPr>
  </w:style>
  <w:style w:type="paragraph" w:styleId="TOAHeading">
    <w:name w:val="toa heading"/>
    <w:basedOn w:val="Normal"/>
    <w:next w:val="Normal"/>
    <w:uiPriority w:val="99"/>
    <w:semiHidden/>
    <w:unhideWhenUsed/>
    <w:rsid w:val="008A1A24"/>
    <w:pPr>
      <w:spacing w:before="120"/>
    </w:pPr>
    <w:rPr>
      <w:rFonts w:asciiTheme="majorHAnsi" w:eastAsiaTheme="majorEastAsia" w:hAnsiTheme="majorHAnsi" w:cstheme="majorBidi"/>
      <w:b/>
      <w:bCs/>
      <w:sz w:val="24"/>
      <w:szCs w:val="24"/>
    </w:rPr>
  </w:style>
  <w:style w:type="paragraph" w:styleId="TOC6">
    <w:name w:val="toc 6"/>
    <w:basedOn w:val="Normal"/>
    <w:next w:val="Normal"/>
    <w:autoRedefine/>
    <w:uiPriority w:val="39"/>
    <w:rsid w:val="008A1A24"/>
    <w:pPr>
      <w:spacing w:after="100"/>
      <w:ind w:left="1100"/>
    </w:pPr>
  </w:style>
  <w:style w:type="paragraph" w:styleId="TOC7">
    <w:name w:val="toc 7"/>
    <w:basedOn w:val="Normal"/>
    <w:next w:val="Normal"/>
    <w:link w:val="TOC7Char"/>
    <w:autoRedefine/>
    <w:uiPriority w:val="39"/>
    <w:rsid w:val="0038659A"/>
    <w:pPr>
      <w:tabs>
        <w:tab w:val="left" w:pos="709"/>
      </w:tabs>
    </w:pPr>
    <w:rPr>
      <w:sz w:val="20"/>
    </w:rPr>
  </w:style>
  <w:style w:type="paragraph" w:styleId="TOC8">
    <w:name w:val="toc 8"/>
    <w:basedOn w:val="Normal"/>
    <w:next w:val="Normal"/>
    <w:autoRedefine/>
    <w:uiPriority w:val="99"/>
    <w:rsid w:val="008A1A24"/>
    <w:pPr>
      <w:spacing w:after="100"/>
      <w:ind w:left="1540"/>
    </w:pPr>
  </w:style>
  <w:style w:type="paragraph" w:styleId="TOC9">
    <w:name w:val="toc 9"/>
    <w:basedOn w:val="Normal"/>
    <w:next w:val="Normal"/>
    <w:autoRedefine/>
    <w:uiPriority w:val="99"/>
    <w:rsid w:val="008A1A24"/>
    <w:pPr>
      <w:spacing w:after="100"/>
      <w:ind w:left="1760"/>
    </w:pPr>
  </w:style>
  <w:style w:type="paragraph" w:styleId="TOCHeading">
    <w:name w:val="TOC Heading"/>
    <w:basedOn w:val="Heading1"/>
    <w:next w:val="Normal"/>
    <w:uiPriority w:val="39"/>
    <w:unhideWhenUsed/>
    <w:qFormat/>
    <w:rsid w:val="008A1A24"/>
    <w:pPr>
      <w:keepLines/>
      <w:spacing w:before="480"/>
      <w:outlineLvl w:val="9"/>
    </w:pPr>
    <w:rPr>
      <w:rFonts w:asciiTheme="majorHAnsi" w:eastAsiaTheme="majorEastAsia" w:hAnsiTheme="majorHAnsi" w:cstheme="majorBidi"/>
      <w:bCs/>
      <w:color w:val="365F91" w:themeColor="accent1" w:themeShade="BF"/>
      <w:kern w:val="0"/>
      <w:sz w:val="28"/>
    </w:rPr>
  </w:style>
  <w:style w:type="paragraph" w:customStyle="1" w:styleId="List-bullet-Council">
    <w:name w:val="List-bullet-Council"/>
    <w:basedOn w:val="Normal"/>
    <w:uiPriority w:val="99"/>
    <w:qFormat/>
    <w:rsid w:val="008A1A24"/>
    <w:pPr>
      <w:spacing w:after="40"/>
      <w:ind w:left="360" w:hanging="360"/>
    </w:pPr>
    <w:rPr>
      <w:rFonts w:ascii="Gill Sans MT" w:hAnsi="Gill Sans MT"/>
      <w:sz w:val="20"/>
      <w:lang w:val="en-AU"/>
    </w:rPr>
  </w:style>
  <w:style w:type="character" w:customStyle="1" w:styleId="math">
    <w:name w:val="math"/>
    <w:basedOn w:val="DefaultParagraphFont"/>
    <w:rsid w:val="008A1A24"/>
  </w:style>
  <w:style w:type="character" w:customStyle="1" w:styleId="st">
    <w:name w:val="st"/>
    <w:basedOn w:val="DefaultParagraphFont"/>
    <w:rsid w:val="008A1A24"/>
  </w:style>
  <w:style w:type="paragraph" w:customStyle="1" w:styleId="Imprint">
    <w:name w:val="Imprint"/>
    <w:basedOn w:val="Normal"/>
    <w:uiPriority w:val="99"/>
    <w:rsid w:val="008A1A24"/>
    <w:rPr>
      <w:rFonts w:cs="Arial"/>
      <w:sz w:val="18"/>
      <w:szCs w:val="18"/>
      <w:lang w:val="en-US"/>
    </w:rPr>
  </w:style>
  <w:style w:type="numbering" w:customStyle="1" w:styleId="NoList1">
    <w:name w:val="No List1"/>
    <w:next w:val="NoList"/>
    <w:uiPriority w:val="99"/>
    <w:semiHidden/>
    <w:unhideWhenUsed/>
    <w:rsid w:val="008A1A24"/>
  </w:style>
  <w:style w:type="table" w:customStyle="1" w:styleId="TableGrid1">
    <w:name w:val="Table Grid1"/>
    <w:basedOn w:val="TableNormal"/>
    <w:next w:val="TableGrid"/>
    <w:uiPriority w:val="59"/>
    <w:rsid w:val="008A1A2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rsid w:val="008A1A24"/>
    <w:pPr>
      <w:spacing w:before="100" w:beforeAutospacing="1" w:after="100" w:afterAutospacing="1"/>
    </w:pPr>
    <w:rPr>
      <w:rFonts w:ascii="Times New Roman" w:hAnsi="Times New Roman"/>
      <w:sz w:val="20"/>
      <w:lang w:val="en-AU" w:eastAsia="en-AU"/>
    </w:rPr>
  </w:style>
  <w:style w:type="paragraph" w:customStyle="1" w:styleId="xl66">
    <w:name w:val="xl66"/>
    <w:basedOn w:val="Normal"/>
    <w:rsid w:val="008A1A24"/>
    <w:pPr>
      <w:shd w:val="clear" w:color="000000" w:fill="A6A6A6"/>
      <w:spacing w:before="100" w:beforeAutospacing="1" w:after="100" w:afterAutospacing="1"/>
    </w:pPr>
    <w:rPr>
      <w:rFonts w:ascii="Times New Roman" w:hAnsi="Times New Roman"/>
      <w:b/>
      <w:bCs/>
      <w:sz w:val="20"/>
      <w:lang w:val="en-AU" w:eastAsia="en-AU"/>
    </w:rPr>
  </w:style>
  <w:style w:type="table" w:styleId="LightGrid">
    <w:name w:val="Light Grid"/>
    <w:basedOn w:val="TableNormal"/>
    <w:uiPriority w:val="62"/>
    <w:rsid w:val="008A1A24"/>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A1A24"/>
    <w:pPr>
      <w:spacing w:after="0"/>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NoList2">
    <w:name w:val="No List2"/>
    <w:next w:val="NoList"/>
    <w:uiPriority w:val="99"/>
    <w:semiHidden/>
    <w:unhideWhenUsed/>
    <w:rsid w:val="008A1A24"/>
  </w:style>
  <w:style w:type="paragraph" w:customStyle="1" w:styleId="DocDefaults">
    <w:name w:val="DocDefaults"/>
    <w:uiPriority w:val="99"/>
    <w:rsid w:val="008A1A24"/>
    <w:pPr>
      <w:spacing w:after="0"/>
    </w:pPr>
    <w:rPr>
      <w:rFonts w:ascii="Times New Roman" w:eastAsia="Times New Roman" w:hAnsi="Times New Roman" w:cs="Times New Roman"/>
      <w:sz w:val="20"/>
      <w:szCs w:val="20"/>
      <w:lang w:val="en-US"/>
    </w:rPr>
  </w:style>
  <w:style w:type="character" w:customStyle="1" w:styleId="apple-style-span">
    <w:name w:val="apple-style-span"/>
    <w:basedOn w:val="DefaultParagraphFont"/>
    <w:rsid w:val="008A1A24"/>
  </w:style>
  <w:style w:type="character" w:customStyle="1" w:styleId="apple-converted-space">
    <w:name w:val="apple-converted-space"/>
    <w:basedOn w:val="DefaultParagraphFont"/>
    <w:rsid w:val="008A1A24"/>
  </w:style>
  <w:style w:type="paragraph" w:customStyle="1" w:styleId="CM51">
    <w:name w:val="CM51"/>
    <w:basedOn w:val="Default0"/>
    <w:next w:val="Default0"/>
    <w:uiPriority w:val="99"/>
    <w:rsid w:val="008A1A24"/>
    <w:rPr>
      <w:rFonts w:ascii="Times New Roman" w:eastAsiaTheme="minorHAnsi" w:hAnsi="Times New Roman" w:cs="Times New Roman"/>
      <w:color w:val="auto"/>
      <w:lang w:val="en-AU" w:eastAsia="en-US"/>
    </w:rPr>
  </w:style>
  <w:style w:type="paragraph" w:customStyle="1" w:styleId="CM6">
    <w:name w:val="CM6"/>
    <w:basedOn w:val="Default0"/>
    <w:next w:val="Default0"/>
    <w:uiPriority w:val="99"/>
    <w:rsid w:val="008A1A24"/>
    <w:pPr>
      <w:spacing w:line="288" w:lineRule="atLeast"/>
    </w:pPr>
    <w:rPr>
      <w:rFonts w:ascii="Arial" w:eastAsiaTheme="minorHAnsi" w:hAnsi="Arial" w:cs="Arial"/>
      <w:color w:val="auto"/>
      <w:lang w:val="en-AU" w:eastAsia="en-US"/>
    </w:rPr>
  </w:style>
  <w:style w:type="paragraph" w:customStyle="1" w:styleId="CM114">
    <w:name w:val="CM114"/>
    <w:basedOn w:val="Default0"/>
    <w:next w:val="Default0"/>
    <w:uiPriority w:val="99"/>
    <w:rsid w:val="008A1A24"/>
    <w:rPr>
      <w:rFonts w:ascii="Arial" w:eastAsiaTheme="minorHAnsi" w:hAnsi="Arial" w:cs="Arial"/>
      <w:color w:val="auto"/>
      <w:lang w:val="en-AU" w:eastAsia="en-US"/>
    </w:rPr>
  </w:style>
  <w:style w:type="paragraph" w:customStyle="1" w:styleId="CM4">
    <w:name w:val="CM4"/>
    <w:basedOn w:val="Default0"/>
    <w:next w:val="Default0"/>
    <w:uiPriority w:val="99"/>
    <w:rsid w:val="008A1A24"/>
    <w:pPr>
      <w:spacing w:line="288" w:lineRule="atLeast"/>
    </w:pPr>
    <w:rPr>
      <w:rFonts w:ascii="Arial" w:eastAsiaTheme="minorHAnsi" w:hAnsi="Arial" w:cs="Arial"/>
      <w:color w:val="auto"/>
      <w:lang w:val="en-AU" w:eastAsia="en-US"/>
    </w:rPr>
  </w:style>
  <w:style w:type="paragraph" w:customStyle="1" w:styleId="CM34">
    <w:name w:val="CM34"/>
    <w:basedOn w:val="Default0"/>
    <w:next w:val="Default0"/>
    <w:uiPriority w:val="99"/>
    <w:rsid w:val="008A1A24"/>
    <w:pPr>
      <w:spacing w:line="283" w:lineRule="atLeast"/>
    </w:pPr>
    <w:rPr>
      <w:rFonts w:ascii="Times New Roman" w:eastAsiaTheme="minorHAnsi" w:hAnsi="Times New Roman" w:cs="Times New Roman"/>
      <w:color w:val="auto"/>
      <w:lang w:val="en-AU" w:eastAsia="en-US"/>
    </w:rPr>
  </w:style>
  <w:style w:type="character" w:styleId="EndnoteReference">
    <w:name w:val="endnote reference"/>
    <w:basedOn w:val="DefaultParagraphFont"/>
    <w:uiPriority w:val="99"/>
    <w:semiHidden/>
    <w:unhideWhenUsed/>
    <w:rsid w:val="008A1A24"/>
    <w:rPr>
      <w:vertAlign w:val="superscript"/>
    </w:rPr>
  </w:style>
  <w:style w:type="character" w:customStyle="1" w:styleId="pbtocarticletitle1">
    <w:name w:val="pb_toc_article_title1"/>
    <w:basedOn w:val="DefaultParagraphFont"/>
    <w:rsid w:val="008A1A24"/>
    <w:rPr>
      <w:rFonts w:ascii="Verdana" w:hAnsi="Verdana" w:hint="default"/>
      <w:b/>
      <w:bCs/>
      <w:color w:val="000000"/>
    </w:rPr>
  </w:style>
  <w:style w:type="character" w:customStyle="1" w:styleId="pbtocauthors1">
    <w:name w:val="pb_toc_authors1"/>
    <w:basedOn w:val="DefaultParagraphFont"/>
    <w:rsid w:val="008A1A24"/>
    <w:rPr>
      <w:rFonts w:ascii="Verdana" w:hAnsi="Verdana" w:hint="default"/>
      <w:b w:val="0"/>
      <w:bCs w:val="0"/>
      <w:color w:val="000000"/>
    </w:rPr>
  </w:style>
  <w:style w:type="character" w:customStyle="1" w:styleId="pbtocpages1">
    <w:name w:val="pb_toc_pages1"/>
    <w:basedOn w:val="DefaultParagraphFont"/>
    <w:rsid w:val="008A1A24"/>
    <w:rPr>
      <w:rFonts w:ascii="Verdana" w:hAnsi="Verdana" w:hint="default"/>
      <w:b w:val="0"/>
      <w:bCs w:val="0"/>
      <w:color w:val="000000"/>
    </w:rPr>
  </w:style>
  <w:style w:type="character" w:customStyle="1" w:styleId="style1">
    <w:name w:val="style1"/>
    <w:basedOn w:val="DefaultParagraphFont"/>
    <w:rsid w:val="008A1A24"/>
    <w:rPr>
      <w:rFonts w:ascii="Arial" w:hAnsi="Arial" w:cs="Arial" w:hint="default"/>
      <w:b/>
      <w:bCs/>
      <w:i w:val="0"/>
      <w:iCs w:val="0"/>
    </w:rPr>
  </w:style>
  <w:style w:type="paragraph" w:customStyle="1" w:styleId="mainTOC">
    <w:name w:val="main TOC"/>
    <w:basedOn w:val="TOC3"/>
    <w:uiPriority w:val="99"/>
    <w:qFormat/>
    <w:rsid w:val="007A3D01"/>
    <w:pPr>
      <w:tabs>
        <w:tab w:val="left" w:pos="1320"/>
      </w:tabs>
    </w:pPr>
  </w:style>
  <w:style w:type="character" w:customStyle="1" w:styleId="TOC7Char">
    <w:name w:val="TOC 7 Char"/>
    <w:basedOn w:val="DefaultParagraphFont"/>
    <w:link w:val="TOC7"/>
    <w:uiPriority w:val="39"/>
    <w:rsid w:val="0038659A"/>
    <w:rPr>
      <w:rFonts w:ascii="Arial" w:eastAsia="Times New Roman" w:hAnsi="Arial" w:cs="Times New Roman"/>
      <w:sz w:val="20"/>
      <w:szCs w:val="20"/>
      <w:lang w:val="en-GB"/>
    </w:rPr>
  </w:style>
  <w:style w:type="character" w:customStyle="1" w:styleId="TableofFiguresChar">
    <w:name w:val="Table of Figures Char"/>
    <w:basedOn w:val="TOC7Char"/>
    <w:link w:val="TableofFigures"/>
    <w:uiPriority w:val="99"/>
    <w:rsid w:val="00E4136F"/>
    <w:rPr>
      <w:rFonts w:ascii="Arial" w:eastAsiaTheme="majorEastAsia" w:hAnsi="Arial" w:cs="Arial"/>
      <w:bCs/>
      <w:noProof/>
      <w:sz w:val="20"/>
      <w:szCs w:val="20"/>
      <w:lang w:val="en-GB"/>
    </w:rPr>
  </w:style>
  <w:style w:type="paragraph" w:customStyle="1" w:styleId="TOC-figs-tables">
    <w:name w:val="TOC-figs-tables"/>
    <w:basedOn w:val="Figure"/>
    <w:next w:val="TableofFigures"/>
    <w:uiPriority w:val="99"/>
    <w:qFormat/>
    <w:rsid w:val="00CF402D"/>
    <w:pPr>
      <w:tabs>
        <w:tab w:val="left" w:pos="1296"/>
      </w:tabs>
      <w:ind w:left="1296"/>
    </w:pPr>
  </w:style>
  <w:style w:type="paragraph" w:customStyle="1" w:styleId="font5">
    <w:name w:val="font5"/>
    <w:basedOn w:val="Normal"/>
    <w:uiPriority w:val="99"/>
    <w:rsid w:val="00AB651D"/>
    <w:pPr>
      <w:spacing w:before="100" w:beforeAutospacing="1" w:after="100" w:afterAutospacing="1"/>
    </w:pPr>
    <w:rPr>
      <w:rFonts w:ascii="Arial Narrow" w:hAnsi="Arial Narrow"/>
      <w:b/>
      <w:bCs/>
      <w:color w:val="000000"/>
      <w:sz w:val="18"/>
      <w:szCs w:val="18"/>
      <w:lang w:val="en-AU" w:eastAsia="en-AU"/>
    </w:rPr>
  </w:style>
  <w:style w:type="paragraph" w:customStyle="1" w:styleId="font6">
    <w:name w:val="font6"/>
    <w:basedOn w:val="Normal"/>
    <w:uiPriority w:val="99"/>
    <w:rsid w:val="00AB651D"/>
    <w:pPr>
      <w:spacing w:before="100" w:beforeAutospacing="1" w:after="100" w:afterAutospacing="1"/>
    </w:pPr>
    <w:rPr>
      <w:rFonts w:ascii="Cambria Math" w:hAnsi="Cambria Math"/>
      <w:b/>
      <w:bCs/>
      <w:color w:val="000000"/>
      <w:sz w:val="18"/>
      <w:szCs w:val="18"/>
      <w:lang w:val="en-AU" w:eastAsia="en-AU"/>
    </w:rPr>
  </w:style>
  <w:style w:type="paragraph" w:customStyle="1" w:styleId="xl67">
    <w:name w:val="xl67"/>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18"/>
      <w:szCs w:val="18"/>
      <w:lang w:val="en-AU" w:eastAsia="en-AU"/>
    </w:rPr>
  </w:style>
  <w:style w:type="paragraph" w:customStyle="1" w:styleId="xl68">
    <w:name w:val="xl68"/>
    <w:basedOn w:val="Normal"/>
    <w:rsid w:val="00AB651D"/>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pPr>
    <w:rPr>
      <w:rFonts w:ascii="Times New Roman" w:hAnsi="Times New Roman"/>
      <w:sz w:val="18"/>
      <w:szCs w:val="18"/>
      <w:lang w:val="en-AU" w:eastAsia="en-AU"/>
    </w:rPr>
  </w:style>
  <w:style w:type="paragraph" w:customStyle="1" w:styleId="xl69">
    <w:name w:val="xl69"/>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18"/>
      <w:szCs w:val="18"/>
      <w:lang w:val="en-AU" w:eastAsia="en-AU"/>
    </w:rPr>
  </w:style>
  <w:style w:type="paragraph" w:customStyle="1" w:styleId="xl70">
    <w:name w:val="xl70"/>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18"/>
      <w:szCs w:val="18"/>
      <w:lang w:val="en-AU" w:eastAsia="en-AU"/>
    </w:rPr>
  </w:style>
  <w:style w:type="numbering" w:customStyle="1" w:styleId="NoList3">
    <w:name w:val="No List3"/>
    <w:next w:val="NoList"/>
    <w:uiPriority w:val="99"/>
    <w:semiHidden/>
    <w:unhideWhenUsed/>
    <w:rsid w:val="00737850"/>
  </w:style>
  <w:style w:type="numbering" w:customStyle="1" w:styleId="NoList4">
    <w:name w:val="No List4"/>
    <w:next w:val="NoList"/>
    <w:uiPriority w:val="99"/>
    <w:semiHidden/>
    <w:unhideWhenUsed/>
    <w:rsid w:val="00737850"/>
  </w:style>
  <w:style w:type="numbering" w:customStyle="1" w:styleId="NoList5">
    <w:name w:val="No List5"/>
    <w:next w:val="NoList"/>
    <w:uiPriority w:val="99"/>
    <w:semiHidden/>
    <w:unhideWhenUsed/>
    <w:rsid w:val="00737850"/>
  </w:style>
  <w:style w:type="character" w:styleId="PlaceholderText">
    <w:name w:val="Placeholder Text"/>
    <w:basedOn w:val="DefaultParagraphFont"/>
    <w:uiPriority w:val="99"/>
    <w:semiHidden/>
    <w:rsid w:val="002B057C"/>
    <w:rPr>
      <w:color w:val="808080"/>
    </w:rPr>
  </w:style>
  <w:style w:type="paragraph" w:customStyle="1" w:styleId="AppendixFigures">
    <w:name w:val="Appendix Figures"/>
    <w:next w:val="Normal"/>
    <w:autoRedefine/>
    <w:qFormat/>
    <w:rsid w:val="001C36F4"/>
    <w:pPr>
      <w:spacing w:after="0"/>
      <w:ind w:left="426"/>
    </w:pPr>
    <w:rPr>
      <w:rFonts w:ascii="Arial Narrow" w:eastAsia="SimSun" w:hAnsi="Arial Narrow" w:cs="Times New Roman"/>
      <w:sz w:val="20"/>
      <w:szCs w:val="24"/>
      <w:lang w:val="en-GB"/>
    </w:rPr>
  </w:style>
  <w:style w:type="character" w:customStyle="1" w:styleId="Heading7Char1">
    <w:name w:val="Heading 7 Char1"/>
    <w:aliases w:val="Tables Char1"/>
    <w:basedOn w:val="DefaultParagraphFont"/>
    <w:uiPriority w:val="99"/>
    <w:semiHidden/>
    <w:rsid w:val="007372D2"/>
    <w:rPr>
      <w:rFonts w:asciiTheme="majorHAnsi" w:eastAsiaTheme="majorEastAsia" w:hAnsiTheme="majorHAnsi" w:cstheme="majorBidi"/>
      <w:i/>
      <w:iCs/>
      <w:color w:val="404040" w:themeColor="text1" w:themeTint="BF"/>
      <w:sz w:val="22"/>
      <w:szCs w:val="22"/>
    </w:rPr>
  </w:style>
  <w:style w:type="paragraph" w:customStyle="1" w:styleId="xl63">
    <w:name w:val="xl63"/>
    <w:basedOn w:val="Normal"/>
    <w:rsid w:val="00C63155"/>
    <w:pPr>
      <w:spacing w:before="100" w:beforeAutospacing="1" w:after="100" w:afterAutospacing="1"/>
    </w:pPr>
    <w:rPr>
      <w:rFonts w:ascii="Arial Narrow" w:hAnsi="Arial Narrow"/>
      <w:sz w:val="20"/>
      <w:lang w:val="en-AU" w:eastAsia="en-AU"/>
    </w:rPr>
  </w:style>
  <w:style w:type="paragraph" w:customStyle="1" w:styleId="xl64">
    <w:name w:val="xl64"/>
    <w:basedOn w:val="Normal"/>
    <w:rsid w:val="00C63155"/>
    <w:pPr>
      <w:spacing w:before="100" w:beforeAutospacing="1" w:after="100" w:afterAutospacing="1"/>
      <w:jc w:val="center"/>
      <w:textAlignment w:val="center"/>
    </w:pPr>
    <w:rPr>
      <w:rFonts w:ascii="Times New Roman" w:hAnsi="Times New Roman"/>
      <w:sz w:val="24"/>
      <w:szCs w:val="24"/>
      <w:lang w:val="en-AU" w:eastAsia="en-AU"/>
    </w:rPr>
  </w:style>
  <w:style w:type="paragraph" w:customStyle="1" w:styleId="xl71">
    <w:name w:val="xl71"/>
    <w:basedOn w:val="Normal"/>
    <w:rsid w:val="00C63155"/>
    <w:pPr>
      <w:spacing w:before="100" w:beforeAutospacing="1" w:after="100" w:afterAutospacing="1"/>
      <w:jc w:val="center"/>
      <w:textAlignment w:val="center"/>
    </w:pPr>
    <w:rPr>
      <w:rFonts w:ascii="Arial Narrow" w:hAnsi="Arial Narrow"/>
      <w:sz w:val="20"/>
      <w:lang w:val="en-AU" w:eastAsia="en-AU"/>
    </w:rPr>
  </w:style>
  <w:style w:type="paragraph" w:customStyle="1" w:styleId="xl72">
    <w:name w:val="xl72"/>
    <w:basedOn w:val="Normal"/>
    <w:rsid w:val="00C63155"/>
    <w:pPr>
      <w:spacing w:before="100" w:beforeAutospacing="1" w:after="100" w:afterAutospacing="1"/>
      <w:jc w:val="center"/>
      <w:textAlignment w:val="center"/>
    </w:pPr>
    <w:rPr>
      <w:rFonts w:ascii="Arial Narrow" w:hAnsi="Arial Narrow"/>
      <w:sz w:val="20"/>
      <w:lang w:val="en-AU" w:eastAsia="en-AU"/>
    </w:rPr>
  </w:style>
  <w:style w:type="paragraph" w:customStyle="1" w:styleId="xl73">
    <w:name w:val="xl73"/>
    <w:basedOn w:val="Normal"/>
    <w:rsid w:val="00A073D4"/>
    <w:pPr>
      <w:spacing w:before="100" w:beforeAutospacing="1" w:after="100" w:afterAutospacing="1"/>
      <w:jc w:val="center"/>
      <w:textAlignment w:val="center"/>
    </w:pPr>
    <w:rPr>
      <w:rFonts w:ascii="Arial Narrow" w:hAnsi="Arial Narrow"/>
      <w:sz w:val="20"/>
      <w:lang w:val="en-AU" w:eastAsia="en-AU"/>
    </w:rPr>
  </w:style>
  <w:style w:type="paragraph" w:customStyle="1" w:styleId="xl74">
    <w:name w:val="xl74"/>
    <w:basedOn w:val="Normal"/>
    <w:rsid w:val="00A073D4"/>
    <w:pPr>
      <w:spacing w:before="100" w:beforeAutospacing="1" w:after="100" w:afterAutospacing="1"/>
      <w:jc w:val="center"/>
      <w:textAlignment w:val="center"/>
    </w:pPr>
    <w:rPr>
      <w:rFonts w:ascii="Arial Narrow" w:hAnsi="Arial Narrow"/>
      <w:sz w:val="20"/>
      <w:lang w:val="en-AU" w:eastAsia="en-AU"/>
    </w:rPr>
  </w:style>
  <w:style w:type="paragraph" w:customStyle="1" w:styleId="xl75">
    <w:name w:val="xl75"/>
    <w:basedOn w:val="Normal"/>
    <w:rsid w:val="00B33EEE"/>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Narrow" w:hAnsi="Arial Narrow"/>
      <w:sz w:val="16"/>
      <w:szCs w:val="16"/>
      <w:lang w:val="en-AU" w:eastAsia="en-AU"/>
    </w:rPr>
  </w:style>
  <w:style w:type="paragraph" w:customStyle="1" w:styleId="xl76">
    <w:name w:val="xl76"/>
    <w:basedOn w:val="Normal"/>
    <w:rsid w:val="00B33EEE"/>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szCs w:val="24"/>
      <w:lang w:val="en-AU" w:eastAsia="en-AU"/>
    </w:rPr>
  </w:style>
  <w:style w:type="table" w:customStyle="1" w:styleId="TableGrid2">
    <w:name w:val="Table Grid2"/>
    <w:basedOn w:val="TableNormal"/>
    <w:next w:val="TableGrid"/>
    <w:uiPriority w:val="59"/>
    <w:rsid w:val="00FB7B84"/>
    <w:pPr>
      <w:spacing w:after="0"/>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A2572F"/>
    <w:pPr>
      <w:spacing w:after="0"/>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A2572F"/>
    <w:pPr>
      <w:spacing w:after="0"/>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4425342">
      <w:bodyDiv w:val="1"/>
      <w:marLeft w:val="0"/>
      <w:marRight w:val="0"/>
      <w:marTop w:val="0"/>
      <w:marBottom w:val="0"/>
      <w:divBdr>
        <w:top w:val="none" w:sz="0" w:space="0" w:color="auto"/>
        <w:left w:val="none" w:sz="0" w:space="0" w:color="auto"/>
        <w:bottom w:val="none" w:sz="0" w:space="0" w:color="auto"/>
        <w:right w:val="none" w:sz="0" w:space="0" w:color="auto"/>
      </w:divBdr>
    </w:div>
    <w:div w:id="123432064">
      <w:bodyDiv w:val="1"/>
      <w:marLeft w:val="0"/>
      <w:marRight w:val="0"/>
      <w:marTop w:val="0"/>
      <w:marBottom w:val="0"/>
      <w:divBdr>
        <w:top w:val="none" w:sz="0" w:space="0" w:color="auto"/>
        <w:left w:val="none" w:sz="0" w:space="0" w:color="auto"/>
        <w:bottom w:val="none" w:sz="0" w:space="0" w:color="auto"/>
        <w:right w:val="none" w:sz="0" w:space="0" w:color="auto"/>
      </w:divBdr>
    </w:div>
    <w:div w:id="141773860">
      <w:bodyDiv w:val="1"/>
      <w:marLeft w:val="0"/>
      <w:marRight w:val="0"/>
      <w:marTop w:val="0"/>
      <w:marBottom w:val="0"/>
      <w:divBdr>
        <w:top w:val="none" w:sz="0" w:space="0" w:color="auto"/>
        <w:left w:val="none" w:sz="0" w:space="0" w:color="auto"/>
        <w:bottom w:val="none" w:sz="0" w:space="0" w:color="auto"/>
        <w:right w:val="none" w:sz="0" w:space="0" w:color="auto"/>
      </w:divBdr>
    </w:div>
    <w:div w:id="160586523">
      <w:bodyDiv w:val="1"/>
      <w:marLeft w:val="0"/>
      <w:marRight w:val="0"/>
      <w:marTop w:val="0"/>
      <w:marBottom w:val="0"/>
      <w:divBdr>
        <w:top w:val="none" w:sz="0" w:space="0" w:color="auto"/>
        <w:left w:val="none" w:sz="0" w:space="0" w:color="auto"/>
        <w:bottom w:val="none" w:sz="0" w:space="0" w:color="auto"/>
        <w:right w:val="none" w:sz="0" w:space="0" w:color="auto"/>
      </w:divBdr>
    </w:div>
    <w:div w:id="189732604">
      <w:bodyDiv w:val="1"/>
      <w:marLeft w:val="0"/>
      <w:marRight w:val="0"/>
      <w:marTop w:val="0"/>
      <w:marBottom w:val="0"/>
      <w:divBdr>
        <w:top w:val="none" w:sz="0" w:space="0" w:color="auto"/>
        <w:left w:val="none" w:sz="0" w:space="0" w:color="auto"/>
        <w:bottom w:val="none" w:sz="0" w:space="0" w:color="auto"/>
        <w:right w:val="none" w:sz="0" w:space="0" w:color="auto"/>
      </w:divBdr>
    </w:div>
    <w:div w:id="249244811">
      <w:bodyDiv w:val="1"/>
      <w:marLeft w:val="0"/>
      <w:marRight w:val="0"/>
      <w:marTop w:val="0"/>
      <w:marBottom w:val="0"/>
      <w:divBdr>
        <w:top w:val="none" w:sz="0" w:space="0" w:color="auto"/>
        <w:left w:val="none" w:sz="0" w:space="0" w:color="auto"/>
        <w:bottom w:val="none" w:sz="0" w:space="0" w:color="auto"/>
        <w:right w:val="none" w:sz="0" w:space="0" w:color="auto"/>
      </w:divBdr>
    </w:div>
    <w:div w:id="278076579">
      <w:bodyDiv w:val="1"/>
      <w:marLeft w:val="0"/>
      <w:marRight w:val="0"/>
      <w:marTop w:val="0"/>
      <w:marBottom w:val="0"/>
      <w:divBdr>
        <w:top w:val="none" w:sz="0" w:space="0" w:color="auto"/>
        <w:left w:val="none" w:sz="0" w:space="0" w:color="auto"/>
        <w:bottom w:val="none" w:sz="0" w:space="0" w:color="auto"/>
        <w:right w:val="none" w:sz="0" w:space="0" w:color="auto"/>
      </w:divBdr>
    </w:div>
    <w:div w:id="285047667">
      <w:bodyDiv w:val="1"/>
      <w:marLeft w:val="0"/>
      <w:marRight w:val="0"/>
      <w:marTop w:val="0"/>
      <w:marBottom w:val="0"/>
      <w:divBdr>
        <w:top w:val="none" w:sz="0" w:space="0" w:color="auto"/>
        <w:left w:val="none" w:sz="0" w:space="0" w:color="auto"/>
        <w:bottom w:val="none" w:sz="0" w:space="0" w:color="auto"/>
        <w:right w:val="none" w:sz="0" w:space="0" w:color="auto"/>
      </w:divBdr>
    </w:div>
    <w:div w:id="326592767">
      <w:bodyDiv w:val="1"/>
      <w:marLeft w:val="0"/>
      <w:marRight w:val="0"/>
      <w:marTop w:val="0"/>
      <w:marBottom w:val="0"/>
      <w:divBdr>
        <w:top w:val="none" w:sz="0" w:space="0" w:color="auto"/>
        <w:left w:val="none" w:sz="0" w:space="0" w:color="auto"/>
        <w:bottom w:val="none" w:sz="0" w:space="0" w:color="auto"/>
        <w:right w:val="none" w:sz="0" w:space="0" w:color="auto"/>
      </w:divBdr>
    </w:div>
    <w:div w:id="360519417">
      <w:bodyDiv w:val="1"/>
      <w:marLeft w:val="0"/>
      <w:marRight w:val="0"/>
      <w:marTop w:val="0"/>
      <w:marBottom w:val="0"/>
      <w:divBdr>
        <w:top w:val="none" w:sz="0" w:space="0" w:color="auto"/>
        <w:left w:val="none" w:sz="0" w:space="0" w:color="auto"/>
        <w:bottom w:val="none" w:sz="0" w:space="0" w:color="auto"/>
        <w:right w:val="none" w:sz="0" w:space="0" w:color="auto"/>
      </w:divBdr>
    </w:div>
    <w:div w:id="417214704">
      <w:bodyDiv w:val="1"/>
      <w:marLeft w:val="0"/>
      <w:marRight w:val="0"/>
      <w:marTop w:val="0"/>
      <w:marBottom w:val="0"/>
      <w:divBdr>
        <w:top w:val="none" w:sz="0" w:space="0" w:color="auto"/>
        <w:left w:val="none" w:sz="0" w:space="0" w:color="auto"/>
        <w:bottom w:val="none" w:sz="0" w:space="0" w:color="auto"/>
        <w:right w:val="none" w:sz="0" w:space="0" w:color="auto"/>
      </w:divBdr>
    </w:div>
    <w:div w:id="420680508">
      <w:bodyDiv w:val="1"/>
      <w:marLeft w:val="0"/>
      <w:marRight w:val="0"/>
      <w:marTop w:val="0"/>
      <w:marBottom w:val="0"/>
      <w:divBdr>
        <w:top w:val="none" w:sz="0" w:space="0" w:color="auto"/>
        <w:left w:val="none" w:sz="0" w:space="0" w:color="auto"/>
        <w:bottom w:val="none" w:sz="0" w:space="0" w:color="auto"/>
        <w:right w:val="none" w:sz="0" w:space="0" w:color="auto"/>
      </w:divBdr>
    </w:div>
    <w:div w:id="424612096">
      <w:bodyDiv w:val="1"/>
      <w:marLeft w:val="0"/>
      <w:marRight w:val="0"/>
      <w:marTop w:val="0"/>
      <w:marBottom w:val="0"/>
      <w:divBdr>
        <w:top w:val="none" w:sz="0" w:space="0" w:color="auto"/>
        <w:left w:val="none" w:sz="0" w:space="0" w:color="auto"/>
        <w:bottom w:val="none" w:sz="0" w:space="0" w:color="auto"/>
        <w:right w:val="none" w:sz="0" w:space="0" w:color="auto"/>
      </w:divBdr>
    </w:div>
    <w:div w:id="431164868">
      <w:bodyDiv w:val="1"/>
      <w:marLeft w:val="0"/>
      <w:marRight w:val="0"/>
      <w:marTop w:val="0"/>
      <w:marBottom w:val="0"/>
      <w:divBdr>
        <w:top w:val="none" w:sz="0" w:space="0" w:color="auto"/>
        <w:left w:val="none" w:sz="0" w:space="0" w:color="auto"/>
        <w:bottom w:val="none" w:sz="0" w:space="0" w:color="auto"/>
        <w:right w:val="none" w:sz="0" w:space="0" w:color="auto"/>
      </w:divBdr>
    </w:div>
    <w:div w:id="541790663">
      <w:bodyDiv w:val="1"/>
      <w:marLeft w:val="0"/>
      <w:marRight w:val="0"/>
      <w:marTop w:val="0"/>
      <w:marBottom w:val="0"/>
      <w:divBdr>
        <w:top w:val="none" w:sz="0" w:space="0" w:color="auto"/>
        <w:left w:val="none" w:sz="0" w:space="0" w:color="auto"/>
        <w:bottom w:val="none" w:sz="0" w:space="0" w:color="auto"/>
        <w:right w:val="none" w:sz="0" w:space="0" w:color="auto"/>
      </w:divBdr>
    </w:div>
    <w:div w:id="589511318">
      <w:bodyDiv w:val="1"/>
      <w:marLeft w:val="0"/>
      <w:marRight w:val="0"/>
      <w:marTop w:val="0"/>
      <w:marBottom w:val="0"/>
      <w:divBdr>
        <w:top w:val="none" w:sz="0" w:space="0" w:color="auto"/>
        <w:left w:val="none" w:sz="0" w:space="0" w:color="auto"/>
        <w:bottom w:val="none" w:sz="0" w:space="0" w:color="auto"/>
        <w:right w:val="none" w:sz="0" w:space="0" w:color="auto"/>
      </w:divBdr>
    </w:div>
    <w:div w:id="676538295">
      <w:bodyDiv w:val="1"/>
      <w:marLeft w:val="0"/>
      <w:marRight w:val="0"/>
      <w:marTop w:val="0"/>
      <w:marBottom w:val="0"/>
      <w:divBdr>
        <w:top w:val="none" w:sz="0" w:space="0" w:color="auto"/>
        <w:left w:val="none" w:sz="0" w:space="0" w:color="auto"/>
        <w:bottom w:val="none" w:sz="0" w:space="0" w:color="auto"/>
        <w:right w:val="none" w:sz="0" w:space="0" w:color="auto"/>
      </w:divBdr>
    </w:div>
    <w:div w:id="687028920">
      <w:bodyDiv w:val="1"/>
      <w:marLeft w:val="0"/>
      <w:marRight w:val="0"/>
      <w:marTop w:val="0"/>
      <w:marBottom w:val="0"/>
      <w:divBdr>
        <w:top w:val="none" w:sz="0" w:space="0" w:color="auto"/>
        <w:left w:val="none" w:sz="0" w:space="0" w:color="auto"/>
        <w:bottom w:val="none" w:sz="0" w:space="0" w:color="auto"/>
        <w:right w:val="none" w:sz="0" w:space="0" w:color="auto"/>
      </w:divBdr>
    </w:div>
    <w:div w:id="718675107">
      <w:bodyDiv w:val="1"/>
      <w:marLeft w:val="0"/>
      <w:marRight w:val="0"/>
      <w:marTop w:val="0"/>
      <w:marBottom w:val="0"/>
      <w:divBdr>
        <w:top w:val="none" w:sz="0" w:space="0" w:color="auto"/>
        <w:left w:val="none" w:sz="0" w:space="0" w:color="auto"/>
        <w:bottom w:val="none" w:sz="0" w:space="0" w:color="auto"/>
        <w:right w:val="none" w:sz="0" w:space="0" w:color="auto"/>
      </w:divBdr>
    </w:div>
    <w:div w:id="738862773">
      <w:bodyDiv w:val="1"/>
      <w:marLeft w:val="0"/>
      <w:marRight w:val="0"/>
      <w:marTop w:val="0"/>
      <w:marBottom w:val="0"/>
      <w:divBdr>
        <w:top w:val="none" w:sz="0" w:space="0" w:color="auto"/>
        <w:left w:val="none" w:sz="0" w:space="0" w:color="auto"/>
        <w:bottom w:val="none" w:sz="0" w:space="0" w:color="auto"/>
        <w:right w:val="none" w:sz="0" w:space="0" w:color="auto"/>
      </w:divBdr>
    </w:div>
    <w:div w:id="804470812">
      <w:bodyDiv w:val="1"/>
      <w:marLeft w:val="0"/>
      <w:marRight w:val="0"/>
      <w:marTop w:val="0"/>
      <w:marBottom w:val="0"/>
      <w:divBdr>
        <w:top w:val="none" w:sz="0" w:space="0" w:color="auto"/>
        <w:left w:val="none" w:sz="0" w:space="0" w:color="auto"/>
        <w:bottom w:val="none" w:sz="0" w:space="0" w:color="auto"/>
        <w:right w:val="none" w:sz="0" w:space="0" w:color="auto"/>
      </w:divBdr>
    </w:div>
    <w:div w:id="824055432">
      <w:bodyDiv w:val="1"/>
      <w:marLeft w:val="0"/>
      <w:marRight w:val="0"/>
      <w:marTop w:val="0"/>
      <w:marBottom w:val="0"/>
      <w:divBdr>
        <w:top w:val="none" w:sz="0" w:space="0" w:color="auto"/>
        <w:left w:val="none" w:sz="0" w:space="0" w:color="auto"/>
        <w:bottom w:val="none" w:sz="0" w:space="0" w:color="auto"/>
        <w:right w:val="none" w:sz="0" w:space="0" w:color="auto"/>
      </w:divBdr>
    </w:div>
    <w:div w:id="837766901">
      <w:bodyDiv w:val="1"/>
      <w:marLeft w:val="0"/>
      <w:marRight w:val="0"/>
      <w:marTop w:val="0"/>
      <w:marBottom w:val="0"/>
      <w:divBdr>
        <w:top w:val="none" w:sz="0" w:space="0" w:color="auto"/>
        <w:left w:val="none" w:sz="0" w:space="0" w:color="auto"/>
        <w:bottom w:val="none" w:sz="0" w:space="0" w:color="auto"/>
        <w:right w:val="none" w:sz="0" w:space="0" w:color="auto"/>
      </w:divBdr>
    </w:div>
    <w:div w:id="978994492">
      <w:bodyDiv w:val="1"/>
      <w:marLeft w:val="0"/>
      <w:marRight w:val="0"/>
      <w:marTop w:val="0"/>
      <w:marBottom w:val="0"/>
      <w:divBdr>
        <w:top w:val="none" w:sz="0" w:space="0" w:color="auto"/>
        <w:left w:val="none" w:sz="0" w:space="0" w:color="auto"/>
        <w:bottom w:val="none" w:sz="0" w:space="0" w:color="auto"/>
        <w:right w:val="none" w:sz="0" w:space="0" w:color="auto"/>
      </w:divBdr>
    </w:div>
    <w:div w:id="1034308008">
      <w:bodyDiv w:val="1"/>
      <w:marLeft w:val="0"/>
      <w:marRight w:val="0"/>
      <w:marTop w:val="0"/>
      <w:marBottom w:val="0"/>
      <w:divBdr>
        <w:top w:val="none" w:sz="0" w:space="0" w:color="auto"/>
        <w:left w:val="none" w:sz="0" w:space="0" w:color="auto"/>
        <w:bottom w:val="none" w:sz="0" w:space="0" w:color="auto"/>
        <w:right w:val="none" w:sz="0" w:space="0" w:color="auto"/>
      </w:divBdr>
      <w:divsChild>
        <w:div w:id="552816510">
          <w:marLeft w:val="0"/>
          <w:marRight w:val="0"/>
          <w:marTop w:val="0"/>
          <w:marBottom w:val="0"/>
          <w:divBdr>
            <w:top w:val="none" w:sz="0" w:space="0" w:color="auto"/>
            <w:left w:val="none" w:sz="0" w:space="0" w:color="auto"/>
            <w:bottom w:val="none" w:sz="0" w:space="0" w:color="auto"/>
            <w:right w:val="none" w:sz="0" w:space="0" w:color="auto"/>
          </w:divBdr>
          <w:divsChild>
            <w:div w:id="1818255751">
              <w:marLeft w:val="0"/>
              <w:marRight w:val="0"/>
              <w:marTop w:val="0"/>
              <w:marBottom w:val="0"/>
              <w:divBdr>
                <w:top w:val="none" w:sz="0" w:space="0" w:color="auto"/>
                <w:left w:val="none" w:sz="0" w:space="0" w:color="auto"/>
                <w:bottom w:val="none" w:sz="0" w:space="0" w:color="auto"/>
                <w:right w:val="none" w:sz="0" w:space="0" w:color="auto"/>
              </w:divBdr>
              <w:divsChild>
                <w:div w:id="1752389878">
                  <w:marLeft w:val="0"/>
                  <w:marRight w:val="0"/>
                  <w:marTop w:val="0"/>
                  <w:marBottom w:val="0"/>
                  <w:divBdr>
                    <w:top w:val="none" w:sz="0" w:space="0" w:color="auto"/>
                    <w:left w:val="none" w:sz="0" w:space="0" w:color="auto"/>
                    <w:bottom w:val="none" w:sz="0" w:space="0" w:color="auto"/>
                    <w:right w:val="none" w:sz="0" w:space="0" w:color="auto"/>
                  </w:divBdr>
                  <w:divsChild>
                    <w:div w:id="159583105">
                      <w:marLeft w:val="0"/>
                      <w:marRight w:val="0"/>
                      <w:marTop w:val="0"/>
                      <w:marBottom w:val="0"/>
                      <w:divBdr>
                        <w:top w:val="none" w:sz="0" w:space="0" w:color="auto"/>
                        <w:left w:val="none" w:sz="0" w:space="0" w:color="auto"/>
                        <w:bottom w:val="none" w:sz="0" w:space="0" w:color="auto"/>
                        <w:right w:val="none" w:sz="0" w:space="0" w:color="auto"/>
                      </w:divBdr>
                      <w:divsChild>
                        <w:div w:id="1730222389">
                          <w:marLeft w:val="0"/>
                          <w:marRight w:val="0"/>
                          <w:marTop w:val="0"/>
                          <w:marBottom w:val="0"/>
                          <w:divBdr>
                            <w:top w:val="none" w:sz="0" w:space="0" w:color="auto"/>
                            <w:left w:val="none" w:sz="0" w:space="0" w:color="auto"/>
                            <w:bottom w:val="none" w:sz="0" w:space="0" w:color="auto"/>
                            <w:right w:val="none" w:sz="0" w:space="0" w:color="auto"/>
                          </w:divBdr>
                          <w:divsChild>
                            <w:div w:id="1156187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0035542">
      <w:bodyDiv w:val="1"/>
      <w:marLeft w:val="0"/>
      <w:marRight w:val="0"/>
      <w:marTop w:val="0"/>
      <w:marBottom w:val="0"/>
      <w:divBdr>
        <w:top w:val="none" w:sz="0" w:space="0" w:color="auto"/>
        <w:left w:val="none" w:sz="0" w:space="0" w:color="auto"/>
        <w:bottom w:val="none" w:sz="0" w:space="0" w:color="auto"/>
        <w:right w:val="none" w:sz="0" w:space="0" w:color="auto"/>
      </w:divBdr>
    </w:div>
    <w:div w:id="1063916333">
      <w:bodyDiv w:val="1"/>
      <w:marLeft w:val="0"/>
      <w:marRight w:val="0"/>
      <w:marTop w:val="0"/>
      <w:marBottom w:val="0"/>
      <w:divBdr>
        <w:top w:val="none" w:sz="0" w:space="0" w:color="auto"/>
        <w:left w:val="none" w:sz="0" w:space="0" w:color="auto"/>
        <w:bottom w:val="none" w:sz="0" w:space="0" w:color="auto"/>
        <w:right w:val="none" w:sz="0" w:space="0" w:color="auto"/>
      </w:divBdr>
    </w:div>
    <w:div w:id="1085348410">
      <w:bodyDiv w:val="1"/>
      <w:marLeft w:val="0"/>
      <w:marRight w:val="0"/>
      <w:marTop w:val="0"/>
      <w:marBottom w:val="0"/>
      <w:divBdr>
        <w:top w:val="none" w:sz="0" w:space="0" w:color="auto"/>
        <w:left w:val="none" w:sz="0" w:space="0" w:color="auto"/>
        <w:bottom w:val="none" w:sz="0" w:space="0" w:color="auto"/>
        <w:right w:val="none" w:sz="0" w:space="0" w:color="auto"/>
      </w:divBdr>
    </w:div>
    <w:div w:id="1161196298">
      <w:bodyDiv w:val="1"/>
      <w:marLeft w:val="0"/>
      <w:marRight w:val="0"/>
      <w:marTop w:val="0"/>
      <w:marBottom w:val="0"/>
      <w:divBdr>
        <w:top w:val="none" w:sz="0" w:space="0" w:color="auto"/>
        <w:left w:val="none" w:sz="0" w:space="0" w:color="auto"/>
        <w:bottom w:val="none" w:sz="0" w:space="0" w:color="auto"/>
        <w:right w:val="none" w:sz="0" w:space="0" w:color="auto"/>
      </w:divBdr>
    </w:div>
    <w:div w:id="1174146576">
      <w:bodyDiv w:val="1"/>
      <w:marLeft w:val="0"/>
      <w:marRight w:val="0"/>
      <w:marTop w:val="0"/>
      <w:marBottom w:val="0"/>
      <w:divBdr>
        <w:top w:val="none" w:sz="0" w:space="0" w:color="auto"/>
        <w:left w:val="none" w:sz="0" w:space="0" w:color="auto"/>
        <w:bottom w:val="none" w:sz="0" w:space="0" w:color="auto"/>
        <w:right w:val="none" w:sz="0" w:space="0" w:color="auto"/>
      </w:divBdr>
      <w:divsChild>
        <w:div w:id="717625941">
          <w:marLeft w:val="0"/>
          <w:marRight w:val="0"/>
          <w:marTop w:val="0"/>
          <w:marBottom w:val="0"/>
          <w:divBdr>
            <w:top w:val="none" w:sz="0" w:space="0" w:color="auto"/>
            <w:left w:val="none" w:sz="0" w:space="0" w:color="auto"/>
            <w:bottom w:val="none" w:sz="0" w:space="0" w:color="auto"/>
            <w:right w:val="none" w:sz="0" w:space="0" w:color="auto"/>
          </w:divBdr>
          <w:divsChild>
            <w:div w:id="445079760">
              <w:marLeft w:val="0"/>
              <w:marRight w:val="0"/>
              <w:marTop w:val="0"/>
              <w:marBottom w:val="0"/>
              <w:divBdr>
                <w:top w:val="none" w:sz="0" w:space="0" w:color="auto"/>
                <w:left w:val="none" w:sz="0" w:space="0" w:color="auto"/>
                <w:bottom w:val="none" w:sz="0" w:space="0" w:color="auto"/>
                <w:right w:val="none" w:sz="0" w:space="0" w:color="auto"/>
              </w:divBdr>
              <w:divsChild>
                <w:div w:id="1913199428">
                  <w:marLeft w:val="0"/>
                  <w:marRight w:val="0"/>
                  <w:marTop w:val="0"/>
                  <w:marBottom w:val="0"/>
                  <w:divBdr>
                    <w:top w:val="none" w:sz="0" w:space="0" w:color="auto"/>
                    <w:left w:val="none" w:sz="0" w:space="0" w:color="auto"/>
                    <w:bottom w:val="none" w:sz="0" w:space="0" w:color="auto"/>
                    <w:right w:val="none" w:sz="0" w:space="0" w:color="auto"/>
                  </w:divBdr>
                  <w:divsChild>
                    <w:div w:id="152454682">
                      <w:marLeft w:val="0"/>
                      <w:marRight w:val="0"/>
                      <w:marTop w:val="0"/>
                      <w:marBottom w:val="0"/>
                      <w:divBdr>
                        <w:top w:val="none" w:sz="0" w:space="0" w:color="auto"/>
                        <w:left w:val="none" w:sz="0" w:space="0" w:color="auto"/>
                        <w:bottom w:val="none" w:sz="0" w:space="0" w:color="auto"/>
                        <w:right w:val="none" w:sz="0" w:space="0" w:color="auto"/>
                      </w:divBdr>
                      <w:divsChild>
                        <w:div w:id="677194638">
                          <w:marLeft w:val="0"/>
                          <w:marRight w:val="0"/>
                          <w:marTop w:val="0"/>
                          <w:marBottom w:val="0"/>
                          <w:divBdr>
                            <w:top w:val="none" w:sz="0" w:space="0" w:color="auto"/>
                            <w:left w:val="none" w:sz="0" w:space="0" w:color="auto"/>
                            <w:bottom w:val="none" w:sz="0" w:space="0" w:color="auto"/>
                            <w:right w:val="none" w:sz="0" w:space="0" w:color="auto"/>
                          </w:divBdr>
                          <w:divsChild>
                            <w:div w:id="1818644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5656388">
      <w:bodyDiv w:val="1"/>
      <w:marLeft w:val="0"/>
      <w:marRight w:val="0"/>
      <w:marTop w:val="0"/>
      <w:marBottom w:val="0"/>
      <w:divBdr>
        <w:top w:val="none" w:sz="0" w:space="0" w:color="auto"/>
        <w:left w:val="none" w:sz="0" w:space="0" w:color="auto"/>
        <w:bottom w:val="none" w:sz="0" w:space="0" w:color="auto"/>
        <w:right w:val="none" w:sz="0" w:space="0" w:color="auto"/>
      </w:divBdr>
    </w:div>
    <w:div w:id="1199852131">
      <w:bodyDiv w:val="1"/>
      <w:marLeft w:val="0"/>
      <w:marRight w:val="0"/>
      <w:marTop w:val="0"/>
      <w:marBottom w:val="0"/>
      <w:divBdr>
        <w:top w:val="none" w:sz="0" w:space="0" w:color="auto"/>
        <w:left w:val="none" w:sz="0" w:space="0" w:color="auto"/>
        <w:bottom w:val="none" w:sz="0" w:space="0" w:color="auto"/>
        <w:right w:val="none" w:sz="0" w:space="0" w:color="auto"/>
      </w:divBdr>
    </w:div>
    <w:div w:id="1240939047">
      <w:bodyDiv w:val="1"/>
      <w:marLeft w:val="0"/>
      <w:marRight w:val="0"/>
      <w:marTop w:val="0"/>
      <w:marBottom w:val="0"/>
      <w:divBdr>
        <w:top w:val="none" w:sz="0" w:space="0" w:color="auto"/>
        <w:left w:val="none" w:sz="0" w:space="0" w:color="auto"/>
        <w:bottom w:val="none" w:sz="0" w:space="0" w:color="auto"/>
        <w:right w:val="none" w:sz="0" w:space="0" w:color="auto"/>
      </w:divBdr>
    </w:div>
    <w:div w:id="1245187581">
      <w:bodyDiv w:val="1"/>
      <w:marLeft w:val="0"/>
      <w:marRight w:val="0"/>
      <w:marTop w:val="0"/>
      <w:marBottom w:val="0"/>
      <w:divBdr>
        <w:top w:val="none" w:sz="0" w:space="0" w:color="auto"/>
        <w:left w:val="none" w:sz="0" w:space="0" w:color="auto"/>
        <w:bottom w:val="none" w:sz="0" w:space="0" w:color="auto"/>
        <w:right w:val="none" w:sz="0" w:space="0" w:color="auto"/>
      </w:divBdr>
    </w:div>
    <w:div w:id="1270813040">
      <w:bodyDiv w:val="1"/>
      <w:marLeft w:val="0"/>
      <w:marRight w:val="0"/>
      <w:marTop w:val="0"/>
      <w:marBottom w:val="0"/>
      <w:divBdr>
        <w:top w:val="none" w:sz="0" w:space="0" w:color="auto"/>
        <w:left w:val="none" w:sz="0" w:space="0" w:color="auto"/>
        <w:bottom w:val="none" w:sz="0" w:space="0" w:color="auto"/>
        <w:right w:val="none" w:sz="0" w:space="0" w:color="auto"/>
      </w:divBdr>
    </w:div>
    <w:div w:id="1274558550">
      <w:bodyDiv w:val="1"/>
      <w:marLeft w:val="0"/>
      <w:marRight w:val="0"/>
      <w:marTop w:val="0"/>
      <w:marBottom w:val="0"/>
      <w:divBdr>
        <w:top w:val="none" w:sz="0" w:space="0" w:color="auto"/>
        <w:left w:val="none" w:sz="0" w:space="0" w:color="auto"/>
        <w:bottom w:val="none" w:sz="0" w:space="0" w:color="auto"/>
        <w:right w:val="none" w:sz="0" w:space="0" w:color="auto"/>
      </w:divBdr>
      <w:divsChild>
        <w:div w:id="2004234555">
          <w:marLeft w:val="0"/>
          <w:marRight w:val="0"/>
          <w:marTop w:val="0"/>
          <w:marBottom w:val="0"/>
          <w:divBdr>
            <w:top w:val="none" w:sz="0" w:space="0" w:color="auto"/>
            <w:left w:val="none" w:sz="0" w:space="0" w:color="auto"/>
            <w:bottom w:val="none" w:sz="0" w:space="0" w:color="auto"/>
            <w:right w:val="none" w:sz="0" w:space="0" w:color="auto"/>
          </w:divBdr>
          <w:divsChild>
            <w:div w:id="1344819242">
              <w:marLeft w:val="0"/>
              <w:marRight w:val="0"/>
              <w:marTop w:val="0"/>
              <w:marBottom w:val="0"/>
              <w:divBdr>
                <w:top w:val="none" w:sz="0" w:space="0" w:color="auto"/>
                <w:left w:val="none" w:sz="0" w:space="0" w:color="auto"/>
                <w:bottom w:val="none" w:sz="0" w:space="0" w:color="auto"/>
                <w:right w:val="none" w:sz="0" w:space="0" w:color="auto"/>
              </w:divBdr>
              <w:divsChild>
                <w:div w:id="594827042">
                  <w:marLeft w:val="0"/>
                  <w:marRight w:val="0"/>
                  <w:marTop w:val="0"/>
                  <w:marBottom w:val="0"/>
                  <w:divBdr>
                    <w:top w:val="none" w:sz="0" w:space="0" w:color="auto"/>
                    <w:left w:val="none" w:sz="0" w:space="0" w:color="auto"/>
                    <w:bottom w:val="none" w:sz="0" w:space="0" w:color="auto"/>
                    <w:right w:val="none" w:sz="0" w:space="0" w:color="auto"/>
                  </w:divBdr>
                  <w:divsChild>
                    <w:div w:id="609357349">
                      <w:marLeft w:val="0"/>
                      <w:marRight w:val="0"/>
                      <w:marTop w:val="0"/>
                      <w:marBottom w:val="0"/>
                      <w:divBdr>
                        <w:top w:val="none" w:sz="0" w:space="0" w:color="auto"/>
                        <w:left w:val="none" w:sz="0" w:space="0" w:color="auto"/>
                        <w:bottom w:val="none" w:sz="0" w:space="0" w:color="auto"/>
                        <w:right w:val="none" w:sz="0" w:space="0" w:color="auto"/>
                      </w:divBdr>
                      <w:divsChild>
                        <w:div w:id="1629125264">
                          <w:marLeft w:val="0"/>
                          <w:marRight w:val="0"/>
                          <w:marTop w:val="0"/>
                          <w:marBottom w:val="0"/>
                          <w:divBdr>
                            <w:top w:val="none" w:sz="0" w:space="0" w:color="auto"/>
                            <w:left w:val="none" w:sz="0" w:space="0" w:color="auto"/>
                            <w:bottom w:val="none" w:sz="0" w:space="0" w:color="auto"/>
                            <w:right w:val="none" w:sz="0" w:space="0" w:color="auto"/>
                          </w:divBdr>
                          <w:divsChild>
                            <w:div w:id="1936857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8794759">
      <w:bodyDiv w:val="1"/>
      <w:marLeft w:val="0"/>
      <w:marRight w:val="0"/>
      <w:marTop w:val="0"/>
      <w:marBottom w:val="0"/>
      <w:divBdr>
        <w:top w:val="none" w:sz="0" w:space="0" w:color="auto"/>
        <w:left w:val="none" w:sz="0" w:space="0" w:color="auto"/>
        <w:bottom w:val="none" w:sz="0" w:space="0" w:color="auto"/>
        <w:right w:val="none" w:sz="0" w:space="0" w:color="auto"/>
      </w:divBdr>
    </w:div>
    <w:div w:id="1464956805">
      <w:bodyDiv w:val="1"/>
      <w:marLeft w:val="0"/>
      <w:marRight w:val="0"/>
      <w:marTop w:val="0"/>
      <w:marBottom w:val="0"/>
      <w:divBdr>
        <w:top w:val="none" w:sz="0" w:space="0" w:color="auto"/>
        <w:left w:val="none" w:sz="0" w:space="0" w:color="auto"/>
        <w:bottom w:val="none" w:sz="0" w:space="0" w:color="auto"/>
        <w:right w:val="none" w:sz="0" w:space="0" w:color="auto"/>
      </w:divBdr>
    </w:div>
    <w:div w:id="1475021055">
      <w:bodyDiv w:val="1"/>
      <w:marLeft w:val="0"/>
      <w:marRight w:val="0"/>
      <w:marTop w:val="0"/>
      <w:marBottom w:val="0"/>
      <w:divBdr>
        <w:top w:val="none" w:sz="0" w:space="0" w:color="auto"/>
        <w:left w:val="none" w:sz="0" w:space="0" w:color="auto"/>
        <w:bottom w:val="none" w:sz="0" w:space="0" w:color="auto"/>
        <w:right w:val="none" w:sz="0" w:space="0" w:color="auto"/>
      </w:divBdr>
    </w:div>
    <w:div w:id="1590852424">
      <w:bodyDiv w:val="1"/>
      <w:marLeft w:val="0"/>
      <w:marRight w:val="0"/>
      <w:marTop w:val="0"/>
      <w:marBottom w:val="0"/>
      <w:divBdr>
        <w:top w:val="none" w:sz="0" w:space="0" w:color="auto"/>
        <w:left w:val="none" w:sz="0" w:space="0" w:color="auto"/>
        <w:bottom w:val="none" w:sz="0" w:space="0" w:color="auto"/>
        <w:right w:val="none" w:sz="0" w:space="0" w:color="auto"/>
      </w:divBdr>
    </w:div>
    <w:div w:id="1636176716">
      <w:bodyDiv w:val="1"/>
      <w:marLeft w:val="0"/>
      <w:marRight w:val="0"/>
      <w:marTop w:val="0"/>
      <w:marBottom w:val="0"/>
      <w:divBdr>
        <w:top w:val="none" w:sz="0" w:space="0" w:color="auto"/>
        <w:left w:val="none" w:sz="0" w:space="0" w:color="auto"/>
        <w:bottom w:val="none" w:sz="0" w:space="0" w:color="auto"/>
        <w:right w:val="none" w:sz="0" w:space="0" w:color="auto"/>
      </w:divBdr>
    </w:div>
    <w:div w:id="1841894817">
      <w:bodyDiv w:val="1"/>
      <w:marLeft w:val="0"/>
      <w:marRight w:val="0"/>
      <w:marTop w:val="0"/>
      <w:marBottom w:val="0"/>
      <w:divBdr>
        <w:top w:val="none" w:sz="0" w:space="0" w:color="auto"/>
        <w:left w:val="none" w:sz="0" w:space="0" w:color="auto"/>
        <w:bottom w:val="none" w:sz="0" w:space="0" w:color="auto"/>
        <w:right w:val="none" w:sz="0" w:space="0" w:color="auto"/>
      </w:divBdr>
    </w:div>
    <w:div w:id="1847280463">
      <w:bodyDiv w:val="1"/>
      <w:marLeft w:val="0"/>
      <w:marRight w:val="0"/>
      <w:marTop w:val="0"/>
      <w:marBottom w:val="0"/>
      <w:divBdr>
        <w:top w:val="none" w:sz="0" w:space="0" w:color="auto"/>
        <w:left w:val="none" w:sz="0" w:space="0" w:color="auto"/>
        <w:bottom w:val="none" w:sz="0" w:space="0" w:color="auto"/>
        <w:right w:val="none" w:sz="0" w:space="0" w:color="auto"/>
      </w:divBdr>
      <w:divsChild>
        <w:div w:id="2080902678">
          <w:marLeft w:val="0"/>
          <w:marRight w:val="0"/>
          <w:marTop w:val="0"/>
          <w:marBottom w:val="0"/>
          <w:divBdr>
            <w:top w:val="none" w:sz="0" w:space="0" w:color="auto"/>
            <w:left w:val="none" w:sz="0" w:space="0" w:color="auto"/>
            <w:bottom w:val="none" w:sz="0" w:space="0" w:color="auto"/>
            <w:right w:val="none" w:sz="0" w:space="0" w:color="auto"/>
          </w:divBdr>
          <w:divsChild>
            <w:div w:id="1889026963">
              <w:marLeft w:val="0"/>
              <w:marRight w:val="0"/>
              <w:marTop w:val="0"/>
              <w:marBottom w:val="0"/>
              <w:divBdr>
                <w:top w:val="none" w:sz="0" w:space="0" w:color="auto"/>
                <w:left w:val="none" w:sz="0" w:space="0" w:color="auto"/>
                <w:bottom w:val="none" w:sz="0" w:space="0" w:color="auto"/>
                <w:right w:val="none" w:sz="0" w:space="0" w:color="auto"/>
              </w:divBdr>
              <w:divsChild>
                <w:div w:id="1991253847">
                  <w:marLeft w:val="0"/>
                  <w:marRight w:val="0"/>
                  <w:marTop w:val="0"/>
                  <w:marBottom w:val="0"/>
                  <w:divBdr>
                    <w:top w:val="none" w:sz="0" w:space="0" w:color="auto"/>
                    <w:left w:val="none" w:sz="0" w:space="0" w:color="auto"/>
                    <w:bottom w:val="none" w:sz="0" w:space="0" w:color="auto"/>
                    <w:right w:val="none" w:sz="0" w:space="0" w:color="auto"/>
                  </w:divBdr>
                  <w:divsChild>
                    <w:div w:id="1712222409">
                      <w:marLeft w:val="0"/>
                      <w:marRight w:val="0"/>
                      <w:marTop w:val="0"/>
                      <w:marBottom w:val="0"/>
                      <w:divBdr>
                        <w:top w:val="none" w:sz="0" w:space="0" w:color="auto"/>
                        <w:left w:val="none" w:sz="0" w:space="0" w:color="auto"/>
                        <w:bottom w:val="none" w:sz="0" w:space="0" w:color="auto"/>
                        <w:right w:val="none" w:sz="0" w:space="0" w:color="auto"/>
                      </w:divBdr>
                      <w:divsChild>
                        <w:div w:id="542791018">
                          <w:marLeft w:val="0"/>
                          <w:marRight w:val="0"/>
                          <w:marTop w:val="0"/>
                          <w:marBottom w:val="0"/>
                          <w:divBdr>
                            <w:top w:val="none" w:sz="0" w:space="0" w:color="auto"/>
                            <w:left w:val="none" w:sz="0" w:space="0" w:color="auto"/>
                            <w:bottom w:val="none" w:sz="0" w:space="0" w:color="auto"/>
                            <w:right w:val="none" w:sz="0" w:space="0" w:color="auto"/>
                          </w:divBdr>
                          <w:divsChild>
                            <w:div w:id="885028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2572644">
      <w:bodyDiv w:val="1"/>
      <w:marLeft w:val="0"/>
      <w:marRight w:val="0"/>
      <w:marTop w:val="0"/>
      <w:marBottom w:val="0"/>
      <w:divBdr>
        <w:top w:val="none" w:sz="0" w:space="0" w:color="auto"/>
        <w:left w:val="none" w:sz="0" w:space="0" w:color="auto"/>
        <w:bottom w:val="none" w:sz="0" w:space="0" w:color="auto"/>
        <w:right w:val="none" w:sz="0" w:space="0" w:color="auto"/>
      </w:divBdr>
      <w:divsChild>
        <w:div w:id="1027558168">
          <w:marLeft w:val="0"/>
          <w:marRight w:val="0"/>
          <w:marTop w:val="0"/>
          <w:marBottom w:val="0"/>
          <w:divBdr>
            <w:top w:val="none" w:sz="0" w:space="0" w:color="auto"/>
            <w:left w:val="none" w:sz="0" w:space="0" w:color="auto"/>
            <w:bottom w:val="none" w:sz="0" w:space="0" w:color="auto"/>
            <w:right w:val="none" w:sz="0" w:space="0" w:color="auto"/>
          </w:divBdr>
          <w:divsChild>
            <w:div w:id="527832754">
              <w:marLeft w:val="0"/>
              <w:marRight w:val="0"/>
              <w:marTop w:val="0"/>
              <w:marBottom w:val="0"/>
              <w:divBdr>
                <w:top w:val="none" w:sz="0" w:space="0" w:color="auto"/>
                <w:left w:val="none" w:sz="0" w:space="0" w:color="auto"/>
                <w:bottom w:val="none" w:sz="0" w:space="0" w:color="auto"/>
                <w:right w:val="none" w:sz="0" w:space="0" w:color="auto"/>
              </w:divBdr>
              <w:divsChild>
                <w:div w:id="1466579446">
                  <w:marLeft w:val="0"/>
                  <w:marRight w:val="0"/>
                  <w:marTop w:val="0"/>
                  <w:marBottom w:val="0"/>
                  <w:divBdr>
                    <w:top w:val="none" w:sz="0" w:space="0" w:color="auto"/>
                    <w:left w:val="none" w:sz="0" w:space="0" w:color="auto"/>
                    <w:bottom w:val="none" w:sz="0" w:space="0" w:color="auto"/>
                    <w:right w:val="none" w:sz="0" w:space="0" w:color="auto"/>
                  </w:divBdr>
                  <w:divsChild>
                    <w:div w:id="535119766">
                      <w:marLeft w:val="0"/>
                      <w:marRight w:val="0"/>
                      <w:marTop w:val="0"/>
                      <w:marBottom w:val="0"/>
                      <w:divBdr>
                        <w:top w:val="none" w:sz="0" w:space="0" w:color="auto"/>
                        <w:left w:val="none" w:sz="0" w:space="0" w:color="auto"/>
                        <w:bottom w:val="none" w:sz="0" w:space="0" w:color="auto"/>
                        <w:right w:val="none" w:sz="0" w:space="0" w:color="auto"/>
                      </w:divBdr>
                      <w:divsChild>
                        <w:div w:id="1697386318">
                          <w:marLeft w:val="0"/>
                          <w:marRight w:val="0"/>
                          <w:marTop w:val="0"/>
                          <w:marBottom w:val="0"/>
                          <w:divBdr>
                            <w:top w:val="none" w:sz="0" w:space="0" w:color="auto"/>
                            <w:left w:val="none" w:sz="0" w:space="0" w:color="auto"/>
                            <w:bottom w:val="none" w:sz="0" w:space="0" w:color="auto"/>
                            <w:right w:val="none" w:sz="0" w:space="0" w:color="auto"/>
                          </w:divBdr>
                          <w:divsChild>
                            <w:div w:id="1837451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6521029">
      <w:bodyDiv w:val="1"/>
      <w:marLeft w:val="0"/>
      <w:marRight w:val="0"/>
      <w:marTop w:val="0"/>
      <w:marBottom w:val="0"/>
      <w:divBdr>
        <w:top w:val="none" w:sz="0" w:space="0" w:color="auto"/>
        <w:left w:val="none" w:sz="0" w:space="0" w:color="auto"/>
        <w:bottom w:val="none" w:sz="0" w:space="0" w:color="auto"/>
        <w:right w:val="none" w:sz="0" w:space="0" w:color="auto"/>
      </w:divBdr>
    </w:div>
    <w:div w:id="2014138751">
      <w:bodyDiv w:val="1"/>
      <w:marLeft w:val="0"/>
      <w:marRight w:val="0"/>
      <w:marTop w:val="0"/>
      <w:marBottom w:val="0"/>
      <w:divBdr>
        <w:top w:val="none" w:sz="0" w:space="0" w:color="auto"/>
        <w:left w:val="none" w:sz="0" w:space="0" w:color="auto"/>
        <w:bottom w:val="none" w:sz="0" w:space="0" w:color="auto"/>
        <w:right w:val="none" w:sz="0" w:space="0" w:color="auto"/>
      </w:divBdr>
    </w:div>
    <w:div w:id="2091851453">
      <w:bodyDiv w:val="1"/>
      <w:marLeft w:val="0"/>
      <w:marRight w:val="0"/>
      <w:marTop w:val="0"/>
      <w:marBottom w:val="0"/>
      <w:divBdr>
        <w:top w:val="none" w:sz="0" w:space="0" w:color="auto"/>
        <w:left w:val="none" w:sz="0" w:space="0" w:color="auto"/>
        <w:bottom w:val="none" w:sz="0" w:space="0" w:color="auto"/>
        <w:right w:val="none" w:sz="0" w:space="0" w:color="auto"/>
      </w:divBdr>
    </w:div>
    <w:div w:id="2097089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5.xml"/><Relationship Id="rId21" Type="http://schemas.openxmlformats.org/officeDocument/2006/relationships/hyperlink" Target="http://creativecommons.org/licences/by/4.0" TargetMode="External"/><Relationship Id="rId42" Type="http://schemas.openxmlformats.org/officeDocument/2006/relationships/image" Target="media/image11.png"/><Relationship Id="rId47" Type="http://schemas.openxmlformats.org/officeDocument/2006/relationships/image" Target="media/image16.png"/><Relationship Id="rId63" Type="http://schemas.openxmlformats.org/officeDocument/2006/relationships/image" Target="media/image30.png"/><Relationship Id="rId68" Type="http://schemas.openxmlformats.org/officeDocument/2006/relationships/hyperlink" Target="https://www.nature.com/articles/s41598-017-02810-0" TargetMode="External"/><Relationship Id="rId84" Type="http://schemas.openxmlformats.org/officeDocument/2006/relationships/image" Target="media/image42.jpg"/><Relationship Id="rId89" Type="http://schemas.openxmlformats.org/officeDocument/2006/relationships/image" Target="media/image47.jpg"/><Relationship Id="rId16" Type="http://schemas.openxmlformats.org/officeDocument/2006/relationships/header" Target="header1.xml"/><Relationship Id="rId11" Type="http://schemas.openxmlformats.org/officeDocument/2006/relationships/footnotes" Target="footnotes.xml"/><Relationship Id="rId32" Type="http://schemas.openxmlformats.org/officeDocument/2006/relationships/hyperlink" Target="http://e-atlas.org.au/rrmmp" TargetMode="External"/><Relationship Id="rId37" Type="http://schemas.openxmlformats.org/officeDocument/2006/relationships/footer" Target="footer5.xml"/><Relationship Id="rId53" Type="http://schemas.openxmlformats.org/officeDocument/2006/relationships/hyperlink" Target="http://www.aims.gov.au/docs/research/monitoring/reef/reef-monitoring.html" TargetMode="External"/><Relationship Id="rId58" Type="http://schemas.openxmlformats.org/officeDocument/2006/relationships/image" Target="media/image26.png"/><Relationship Id="rId74" Type="http://schemas.openxmlformats.org/officeDocument/2006/relationships/image" Target="media/image32.jpg"/><Relationship Id="rId79" Type="http://schemas.openxmlformats.org/officeDocument/2006/relationships/image" Target="media/image37.jpg"/><Relationship Id="rId5" Type="http://schemas.openxmlformats.org/officeDocument/2006/relationships/customXml" Target="../customXml/item4.xml"/><Relationship Id="rId90" Type="http://schemas.openxmlformats.org/officeDocument/2006/relationships/image" Target="media/image48.png"/><Relationship Id="rId95" Type="http://schemas.openxmlformats.org/officeDocument/2006/relationships/image" Target="media/image51.png"/><Relationship Id="rId22" Type="http://schemas.openxmlformats.org/officeDocument/2006/relationships/hyperlink" Target="http://creativecommons.org/licences/by/3.0/au" TargetMode="External"/><Relationship Id="rId27" Type="http://schemas.openxmlformats.org/officeDocument/2006/relationships/header" Target="header6.xml"/><Relationship Id="rId43" Type="http://schemas.openxmlformats.org/officeDocument/2006/relationships/image" Target="media/image12.png"/><Relationship Id="rId48" Type="http://schemas.openxmlformats.org/officeDocument/2006/relationships/image" Target="media/image17.png"/><Relationship Id="rId64" Type="http://schemas.openxmlformats.org/officeDocument/2006/relationships/image" Target="media/image31.png"/><Relationship Id="rId69" Type="http://schemas.openxmlformats.org/officeDocument/2006/relationships/hyperlink" Target="http://www.bom.gov.au/environment/activities/reeftemp/documents/Garde_JOO_2014.pdf" TargetMode="External"/><Relationship Id="rId80" Type="http://schemas.openxmlformats.org/officeDocument/2006/relationships/image" Target="media/image38.jpg"/><Relationship Id="rId85" Type="http://schemas.openxmlformats.org/officeDocument/2006/relationships/image" Target="media/image43.jpg"/><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header" Target="header4.xml"/><Relationship Id="rId33" Type="http://schemas.openxmlformats.org/officeDocument/2006/relationships/hyperlink" Target="http://www.reefplan.qld.gov.au/" TargetMode="External"/><Relationship Id="rId38" Type="http://schemas.openxmlformats.org/officeDocument/2006/relationships/image" Target="media/image7.png"/><Relationship Id="rId46" Type="http://schemas.openxmlformats.org/officeDocument/2006/relationships/image" Target="media/image15.png"/><Relationship Id="rId59" Type="http://schemas.openxmlformats.org/officeDocument/2006/relationships/image" Target="media/image27.png"/><Relationship Id="rId67" Type="http://schemas.openxmlformats.org/officeDocument/2006/relationships/hyperlink" Target="https://www.nature.com/articles/s41598-017-02810-0" TargetMode="External"/><Relationship Id="rId20" Type="http://schemas.openxmlformats.org/officeDocument/2006/relationships/footer" Target="footer3.xml"/><Relationship Id="rId41" Type="http://schemas.openxmlformats.org/officeDocument/2006/relationships/image" Target="media/image10.png"/><Relationship Id="rId54" Type="http://schemas.openxmlformats.org/officeDocument/2006/relationships/image" Target="media/image22.png"/><Relationship Id="rId62" Type="http://schemas.openxmlformats.org/officeDocument/2006/relationships/image" Target="media/image29.png"/><Relationship Id="rId70" Type="http://schemas.openxmlformats.org/officeDocument/2006/relationships/hyperlink" Target="http://www.saedsayad.com/docs/gbm2.pdf" TargetMode="External"/><Relationship Id="rId75" Type="http://schemas.openxmlformats.org/officeDocument/2006/relationships/image" Target="media/image33.jpg"/><Relationship Id="rId83" Type="http://schemas.openxmlformats.org/officeDocument/2006/relationships/image" Target="media/image41.jpg"/><Relationship Id="rId88" Type="http://schemas.openxmlformats.org/officeDocument/2006/relationships/image" Target="media/image46.jpg"/><Relationship Id="rId91" Type="http://schemas.openxmlformats.org/officeDocument/2006/relationships/image" Target="media/image49.png"/><Relationship Id="rId96" Type="http://schemas.openxmlformats.org/officeDocument/2006/relationships/image" Target="media/image52.png"/><Relationship Id="rId1" Type="http://schemas.microsoft.com/office/2006/relationships/keyMapCustomizations" Target="customizations.xml"/><Relationship Id="rId6"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4.png"/><Relationship Id="rId28" Type="http://schemas.openxmlformats.org/officeDocument/2006/relationships/footer" Target="footer4.xml"/><Relationship Id="rId36" Type="http://schemas.openxmlformats.org/officeDocument/2006/relationships/hyperlink" Target="http://reefnet.ca/products/sensus/" TargetMode="External"/><Relationship Id="rId49" Type="http://schemas.openxmlformats.org/officeDocument/2006/relationships/image" Target="media/image18.png"/><Relationship Id="rId57" Type="http://schemas.openxmlformats.org/officeDocument/2006/relationships/image" Target="media/image25.png"/><Relationship Id="rId10" Type="http://schemas.openxmlformats.org/officeDocument/2006/relationships/webSettings" Target="webSettings.xml"/><Relationship Id="rId31" Type="http://schemas.openxmlformats.org/officeDocument/2006/relationships/hyperlink" Target="http://www.gbrmpa.gov.au/managing-the-reef/how-the-reefs-managed/reef-2050-marine-monitoring-program" TargetMode="External"/><Relationship Id="rId44" Type="http://schemas.openxmlformats.org/officeDocument/2006/relationships/image" Target="media/image13.png"/><Relationship Id="rId52" Type="http://schemas.openxmlformats.org/officeDocument/2006/relationships/image" Target="media/image21.png"/><Relationship Id="rId60" Type="http://schemas.openxmlformats.org/officeDocument/2006/relationships/hyperlink" Target="http://data.aims.gov.au/waCOTSPage/cotspage.jsp" TargetMode="External"/><Relationship Id="rId65" Type="http://schemas.openxmlformats.org/officeDocument/2006/relationships/hyperlink" Target="http://www.reefplan.qld.gov.au/" TargetMode="External"/><Relationship Id="rId73" Type="http://schemas.openxmlformats.org/officeDocument/2006/relationships/footer" Target="footer6.xml"/><Relationship Id="rId78" Type="http://schemas.openxmlformats.org/officeDocument/2006/relationships/image" Target="media/image36.jpg"/><Relationship Id="rId81" Type="http://schemas.openxmlformats.org/officeDocument/2006/relationships/image" Target="media/image39.jpg"/><Relationship Id="rId86" Type="http://schemas.openxmlformats.org/officeDocument/2006/relationships/image" Target="media/image44.jpg"/><Relationship Id="rId94" Type="http://schemas.openxmlformats.org/officeDocument/2006/relationships/image" Target="media/image50.png"/><Relationship Id="rId99" Type="http://schemas.openxmlformats.org/officeDocument/2006/relationships/image" Target="media/image55.png"/><Relationship Id="rId101" Type="http://schemas.openxmlformats.org/officeDocument/2006/relationships/theme" Target="theme/theme1.xml"/><Relationship Id="rId4" Type="http://schemas.openxmlformats.org/officeDocument/2006/relationships/customXml" Target="../customXml/item3.xml"/><Relationship Id="rId9"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footer" Target="footer2.xml"/><Relationship Id="rId39" Type="http://schemas.openxmlformats.org/officeDocument/2006/relationships/image" Target="media/image8.png"/><Relationship Id="rId34" Type="http://schemas.openxmlformats.org/officeDocument/2006/relationships/image" Target="media/image6.jpeg"/><Relationship Id="rId50" Type="http://schemas.openxmlformats.org/officeDocument/2006/relationships/image" Target="media/image19.png"/><Relationship Id="rId55" Type="http://schemas.openxmlformats.org/officeDocument/2006/relationships/image" Target="media/image23.png"/><Relationship Id="rId76" Type="http://schemas.openxmlformats.org/officeDocument/2006/relationships/image" Target="media/image34.jpg"/><Relationship Id="rId97" Type="http://schemas.openxmlformats.org/officeDocument/2006/relationships/image" Target="media/image53.png"/><Relationship Id="rId7" Type="http://schemas.openxmlformats.org/officeDocument/2006/relationships/numbering" Target="numbering.xml"/><Relationship Id="rId71" Type="http://schemas.openxmlformats.org/officeDocument/2006/relationships/hyperlink" Target="http://www.reefplan.qld.gov.au" TargetMode="External"/><Relationship Id="rId92" Type="http://schemas.openxmlformats.org/officeDocument/2006/relationships/footer" Target="footer7.xml"/><Relationship Id="rId2" Type="http://schemas.openxmlformats.org/officeDocument/2006/relationships/customXml" Target="../customXml/item1.xml"/><Relationship Id="rId29" Type="http://schemas.openxmlformats.org/officeDocument/2006/relationships/header" Target="header7.xml"/><Relationship Id="rId24" Type="http://schemas.openxmlformats.org/officeDocument/2006/relationships/header" Target="header3.xml"/><Relationship Id="rId40" Type="http://schemas.openxmlformats.org/officeDocument/2006/relationships/image" Target="media/image9.png"/><Relationship Id="rId45" Type="http://schemas.openxmlformats.org/officeDocument/2006/relationships/image" Target="media/image14.png"/><Relationship Id="rId66" Type="http://schemas.openxmlformats.org/officeDocument/2006/relationships/hyperlink" Target="http://www.reefplan.qld.gov.au/" TargetMode="External"/><Relationship Id="rId87" Type="http://schemas.openxmlformats.org/officeDocument/2006/relationships/image" Target="media/image45.jpg"/><Relationship Id="rId61" Type="http://schemas.openxmlformats.org/officeDocument/2006/relationships/image" Target="media/image28.jpeg"/><Relationship Id="rId82" Type="http://schemas.openxmlformats.org/officeDocument/2006/relationships/image" Target="media/image40.jpg"/><Relationship Id="rId19" Type="http://schemas.openxmlformats.org/officeDocument/2006/relationships/header" Target="header2.xml"/><Relationship Id="rId14" Type="http://schemas.openxmlformats.org/officeDocument/2006/relationships/image" Target="media/image2.jpeg"/><Relationship Id="rId30" Type="http://schemas.openxmlformats.org/officeDocument/2006/relationships/image" Target="media/image5.png"/><Relationship Id="rId35" Type="http://schemas.openxmlformats.org/officeDocument/2006/relationships/hyperlink" Target="http://www.odysseydatarecording.com/" TargetMode="External"/><Relationship Id="rId56" Type="http://schemas.openxmlformats.org/officeDocument/2006/relationships/image" Target="media/image24.png"/><Relationship Id="rId77" Type="http://schemas.openxmlformats.org/officeDocument/2006/relationships/image" Target="media/image35.jpg"/><Relationship Id="rId100" Type="http://schemas.openxmlformats.org/officeDocument/2006/relationships/fontTable" Target="fontTable.xml"/><Relationship Id="rId8" Type="http://schemas.openxmlformats.org/officeDocument/2006/relationships/styles" Target="styles.xml"/><Relationship Id="rId51" Type="http://schemas.openxmlformats.org/officeDocument/2006/relationships/image" Target="media/image20.png"/><Relationship Id="rId72" Type="http://schemas.openxmlformats.org/officeDocument/2006/relationships/hyperlink" Target="http://dx.doi.org/10.1016/j.marpolbul.2016.04.054" TargetMode="External"/><Relationship Id="rId93" Type="http://schemas.openxmlformats.org/officeDocument/2006/relationships/header" Target="header8.xml"/><Relationship Id="rId98" Type="http://schemas.openxmlformats.org/officeDocument/2006/relationships/image" Target="media/image54.png"/><Relationship Id="rId3" Type="http://schemas.openxmlformats.org/officeDocument/2006/relationships/customXml" Target="../customXml/item2.xml"/></Relationships>
</file>

<file path=word/_rels/footnotes.xml.rels><?xml version="1.0" encoding="UTF-8" standalone="yes"?>
<Relationships xmlns="http://schemas.openxmlformats.org/package/2006/relationships"><Relationship Id="rId2" Type="http://schemas.openxmlformats.org/officeDocument/2006/relationships/hyperlink" Target="http://www.csiro.au/connie2/" TargetMode="External"/><Relationship Id="rId1" Type="http://schemas.openxmlformats.org/officeDocument/2006/relationships/hyperlink" Target="http://www.bom.gov.au/marinewaterqual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8ccc4631-9afc-4718-b120-5e2e37a03cc7">PROJ-213-1641</_dlc_DocId>
    <_dlc_DocIdUrl xmlns="8ccc4631-9afc-4718-b120-5e2e37a03cc7">
      <Url>http://thedock.gbrmpa.gov.au/sites/Projects/P000056/_layouts/DocIdRedir.aspx?ID=PROJ-213-1641</Url>
      <Description>PROJ-213-1641</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0D9715CDE278E54B8097413768F46C65" ma:contentTypeVersion="8" ma:contentTypeDescription="" ma:contentTypeScope="" ma:versionID="eb06a32313be1d113718e4d36bbbd415">
  <xsd:schema xmlns:xsd="http://www.w3.org/2001/XMLSchema" xmlns:xs="http://www.w3.org/2001/XMLSchema" xmlns:p="http://schemas.microsoft.com/office/2006/metadata/properties" xmlns:ns2="8ccc4631-9afc-4718-b120-5e2e37a03cc7" targetNamespace="http://schemas.microsoft.com/office/2006/metadata/properties" ma:root="true" ma:fieldsID="676c2c3fb3e7d9b4847bdd76abd09fb5"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60B978-804F-419B-A722-2ECB4371F946}">
  <ds:schemaRefs>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http://www.w3.org/XML/1998/namespace"/>
    <ds:schemaRef ds:uri="8ccc4631-9afc-4718-b120-5e2e37a03cc7"/>
    <ds:schemaRef ds:uri="http://purl.org/dc/dcmitype/"/>
    <ds:schemaRef ds:uri="http://purl.org/dc/terms/"/>
  </ds:schemaRefs>
</ds:datastoreItem>
</file>

<file path=customXml/itemProps2.xml><?xml version="1.0" encoding="utf-8"?>
<ds:datastoreItem xmlns:ds="http://schemas.openxmlformats.org/officeDocument/2006/customXml" ds:itemID="{027CC2C3-7E03-440B-9235-1D5908BF50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B17D00-9519-4128-8199-14E9EDE78BFB}">
  <ds:schemaRefs>
    <ds:schemaRef ds:uri="http://schemas.microsoft.com/sharepoint/v3/contenttype/forms"/>
  </ds:schemaRefs>
</ds:datastoreItem>
</file>

<file path=customXml/itemProps4.xml><?xml version="1.0" encoding="utf-8"?>
<ds:datastoreItem xmlns:ds="http://schemas.openxmlformats.org/officeDocument/2006/customXml" ds:itemID="{043AD9C9-B4C1-443A-8A1E-9F49D08ECD46}">
  <ds:schemaRefs>
    <ds:schemaRef ds:uri="http://schemas.microsoft.com/sharepoint/events"/>
  </ds:schemaRefs>
</ds:datastoreItem>
</file>

<file path=customXml/itemProps5.xml><?xml version="1.0" encoding="utf-8"?>
<ds:datastoreItem xmlns:ds="http://schemas.openxmlformats.org/officeDocument/2006/customXml" ds:itemID="{B15BEF0C-268D-4774-8783-49F9FCA16D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141</Pages>
  <Words>47861</Words>
  <Characters>272811</Characters>
  <Application>Microsoft Office Word</Application>
  <DocSecurity>0</DocSecurity>
  <Lines>2273</Lines>
  <Paragraphs>640</Paragraphs>
  <ScaleCrop>false</ScaleCrop>
  <HeadingPairs>
    <vt:vector size="2" baseType="variant">
      <vt:variant>
        <vt:lpstr>Title</vt:lpstr>
      </vt:variant>
      <vt:variant>
        <vt:i4>1</vt:i4>
      </vt:variant>
    </vt:vector>
  </HeadingPairs>
  <TitlesOfParts>
    <vt:vector size="1" baseType="lpstr">
      <vt:lpstr>Coral report 2016 FINAL 17 10 2017</vt:lpstr>
    </vt:vector>
  </TitlesOfParts>
  <LinksUpToDate>false</LinksUpToDate>
  <CharactersWithSpaces>320032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Coral report 2016 FINAL 17 10 2017</dc:title>
  <dc:subject/>
  <dc:creator/>
  <cp:keywords/>
  <dc:description/>
  <cp:lastModifiedBy/>
  <cp:revision>1</cp:revision>
  <dcterms:created xsi:type="dcterms:W3CDTF">2017-10-24T00:45:00Z</dcterms:created>
  <dcterms:modified xsi:type="dcterms:W3CDTF">2017-10-24T00:45:00Z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0x010100441936E5D27A4AF2935B3316DA024CF2000D9715CDE278E54B8097413768F46C65</vt:lpwstr>
  </property>
  <property fmtid="{D5CDD505-2E9C-101B-9397-08002B2CF9AE}" pid="3" name="_dlc_DocIdItemGuid">
    <vt:lpwstr>175eca21-658b-4228-aef1-131e42241f2a</vt:lpwstr>
  </property>
  <property fmtid="{D5CDD505-2E9C-101B-9397-08002B2CF9AE}" pid="4" name="TaxCatchAll">
    <vt:lpwstr/>
  </property>
  <property fmtid="{D5CDD505-2E9C-101B-9397-08002B2CF9AE}" pid="5" name="ProjectPhase">
    <vt:lpwstr/>
  </property>
  <property fmtid="{D5CDD505-2E9C-101B-9397-08002B2CF9AE}" pid="6" name="a2118650a77a4a97b805ceb1a6b3e3dc">
    <vt:lpwstr/>
  </property>
  <property fmtid="{D5CDD505-2E9C-101B-9397-08002B2CF9AE}" pid="7" name="RecordPoint_ActiveItemUniqueId">
    <vt:lpwstr>{175eca21-658b-4228-aef1-131e42241f2a}</vt:lpwstr>
  </property>
  <property fmtid="{D5CDD505-2E9C-101B-9397-08002B2CF9AE}" pid="8" name="RecordPoint_WorkflowType">
    <vt:lpwstr>ActiveSubmit</vt:lpwstr>
  </property>
  <property fmtid="{D5CDD505-2E9C-101B-9397-08002B2CF9AE}" pid="9" name="RecordPoint_SubmissionDate">
    <vt:lpwstr/>
  </property>
  <property fmtid="{D5CDD505-2E9C-101B-9397-08002B2CF9AE}" pid="10" name="RecordPoint_RecordNumberSubmitted">
    <vt:lpwstr/>
  </property>
  <property fmtid="{D5CDD505-2E9C-101B-9397-08002B2CF9AE}" pid="11" name="RecordPoint_ActiveItemSiteId">
    <vt:lpwstr>{8ce9eba2-d4a5-4da0-9276-1d47a92e9210}</vt:lpwstr>
  </property>
  <property fmtid="{D5CDD505-2E9C-101B-9397-08002B2CF9AE}" pid="12" name="RecordPoint_ActiveItemListId">
    <vt:lpwstr>{4b37b1f1-1864-45c7-8f8d-9f91400467f1}</vt:lpwstr>
  </property>
  <property fmtid="{D5CDD505-2E9C-101B-9397-08002B2CF9AE}" pid="13" name="RecordPoint_ActiveItemMoved">
    <vt:lpwstr/>
  </property>
  <property fmtid="{D5CDD505-2E9C-101B-9397-08002B2CF9AE}" pid="14" name="RecordPoint_SubmissionCompleted">
    <vt:lpwstr/>
  </property>
  <property fmtid="{D5CDD505-2E9C-101B-9397-08002B2CF9AE}" pid="15" name="RecordPoint_RecordFormat">
    <vt:lpwstr/>
  </property>
  <property fmtid="{D5CDD505-2E9C-101B-9397-08002B2CF9AE}" pid="16" name="RecordPoint_ActiveItemWebId">
    <vt:lpwstr>{e7821751-c451-45dc-b45e-82cfe574dc6e}</vt:lpwstr>
  </property>
</Properties>
</file>